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BF1561">
      <w:pPr>
        <w:spacing w:line="31667" w:lineRule="exact"/>
      </w:pPr>
      <w:r>
        <w:rPr>
          <w:position w:val="-633"/>
        </w:rPr>
        <w:drawing>
          <wp:inline distT="0" distB="0" distL="0" distR="0">
            <wp:extent cx="14215110" cy="2010854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75"/>
                    <a:stretch>
                      <a:fillRect/>
                    </a:stretch>
                  </pic:blipFill>
                  <pic:spPr>
                    <a:xfrm>
                      <a:off x="0" y="0"/>
                      <a:ext cx="14215552" cy="20108698"/>
                    </a:xfrm>
                    <a:prstGeom prst="rect">
                      <a:avLst/>
                    </a:prstGeom>
                  </pic:spPr>
                </pic:pic>
              </a:graphicData>
            </a:graphic>
          </wp:inline>
        </w:drawing>
      </w:r>
    </w:p>
    <w:p w14:paraId="25CAFEAA">
      <w:pPr>
        <w:spacing w:line="31667" w:lineRule="exact"/>
        <w:sectPr>
          <w:headerReference r:id="rId5" w:type="default"/>
          <w:footerReference r:id="rId6" w:type="default"/>
          <w:pgSz w:w="22397" w:h="31680"/>
          <w:pgMar w:top="1" w:right="9" w:bottom="1" w:left="0" w:header="0" w:footer="0" w:gutter="0"/>
          <w:cols w:space="720" w:num="1"/>
        </w:sectPr>
      </w:pPr>
    </w:p>
    <w:p w14:paraId="751DDAE7">
      <w:pPr>
        <w:spacing w:line="31667" w:lineRule="exact"/>
      </w:pPr>
    </w:p>
    <w:p w14:paraId="562810EE">
      <w:pPr>
        <w:spacing w:line="31667" w:lineRule="exact"/>
        <w:sectPr>
          <w:pgSz w:w="22387" w:h="31680"/>
          <w:pgMar w:top="1" w:right="0" w:bottom="1" w:left="0" w:header="0" w:footer="0" w:gutter="0"/>
          <w:cols w:space="720" w:num="1"/>
        </w:sectPr>
      </w:pPr>
    </w:p>
    <w:p w14:paraId="7C5CE525">
      <w:pPr>
        <w:spacing w:line="31663" w:lineRule="exact"/>
      </w:pPr>
    </w:p>
    <w:p w14:paraId="6B6ED02A">
      <w:pPr>
        <w:spacing w:line="31663" w:lineRule="exact"/>
        <w:sectPr>
          <w:pgSz w:w="22402" w:h="31680"/>
          <w:pgMar w:top="1" w:right="2" w:bottom="4" w:left="0" w:header="0" w:footer="0" w:gutter="0"/>
          <w:cols w:space="720" w:num="1"/>
        </w:sectPr>
      </w:pPr>
    </w:p>
    <w:p w14:paraId="56B17EA4">
      <w:pPr>
        <w:spacing w:line="31667" w:lineRule="exact"/>
      </w:pPr>
    </w:p>
    <w:p w14:paraId="53BDBF5C">
      <w:pPr>
        <w:spacing w:line="31667" w:lineRule="exact"/>
        <w:sectPr>
          <w:pgSz w:w="22397" w:h="31680"/>
          <w:pgMar w:top="1" w:right="9" w:bottom="1" w:left="0" w:header="0" w:footer="0" w:gutter="0"/>
          <w:cols w:space="720" w:num="1"/>
        </w:sectPr>
      </w:pPr>
    </w:p>
    <w:p w14:paraId="0EE40435">
      <w:pPr>
        <w:spacing w:line="31667" w:lineRule="exact"/>
      </w:pPr>
    </w:p>
    <w:p w14:paraId="14176CFF">
      <w:pPr>
        <w:spacing w:line="31667" w:lineRule="exact"/>
        <w:sectPr>
          <w:pgSz w:w="22397" w:h="31680"/>
          <w:pgMar w:top="1" w:right="9" w:bottom="1" w:left="0" w:header="0" w:footer="0" w:gutter="0"/>
          <w:cols w:space="720" w:num="1"/>
        </w:sectPr>
      </w:pPr>
    </w:p>
    <w:p w14:paraId="317024B6">
      <w:pPr>
        <w:spacing w:line="31667" w:lineRule="exact"/>
      </w:pPr>
    </w:p>
    <w:p w14:paraId="1AB44770">
      <w:pPr>
        <w:spacing w:line="31667" w:lineRule="exact"/>
        <w:sectPr>
          <w:pgSz w:w="22397" w:h="31680"/>
          <w:pgMar w:top="1" w:right="9" w:bottom="1" w:left="0" w:header="0" w:footer="0" w:gutter="0"/>
          <w:cols w:space="720" w:num="1"/>
        </w:sectPr>
      </w:pPr>
    </w:p>
    <w:p w14:paraId="5E0EFE9C">
      <w:pPr>
        <w:spacing w:line="31667" w:lineRule="exact"/>
      </w:pPr>
    </w:p>
    <w:p w14:paraId="43C98005">
      <w:pPr>
        <w:spacing w:line="31667" w:lineRule="exact"/>
        <w:sectPr>
          <w:pgSz w:w="22397" w:h="31680"/>
          <w:pgMar w:top="1" w:right="9" w:bottom="1" w:left="0" w:header="0" w:footer="0" w:gutter="0"/>
          <w:cols w:space="720" w:num="1"/>
        </w:sectPr>
      </w:pPr>
      <w:bookmarkStart w:id="8" w:name="_GoBack"/>
      <w:bookmarkEnd w:id="8"/>
    </w:p>
    <w:p w14:paraId="635FAE28">
      <w:pPr>
        <w:spacing w:line="282" w:lineRule="auto"/>
        <w:rPr>
          <w:rFonts w:ascii="Arial"/>
          <w:sz w:val="21"/>
        </w:rPr>
      </w:pPr>
    </w:p>
    <w:p w14:paraId="5E535828">
      <w:pPr>
        <w:spacing w:line="283" w:lineRule="auto"/>
        <w:rPr>
          <w:rFonts w:ascii="Arial"/>
          <w:sz w:val="21"/>
        </w:rPr>
      </w:pPr>
    </w:p>
    <w:p w14:paraId="73B3D5FD">
      <w:pPr>
        <w:spacing w:line="283" w:lineRule="auto"/>
        <w:rPr>
          <w:rFonts w:ascii="Arial"/>
          <w:sz w:val="21"/>
        </w:rPr>
      </w:pPr>
    </w:p>
    <w:p w14:paraId="3457EF6C">
      <w:pPr>
        <w:spacing w:line="283" w:lineRule="auto"/>
        <w:rPr>
          <w:rFonts w:ascii="Arial"/>
          <w:sz w:val="21"/>
        </w:rPr>
      </w:pPr>
    </w:p>
    <w:sdt>
      <w:sdtPr>
        <w:rPr>
          <w:rFonts w:ascii="宋体" w:hAnsi="宋体" w:eastAsia="宋体" w:cs="宋体"/>
          <w:sz w:val="28"/>
          <w:szCs w:val="28"/>
        </w:rPr>
        <w:id w:val="147454430"/>
        <w:docPartObj>
          <w:docPartGallery w:val="Table of Contents"/>
          <w:docPartUnique/>
        </w:docPartObj>
      </w:sdtPr>
      <w:sdtEndPr>
        <w:rPr>
          <w:rFonts w:ascii="Times New Roman" w:hAnsi="Times New Roman" w:eastAsia="Times New Roman" w:cs="Times New Roman"/>
          <w:sz w:val="24"/>
          <w:szCs w:val="24"/>
        </w:rPr>
      </w:sdtEndPr>
      <w:sdtContent>
        <w:p w14:paraId="3D1996EB">
          <w:pPr>
            <w:pStyle w:val="2"/>
            <w:spacing w:before="91" w:line="222" w:lineRule="auto"/>
            <w:ind w:left="4225"/>
            <w:rPr>
              <w:sz w:val="28"/>
              <w:szCs w:val="28"/>
            </w:rPr>
          </w:pPr>
          <w:r>
            <w:rPr>
              <w:spacing w:val="-32"/>
              <w:sz w:val="28"/>
              <w:szCs w:val="28"/>
            </w:rPr>
            <w:t>目录</w:t>
          </w:r>
        </w:p>
        <w:p w14:paraId="540AD9D1">
          <w:pPr>
            <w:pStyle w:val="2"/>
            <w:tabs>
              <w:tab w:val="right" w:leader="dot" w:pos="8822"/>
            </w:tabs>
            <w:spacing w:before="295" w:line="219" w:lineRule="auto"/>
            <w:ind w:left="4"/>
            <w:rPr>
              <w:rFonts w:ascii="Times New Roman" w:hAnsi="Times New Roman" w:eastAsia="Times New Roman" w:cs="Times New Roman"/>
            </w:rPr>
          </w:pPr>
          <w:r>
            <w:fldChar w:fldCharType="begin"/>
          </w:r>
          <w:r>
            <w:instrText xml:space="preserve"> HYPERLINK \l "bookmark1" </w:instrText>
          </w:r>
          <w:r>
            <w:fldChar w:fldCharType="separate"/>
          </w:r>
          <w:r>
            <w:rPr>
              <w:spacing w:val="-2"/>
            </w:rPr>
            <w:t>一、建设项目基本情况</w:t>
          </w:r>
          <w:r>
            <w:rPr>
              <w:spacing w:val="-69"/>
            </w:rPr>
            <w:t xml:space="preserve"> </w:t>
          </w:r>
          <w:r>
            <w:tab/>
          </w:r>
          <w:r>
            <w:rPr>
              <w:spacing w:val="-49"/>
            </w:rPr>
            <w:t xml:space="preserve"> </w:t>
          </w:r>
          <w:r>
            <w:rPr>
              <w:rFonts w:ascii="Times New Roman" w:hAnsi="Times New Roman" w:eastAsia="Times New Roman" w:cs="Times New Roman"/>
              <w:spacing w:val="-29"/>
            </w:rPr>
            <w:t>1</w:t>
          </w:r>
          <w:r>
            <w:rPr>
              <w:rFonts w:ascii="Times New Roman" w:hAnsi="Times New Roman" w:eastAsia="Times New Roman" w:cs="Times New Roman"/>
              <w:spacing w:val="-29"/>
            </w:rPr>
            <w:fldChar w:fldCharType="end"/>
          </w:r>
        </w:p>
        <w:p w14:paraId="6C224E6E">
          <w:pPr>
            <w:pStyle w:val="2"/>
            <w:tabs>
              <w:tab w:val="right" w:leader="dot" w:pos="8822"/>
            </w:tabs>
            <w:spacing w:before="174" w:line="219" w:lineRule="auto"/>
            <w:ind w:left="4"/>
            <w:rPr>
              <w:rFonts w:ascii="Times New Roman" w:hAnsi="Times New Roman" w:eastAsia="Times New Roman" w:cs="Times New Roman"/>
            </w:rPr>
          </w:pPr>
          <w:r>
            <w:fldChar w:fldCharType="begin"/>
          </w:r>
          <w:r>
            <w:instrText xml:space="preserve"> HYPERLINK \l "bookmark2" </w:instrText>
          </w:r>
          <w:r>
            <w:fldChar w:fldCharType="separate"/>
          </w:r>
          <w:r>
            <w:rPr>
              <w:spacing w:val="-3"/>
            </w:rPr>
            <w:t>二、建设内容</w:t>
          </w:r>
          <w:r>
            <w:rPr>
              <w:spacing w:val="-71"/>
            </w:rPr>
            <w:t xml:space="preserve"> </w:t>
          </w:r>
          <w:r>
            <w:tab/>
          </w:r>
          <w:r>
            <w:rPr>
              <w:spacing w:val="-72"/>
            </w:rPr>
            <w:t xml:space="preserve"> </w:t>
          </w:r>
          <w:r>
            <w:rPr>
              <w:rFonts w:ascii="Times New Roman" w:hAnsi="Times New Roman" w:eastAsia="Times New Roman" w:cs="Times New Roman"/>
              <w:spacing w:val="-3"/>
            </w:rPr>
            <w:t>22</w:t>
          </w:r>
          <w:r>
            <w:rPr>
              <w:rFonts w:ascii="Times New Roman" w:hAnsi="Times New Roman" w:eastAsia="Times New Roman" w:cs="Times New Roman"/>
              <w:spacing w:val="-3"/>
            </w:rPr>
            <w:fldChar w:fldCharType="end"/>
          </w:r>
        </w:p>
        <w:p w14:paraId="7EEF8C00">
          <w:pPr>
            <w:pStyle w:val="2"/>
            <w:tabs>
              <w:tab w:val="right" w:leader="dot" w:pos="8822"/>
            </w:tabs>
            <w:spacing w:before="173" w:line="218" w:lineRule="auto"/>
            <w:rPr>
              <w:rFonts w:ascii="Times New Roman" w:hAnsi="Times New Roman" w:eastAsia="Times New Roman" w:cs="Times New Roman"/>
            </w:rPr>
          </w:pPr>
          <w:r>
            <w:fldChar w:fldCharType="begin"/>
          </w:r>
          <w:r>
            <w:instrText xml:space="preserve"> HYPERLINK \l "bookmark3" </w:instrText>
          </w:r>
          <w:r>
            <w:fldChar w:fldCharType="separate"/>
          </w:r>
          <w:r>
            <w:rPr>
              <w:spacing w:val="-1"/>
            </w:rPr>
            <w:t>三、生态环境现状、保护目标及评价标准</w:t>
          </w:r>
          <w:r>
            <w:rPr>
              <w:spacing w:val="-67"/>
            </w:rPr>
            <w:t xml:space="preserve"> </w:t>
          </w:r>
          <w:r>
            <w:tab/>
          </w:r>
          <w:r>
            <w:rPr>
              <w:spacing w:val="-73"/>
            </w:rPr>
            <w:t xml:space="preserve"> </w:t>
          </w:r>
          <w:r>
            <w:rPr>
              <w:rFonts w:ascii="Times New Roman" w:hAnsi="Times New Roman" w:eastAsia="Times New Roman" w:cs="Times New Roman"/>
              <w:spacing w:val="-2"/>
            </w:rPr>
            <w:t>46</w:t>
          </w:r>
          <w:r>
            <w:rPr>
              <w:rFonts w:ascii="Times New Roman" w:hAnsi="Times New Roman" w:eastAsia="Times New Roman" w:cs="Times New Roman"/>
              <w:spacing w:val="-2"/>
            </w:rPr>
            <w:fldChar w:fldCharType="end"/>
          </w:r>
        </w:p>
        <w:p w14:paraId="3E6098A5">
          <w:pPr>
            <w:pStyle w:val="2"/>
            <w:tabs>
              <w:tab w:val="right" w:leader="dot" w:pos="8822"/>
            </w:tabs>
            <w:spacing w:before="172" w:line="220" w:lineRule="auto"/>
            <w:ind w:left="23"/>
            <w:rPr>
              <w:rFonts w:ascii="Times New Roman" w:hAnsi="Times New Roman" w:eastAsia="Times New Roman" w:cs="Times New Roman"/>
            </w:rPr>
          </w:pPr>
          <w:r>
            <w:fldChar w:fldCharType="begin"/>
          </w:r>
          <w:r>
            <w:instrText xml:space="preserve"> HYPERLINK \l "bookmark4" </w:instrText>
          </w:r>
          <w:r>
            <w:fldChar w:fldCharType="separate"/>
          </w:r>
          <w:r>
            <w:rPr>
              <w:spacing w:val="-4"/>
            </w:rPr>
            <w:t>四、生态环境影响分析</w:t>
          </w:r>
          <w:r>
            <w:rPr>
              <w:spacing w:val="-68"/>
            </w:rPr>
            <w:t xml:space="preserve"> </w:t>
          </w:r>
          <w:r>
            <w:tab/>
          </w:r>
          <w:r>
            <w:rPr>
              <w:spacing w:val="-65"/>
            </w:rPr>
            <w:t xml:space="preserve"> </w:t>
          </w:r>
          <w:r>
            <w:rPr>
              <w:rFonts w:ascii="Times New Roman" w:hAnsi="Times New Roman" w:eastAsia="Times New Roman" w:cs="Times New Roman"/>
              <w:spacing w:val="-6"/>
            </w:rPr>
            <w:t>56</w:t>
          </w:r>
          <w:r>
            <w:rPr>
              <w:rFonts w:ascii="Times New Roman" w:hAnsi="Times New Roman" w:eastAsia="Times New Roman" w:cs="Times New Roman"/>
              <w:spacing w:val="-6"/>
            </w:rPr>
            <w:fldChar w:fldCharType="end"/>
          </w:r>
        </w:p>
        <w:p w14:paraId="757EE4CA">
          <w:pPr>
            <w:pStyle w:val="2"/>
            <w:tabs>
              <w:tab w:val="right" w:leader="dot" w:pos="8822"/>
            </w:tabs>
            <w:spacing w:before="172" w:line="220" w:lineRule="auto"/>
            <w:ind w:left="4"/>
            <w:rPr>
              <w:rFonts w:ascii="Times New Roman" w:hAnsi="Times New Roman" w:eastAsia="Times New Roman" w:cs="Times New Roman"/>
            </w:rPr>
          </w:pPr>
          <w:r>
            <w:fldChar w:fldCharType="begin"/>
          </w:r>
          <w:r>
            <w:instrText xml:space="preserve"> HYPERLINK \l "bookmark5" </w:instrText>
          </w:r>
          <w:r>
            <w:fldChar w:fldCharType="separate"/>
          </w:r>
          <w:r>
            <w:rPr>
              <w:spacing w:val="-2"/>
            </w:rPr>
            <w:t>五、主要生态环境保护措施</w:t>
          </w:r>
          <w:r>
            <w:rPr>
              <w:spacing w:val="-65"/>
            </w:rPr>
            <w:t xml:space="preserve"> </w:t>
          </w:r>
          <w:r>
            <w:tab/>
          </w:r>
          <w:r>
            <w:rPr>
              <w:spacing w:val="-62"/>
            </w:rPr>
            <w:t xml:space="preserve"> </w:t>
          </w:r>
          <w:r>
            <w:rPr>
              <w:rFonts w:ascii="Times New Roman" w:hAnsi="Times New Roman" w:eastAsia="Times New Roman" w:cs="Times New Roman"/>
              <w:spacing w:val="-8"/>
            </w:rPr>
            <w:t>86</w:t>
          </w:r>
          <w:r>
            <w:rPr>
              <w:rFonts w:ascii="Times New Roman" w:hAnsi="Times New Roman" w:eastAsia="Times New Roman" w:cs="Times New Roman"/>
              <w:spacing w:val="-8"/>
            </w:rPr>
            <w:fldChar w:fldCharType="end"/>
          </w:r>
        </w:p>
        <w:p w14:paraId="024C262F">
          <w:pPr>
            <w:pStyle w:val="2"/>
            <w:tabs>
              <w:tab w:val="right" w:leader="dot" w:pos="8822"/>
            </w:tabs>
            <w:spacing w:before="173" w:line="219" w:lineRule="auto"/>
            <w:ind w:left="2"/>
            <w:rPr>
              <w:rFonts w:ascii="Times New Roman" w:hAnsi="Times New Roman" w:eastAsia="Times New Roman" w:cs="Times New Roman"/>
            </w:rPr>
          </w:pPr>
          <w:r>
            <w:fldChar w:fldCharType="begin"/>
          </w:r>
          <w:r>
            <w:instrText xml:space="preserve"> HYPERLINK \l "bookmark6" </w:instrText>
          </w:r>
          <w:r>
            <w:fldChar w:fldCharType="separate"/>
          </w:r>
          <w:r>
            <w:rPr>
              <w:spacing w:val="-1"/>
            </w:rPr>
            <w:t>六、生态环境保护措施监督检查清单</w:t>
          </w:r>
          <w:r>
            <w:rPr>
              <w:spacing w:val="-71"/>
            </w:rPr>
            <w:t xml:space="preserve"> </w:t>
          </w:r>
          <w:r>
            <w:tab/>
          </w:r>
          <w:r>
            <w:rPr>
              <w:spacing w:val="-48"/>
            </w:rPr>
            <w:t xml:space="preserve"> </w:t>
          </w:r>
          <w:r>
            <w:rPr>
              <w:rFonts w:ascii="Times New Roman" w:hAnsi="Times New Roman" w:eastAsia="Times New Roman" w:cs="Times New Roman"/>
              <w:spacing w:val="-10"/>
            </w:rPr>
            <w:t>111</w:t>
          </w:r>
          <w:r>
            <w:rPr>
              <w:rFonts w:ascii="Times New Roman" w:hAnsi="Times New Roman" w:eastAsia="Times New Roman" w:cs="Times New Roman"/>
              <w:spacing w:val="-10"/>
            </w:rPr>
            <w:fldChar w:fldCharType="end"/>
          </w:r>
        </w:p>
        <w:p w14:paraId="60637727">
          <w:pPr>
            <w:pStyle w:val="2"/>
            <w:tabs>
              <w:tab w:val="right" w:leader="dot" w:pos="8822"/>
            </w:tabs>
            <w:spacing w:before="173" w:line="221" w:lineRule="auto"/>
            <w:rPr>
              <w:rFonts w:ascii="Times New Roman" w:hAnsi="Times New Roman" w:eastAsia="Times New Roman" w:cs="Times New Roman"/>
            </w:rPr>
          </w:pPr>
          <w:r>
            <w:fldChar w:fldCharType="begin"/>
          </w:r>
          <w:r>
            <w:instrText xml:space="preserve"> HYPERLINK \l "bookmark7" </w:instrText>
          </w:r>
          <w:r>
            <w:fldChar w:fldCharType="separate"/>
          </w:r>
          <w:r>
            <w:rPr>
              <w:spacing w:val="-3"/>
            </w:rPr>
            <w:t>七、结论</w:t>
          </w:r>
          <w:r>
            <w:rPr>
              <w:spacing w:val="-72"/>
            </w:rPr>
            <w:t xml:space="preserve"> </w:t>
          </w:r>
          <w:r>
            <w:tab/>
          </w:r>
          <w:r>
            <w:rPr>
              <w:spacing w:val="-48"/>
            </w:rPr>
            <w:t xml:space="preserve"> </w:t>
          </w:r>
          <w:r>
            <w:rPr>
              <w:rFonts w:ascii="Times New Roman" w:hAnsi="Times New Roman" w:eastAsia="Times New Roman" w:cs="Times New Roman"/>
              <w:spacing w:val="-11"/>
            </w:rPr>
            <w:t>1</w:t>
          </w:r>
          <w:r>
            <w:rPr>
              <w:rFonts w:ascii="Times New Roman" w:hAnsi="Times New Roman" w:eastAsia="Times New Roman" w:cs="Times New Roman"/>
              <w:spacing w:val="-10"/>
            </w:rPr>
            <w:t>1</w:t>
          </w:r>
          <w:r>
            <w:rPr>
              <w:rFonts w:ascii="Times New Roman" w:hAnsi="Times New Roman" w:eastAsia="Times New Roman" w:cs="Times New Roman"/>
              <w:spacing w:val="-9"/>
            </w:rPr>
            <w:t>4</w:t>
          </w:r>
          <w:r>
            <w:rPr>
              <w:rFonts w:ascii="Times New Roman" w:hAnsi="Times New Roman" w:eastAsia="Times New Roman" w:cs="Times New Roman"/>
              <w:spacing w:val="-9"/>
            </w:rPr>
            <w:fldChar w:fldCharType="end"/>
          </w:r>
        </w:p>
      </w:sdtContent>
    </w:sdt>
    <w:p w14:paraId="64637FB7">
      <w:pPr>
        <w:spacing w:line="251" w:lineRule="auto"/>
        <w:rPr>
          <w:rFonts w:ascii="Arial"/>
          <w:sz w:val="21"/>
        </w:rPr>
      </w:pPr>
    </w:p>
    <w:p w14:paraId="38095247">
      <w:pPr>
        <w:spacing w:line="251" w:lineRule="auto"/>
        <w:rPr>
          <w:rFonts w:ascii="Arial"/>
          <w:sz w:val="21"/>
        </w:rPr>
      </w:pPr>
    </w:p>
    <w:p w14:paraId="5C582EB8">
      <w:pPr>
        <w:pStyle w:val="2"/>
        <w:spacing w:before="79" w:line="219" w:lineRule="auto"/>
        <w:ind w:left="19"/>
      </w:pPr>
      <w:r>
        <w:rPr>
          <w:spacing w:val="-7"/>
        </w:rPr>
        <w:t>附图</w:t>
      </w:r>
      <w:r>
        <w:rPr>
          <w:spacing w:val="-32"/>
        </w:rPr>
        <w:t xml:space="preserve"> </w:t>
      </w:r>
      <w:r>
        <w:rPr>
          <w:rFonts w:ascii="Times New Roman" w:hAnsi="Times New Roman" w:eastAsia="Times New Roman" w:cs="Times New Roman"/>
          <w:spacing w:val="-7"/>
        </w:rPr>
        <w:t>1</w:t>
      </w:r>
      <w:r>
        <w:rPr>
          <w:rFonts w:ascii="Times New Roman" w:hAnsi="Times New Roman" w:eastAsia="Times New Roman" w:cs="Times New Roman"/>
          <w:spacing w:val="13"/>
        </w:rPr>
        <w:t xml:space="preserve"> </w:t>
      </w:r>
      <w:r>
        <w:rPr>
          <w:spacing w:val="-7"/>
        </w:rPr>
        <w:t>项目地理位置图</w:t>
      </w:r>
    </w:p>
    <w:p w14:paraId="15AF879A">
      <w:pPr>
        <w:pStyle w:val="2"/>
        <w:spacing w:before="183" w:line="219" w:lineRule="auto"/>
        <w:ind w:left="19"/>
      </w:pPr>
      <w:r>
        <w:rPr>
          <w:spacing w:val="-2"/>
        </w:rPr>
        <w:t>附图</w:t>
      </w:r>
      <w:r>
        <w:rPr>
          <w:spacing w:val="-42"/>
        </w:rPr>
        <w:t xml:space="preserve"> </w:t>
      </w:r>
      <w:r>
        <w:rPr>
          <w:rFonts w:ascii="Times New Roman" w:hAnsi="Times New Roman" w:eastAsia="Times New Roman" w:cs="Times New Roman"/>
          <w:spacing w:val="-2"/>
        </w:rPr>
        <w:t xml:space="preserve">2 </w:t>
      </w:r>
      <w:r>
        <w:rPr>
          <w:spacing w:val="-2"/>
        </w:rPr>
        <w:t>项目与探矿权范围及依托工程位置关系示意图</w:t>
      </w:r>
    </w:p>
    <w:p w14:paraId="2AD0225E">
      <w:pPr>
        <w:pStyle w:val="2"/>
        <w:spacing w:before="181" w:line="219" w:lineRule="auto"/>
        <w:ind w:left="19"/>
      </w:pPr>
      <w:r>
        <w:rPr>
          <w:spacing w:val="-3"/>
        </w:rPr>
        <w:t>附图</w:t>
      </w:r>
      <w:r>
        <w:rPr>
          <w:spacing w:val="-51"/>
        </w:rPr>
        <w:t xml:space="preserve"> </w:t>
      </w:r>
      <w:r>
        <w:rPr>
          <w:rFonts w:ascii="Times New Roman" w:hAnsi="Times New Roman" w:eastAsia="Times New Roman" w:cs="Times New Roman"/>
          <w:spacing w:val="-3"/>
        </w:rPr>
        <w:t xml:space="preserve">3 </w:t>
      </w:r>
      <w:r>
        <w:rPr>
          <w:spacing w:val="-3"/>
        </w:rPr>
        <w:t>项目周边关系示意图</w:t>
      </w:r>
    </w:p>
    <w:p w14:paraId="648E9758">
      <w:pPr>
        <w:pStyle w:val="2"/>
        <w:spacing w:before="184" w:line="359" w:lineRule="auto"/>
        <w:ind w:left="19" w:right="3791"/>
      </w:pPr>
      <w:r>
        <w:rPr>
          <w:spacing w:val="-2"/>
        </w:rPr>
        <w:t>附图</w:t>
      </w:r>
      <w:r>
        <w:rPr>
          <w:spacing w:val="-46"/>
        </w:rPr>
        <w:t xml:space="preserve"> </w:t>
      </w:r>
      <w:r>
        <w:rPr>
          <w:rFonts w:ascii="Times New Roman" w:hAnsi="Times New Roman" w:eastAsia="Times New Roman" w:cs="Times New Roman"/>
          <w:spacing w:val="-2"/>
        </w:rPr>
        <w:t xml:space="preserve">4 </w:t>
      </w:r>
      <w:r>
        <w:rPr>
          <w:spacing w:val="-2"/>
        </w:rPr>
        <w:t>项目生态环境保护目标分布及位置关系图</w:t>
      </w:r>
      <w:r>
        <w:rPr>
          <w:spacing w:val="2"/>
        </w:rPr>
        <w:t>附图</w:t>
      </w:r>
      <w:r>
        <w:rPr>
          <w:rFonts w:ascii="Times New Roman" w:hAnsi="Times New Roman" w:eastAsia="Times New Roman" w:cs="Times New Roman"/>
          <w:spacing w:val="2"/>
        </w:rPr>
        <w:t xml:space="preserve">5 </w:t>
      </w:r>
      <w:r>
        <w:rPr>
          <w:spacing w:val="2"/>
        </w:rPr>
        <w:t>环境质量现状监测布点图</w:t>
      </w:r>
    </w:p>
    <w:p w14:paraId="7FEF43A9">
      <w:pPr>
        <w:pStyle w:val="2"/>
        <w:spacing w:before="1" w:line="218" w:lineRule="auto"/>
        <w:ind w:left="19"/>
      </w:pPr>
      <w:r>
        <w:rPr>
          <w:spacing w:val="2"/>
        </w:rPr>
        <w:t>附图</w:t>
      </w:r>
      <w:r>
        <w:rPr>
          <w:rFonts w:ascii="Times New Roman" w:hAnsi="Times New Roman" w:eastAsia="Times New Roman" w:cs="Times New Roman"/>
          <w:spacing w:val="2"/>
        </w:rPr>
        <w:t xml:space="preserve">6 </w:t>
      </w:r>
      <w:r>
        <w:rPr>
          <w:spacing w:val="2"/>
        </w:rPr>
        <w:t>井场平面布置示意图</w:t>
      </w:r>
    </w:p>
    <w:p w14:paraId="2DAFBC05">
      <w:pPr>
        <w:pStyle w:val="2"/>
        <w:spacing w:before="181" w:line="219" w:lineRule="auto"/>
        <w:ind w:left="19"/>
      </w:pPr>
      <w:r>
        <w:rPr>
          <w:spacing w:val="-4"/>
        </w:rPr>
        <w:t>附图</w:t>
      </w:r>
      <w:r>
        <w:rPr>
          <w:spacing w:val="-40"/>
        </w:rPr>
        <w:t xml:space="preserve"> </w:t>
      </w:r>
      <w:r>
        <w:rPr>
          <w:rFonts w:ascii="Times New Roman" w:hAnsi="Times New Roman" w:eastAsia="Times New Roman" w:cs="Times New Roman"/>
          <w:spacing w:val="-4"/>
        </w:rPr>
        <w:t>7</w:t>
      </w:r>
      <w:r>
        <w:rPr>
          <w:rFonts w:ascii="Times New Roman" w:hAnsi="Times New Roman" w:eastAsia="Times New Roman" w:cs="Times New Roman"/>
          <w:spacing w:val="22"/>
          <w:w w:val="101"/>
        </w:rPr>
        <w:t xml:space="preserve"> </w:t>
      </w:r>
      <w:r>
        <w:rPr>
          <w:spacing w:val="-4"/>
        </w:rPr>
        <w:t>临时占地典型生态保护措施示意图</w:t>
      </w:r>
    </w:p>
    <w:p w14:paraId="2F410DD9">
      <w:pPr>
        <w:spacing w:line="257" w:lineRule="auto"/>
        <w:rPr>
          <w:rFonts w:ascii="Arial"/>
          <w:sz w:val="21"/>
        </w:rPr>
      </w:pPr>
    </w:p>
    <w:p w14:paraId="35BF0AB8">
      <w:pPr>
        <w:spacing w:line="258" w:lineRule="auto"/>
        <w:rPr>
          <w:rFonts w:ascii="Arial"/>
          <w:sz w:val="21"/>
        </w:rPr>
      </w:pPr>
    </w:p>
    <w:p w14:paraId="6D2EECD4">
      <w:pPr>
        <w:pStyle w:val="2"/>
        <w:spacing w:before="78" w:line="360" w:lineRule="auto"/>
        <w:ind w:left="19" w:right="5951"/>
      </w:pPr>
      <w:r>
        <w:rPr>
          <w:spacing w:val="-5"/>
        </w:rPr>
        <w:t>附件</w:t>
      </w:r>
      <w:r>
        <w:rPr>
          <w:spacing w:val="-25"/>
        </w:rPr>
        <w:t xml:space="preserve"> </w:t>
      </w:r>
      <w:r>
        <w:rPr>
          <w:rFonts w:ascii="Times New Roman" w:hAnsi="Times New Roman" w:eastAsia="Times New Roman" w:cs="Times New Roman"/>
          <w:spacing w:val="-5"/>
        </w:rPr>
        <w:t xml:space="preserve">1 </w:t>
      </w:r>
      <w:r>
        <w:rPr>
          <w:spacing w:val="-5"/>
        </w:rPr>
        <w:t>项目委托书、承诺书附件</w:t>
      </w:r>
      <w:r>
        <w:rPr>
          <w:spacing w:val="-55"/>
        </w:rPr>
        <w:t xml:space="preserve"> </w:t>
      </w:r>
      <w:r>
        <w:rPr>
          <w:rFonts w:ascii="Times New Roman" w:hAnsi="Times New Roman" w:eastAsia="Times New Roman" w:cs="Times New Roman"/>
          <w:spacing w:val="-5"/>
        </w:rPr>
        <w:t xml:space="preserve">2 </w:t>
      </w:r>
      <w:r>
        <w:rPr>
          <w:spacing w:val="-5"/>
        </w:rPr>
        <w:t>探矿证</w:t>
      </w:r>
    </w:p>
    <w:p w14:paraId="61819972">
      <w:pPr>
        <w:pStyle w:val="2"/>
        <w:spacing w:before="1" w:line="218" w:lineRule="auto"/>
        <w:ind w:left="19"/>
      </w:pPr>
      <w:r>
        <w:rPr>
          <w:spacing w:val="-2"/>
        </w:rPr>
        <w:t>附件</w:t>
      </w:r>
      <w:r>
        <w:rPr>
          <w:spacing w:val="-48"/>
        </w:rPr>
        <w:t xml:space="preserve"> </w:t>
      </w:r>
      <w:r>
        <w:rPr>
          <w:rFonts w:ascii="Times New Roman" w:hAnsi="Times New Roman" w:eastAsia="Times New Roman" w:cs="Times New Roman"/>
          <w:spacing w:val="-2"/>
        </w:rPr>
        <w:t xml:space="preserve">3 </w:t>
      </w:r>
      <w:r>
        <w:rPr>
          <w:spacing w:val="-2"/>
        </w:rPr>
        <w:t>项目选址是否在生态红线范围内的复函</w:t>
      </w:r>
    </w:p>
    <w:p w14:paraId="08F3A2B0">
      <w:pPr>
        <w:pStyle w:val="2"/>
        <w:spacing w:before="181" w:line="219" w:lineRule="auto"/>
        <w:ind w:left="19"/>
      </w:pPr>
      <w:r>
        <w:rPr>
          <w:spacing w:val="-3"/>
        </w:rPr>
        <w:t>附件</w:t>
      </w:r>
      <w:r>
        <w:rPr>
          <w:spacing w:val="-51"/>
        </w:rPr>
        <w:t xml:space="preserve"> </w:t>
      </w:r>
      <w:r>
        <w:rPr>
          <w:rFonts w:ascii="Times New Roman" w:hAnsi="Times New Roman" w:eastAsia="Times New Roman" w:cs="Times New Roman"/>
          <w:spacing w:val="-3"/>
        </w:rPr>
        <w:t xml:space="preserve">4 </w:t>
      </w:r>
      <w:r>
        <w:rPr>
          <w:spacing w:val="-3"/>
        </w:rPr>
        <w:t>项目临时用地的批复</w:t>
      </w:r>
    </w:p>
    <w:p w14:paraId="0778A138">
      <w:pPr>
        <w:pStyle w:val="2"/>
        <w:spacing w:before="183" w:line="219" w:lineRule="auto"/>
        <w:ind w:left="19"/>
      </w:pPr>
      <w:r>
        <w:rPr>
          <w:spacing w:val="-1"/>
        </w:rPr>
        <w:t>附件</w:t>
      </w:r>
      <w:r>
        <w:rPr>
          <w:spacing w:val="-49"/>
        </w:rPr>
        <w:t xml:space="preserve"> </w:t>
      </w:r>
      <w:r>
        <w:rPr>
          <w:rFonts w:ascii="Times New Roman" w:hAnsi="Times New Roman" w:eastAsia="Times New Roman" w:cs="Times New Roman"/>
          <w:spacing w:val="-1"/>
        </w:rPr>
        <w:t xml:space="preserve">5  </w:t>
      </w:r>
      <w:r>
        <w:rPr>
          <w:spacing w:val="-1"/>
        </w:rPr>
        <w:t>项目不在内蒙古哈腾套海国家级</w:t>
      </w:r>
      <w:r>
        <w:rPr>
          <w:spacing w:val="-2"/>
        </w:rPr>
        <w:t>自然保护区范围内的证明</w:t>
      </w:r>
    </w:p>
    <w:p w14:paraId="259D7C7D">
      <w:pPr>
        <w:pStyle w:val="2"/>
        <w:spacing w:before="181" w:line="218" w:lineRule="auto"/>
        <w:ind w:left="19"/>
      </w:pPr>
      <w:r>
        <w:rPr>
          <w:spacing w:val="-3"/>
        </w:rPr>
        <w:t>附件</w:t>
      </w:r>
      <w:r>
        <w:rPr>
          <w:spacing w:val="-48"/>
        </w:rPr>
        <w:t xml:space="preserve"> </w:t>
      </w:r>
      <w:r>
        <w:rPr>
          <w:rFonts w:ascii="Times New Roman" w:hAnsi="Times New Roman" w:eastAsia="Times New Roman" w:cs="Times New Roman"/>
          <w:spacing w:val="-3"/>
        </w:rPr>
        <w:t xml:space="preserve">6  </w:t>
      </w:r>
      <w:r>
        <w:rPr>
          <w:spacing w:val="-3"/>
        </w:rPr>
        <w:t>项目文物核查的报告</w:t>
      </w:r>
    </w:p>
    <w:p w14:paraId="4CE81E69">
      <w:pPr>
        <w:pStyle w:val="2"/>
        <w:spacing w:before="182" w:line="218" w:lineRule="auto"/>
        <w:ind w:left="19"/>
      </w:pPr>
      <w:r>
        <w:rPr>
          <w:spacing w:val="-3"/>
        </w:rPr>
        <w:t>附件</w:t>
      </w:r>
      <w:r>
        <w:rPr>
          <w:spacing w:val="-48"/>
        </w:rPr>
        <w:t xml:space="preserve"> </w:t>
      </w:r>
      <w:r>
        <w:rPr>
          <w:rFonts w:ascii="Times New Roman" w:hAnsi="Times New Roman" w:eastAsia="Times New Roman" w:cs="Times New Roman"/>
          <w:spacing w:val="-3"/>
        </w:rPr>
        <w:t xml:space="preserve">7 </w:t>
      </w:r>
      <w:r>
        <w:rPr>
          <w:spacing w:val="-3"/>
        </w:rPr>
        <w:t>环境质量现状监测报告</w:t>
      </w:r>
    </w:p>
    <w:p w14:paraId="7B7F9D81">
      <w:pPr>
        <w:pStyle w:val="2"/>
        <w:spacing w:before="185" w:line="219" w:lineRule="auto"/>
        <w:ind w:left="19"/>
      </w:pPr>
      <w:r>
        <w:rPr>
          <w:spacing w:val="-3"/>
        </w:rPr>
        <w:t>附件</w:t>
      </w:r>
      <w:r>
        <w:rPr>
          <w:spacing w:val="-39"/>
        </w:rPr>
        <w:t xml:space="preserve"> </w:t>
      </w:r>
      <w:r>
        <w:rPr>
          <w:rFonts w:ascii="Times New Roman" w:hAnsi="Times New Roman" w:eastAsia="Times New Roman" w:cs="Times New Roman"/>
          <w:spacing w:val="-3"/>
        </w:rPr>
        <w:t xml:space="preserve">8 </w:t>
      </w:r>
      <w:r>
        <w:rPr>
          <w:spacing w:val="-3"/>
        </w:rPr>
        <w:t>钻井泥浆不落地处理服务合同</w:t>
      </w:r>
    </w:p>
    <w:p w14:paraId="70341105">
      <w:pPr>
        <w:pStyle w:val="2"/>
        <w:spacing w:before="183" w:line="219" w:lineRule="auto"/>
        <w:ind w:left="19"/>
      </w:pPr>
      <w:r>
        <w:rPr>
          <w:spacing w:val="-3"/>
        </w:rPr>
        <w:t>附件</w:t>
      </w:r>
      <w:r>
        <w:rPr>
          <w:spacing w:val="-48"/>
        </w:rPr>
        <w:t xml:space="preserve"> </w:t>
      </w:r>
      <w:r>
        <w:rPr>
          <w:rFonts w:ascii="Times New Roman" w:hAnsi="Times New Roman" w:eastAsia="Times New Roman" w:cs="Times New Roman"/>
          <w:spacing w:val="-3"/>
        </w:rPr>
        <w:t xml:space="preserve">9 </w:t>
      </w:r>
      <w:r>
        <w:rPr>
          <w:spacing w:val="-3"/>
        </w:rPr>
        <w:t>钻井废弃泥浆处置协议</w:t>
      </w:r>
    </w:p>
    <w:p w14:paraId="60A280F6">
      <w:pPr>
        <w:pStyle w:val="2"/>
        <w:spacing w:before="181" w:line="219" w:lineRule="auto"/>
        <w:ind w:left="19"/>
      </w:pPr>
      <w:r>
        <w:rPr>
          <w:spacing w:val="-4"/>
        </w:rPr>
        <w:t>附件</w:t>
      </w:r>
      <w:r>
        <w:rPr>
          <w:spacing w:val="-22"/>
        </w:rPr>
        <w:t xml:space="preserve"> </w:t>
      </w:r>
      <w:r>
        <w:rPr>
          <w:rFonts w:ascii="Times New Roman" w:hAnsi="Times New Roman" w:eastAsia="Times New Roman" w:cs="Times New Roman"/>
          <w:spacing w:val="-4"/>
        </w:rPr>
        <w:t xml:space="preserve">10 </w:t>
      </w:r>
      <w:r>
        <w:rPr>
          <w:spacing w:val="-4"/>
        </w:rPr>
        <w:t>危险固体废物处理服务合同</w:t>
      </w:r>
    </w:p>
    <w:p w14:paraId="61FFC660">
      <w:pPr>
        <w:pStyle w:val="2"/>
        <w:spacing w:before="183" w:line="219" w:lineRule="auto"/>
        <w:ind w:left="19"/>
      </w:pPr>
      <w:r>
        <w:rPr>
          <w:spacing w:val="-6"/>
        </w:rPr>
        <w:t>附件</w:t>
      </w:r>
      <w:r>
        <w:rPr>
          <w:spacing w:val="-21"/>
        </w:rPr>
        <w:t xml:space="preserve"> </w:t>
      </w:r>
      <w:r>
        <w:rPr>
          <w:rFonts w:ascii="Times New Roman" w:hAnsi="Times New Roman" w:eastAsia="Times New Roman" w:cs="Times New Roman"/>
          <w:spacing w:val="-6"/>
        </w:rPr>
        <w:t xml:space="preserve">11 </w:t>
      </w:r>
      <w:r>
        <w:rPr>
          <w:spacing w:val="-6"/>
        </w:rPr>
        <w:t>依托工程环保手续</w:t>
      </w:r>
    </w:p>
    <w:p w14:paraId="7CCB61CE">
      <w:pPr>
        <w:spacing w:line="219" w:lineRule="auto"/>
        <w:sectPr>
          <w:pgSz w:w="11906" w:h="16839"/>
          <w:pgMar w:top="400" w:right="1485" w:bottom="400" w:left="1597" w:header="0" w:footer="0" w:gutter="0"/>
          <w:cols w:space="720" w:num="1"/>
        </w:sectPr>
      </w:pPr>
    </w:p>
    <w:p w14:paraId="42948B90">
      <w:pPr>
        <w:spacing w:line="282" w:lineRule="auto"/>
        <w:rPr>
          <w:rFonts w:ascii="Arial"/>
          <w:sz w:val="21"/>
        </w:rPr>
      </w:pPr>
    </w:p>
    <w:p w14:paraId="44078F3E">
      <w:pPr>
        <w:spacing w:line="282" w:lineRule="auto"/>
        <w:rPr>
          <w:rFonts w:ascii="Arial"/>
          <w:sz w:val="21"/>
        </w:rPr>
      </w:pPr>
    </w:p>
    <w:p w14:paraId="440E9B2F">
      <w:pPr>
        <w:spacing w:line="282" w:lineRule="auto"/>
        <w:rPr>
          <w:rFonts w:ascii="Arial"/>
          <w:sz w:val="21"/>
        </w:rPr>
      </w:pPr>
    </w:p>
    <w:p w14:paraId="1469A9C6">
      <w:pPr>
        <w:spacing w:line="282" w:lineRule="auto"/>
        <w:rPr>
          <w:rFonts w:ascii="Arial"/>
          <w:sz w:val="21"/>
        </w:rPr>
      </w:pPr>
    </w:p>
    <w:p w14:paraId="7A47AABE">
      <w:pPr>
        <w:pStyle w:val="2"/>
        <w:spacing w:before="97" w:line="212" w:lineRule="auto"/>
        <w:ind w:left="2982"/>
        <w:outlineLvl w:val="0"/>
        <w:rPr>
          <w:sz w:val="30"/>
          <w:szCs w:val="30"/>
        </w:rPr>
      </w:pPr>
      <w:bookmarkStart w:id="0" w:name="bookmark1"/>
      <w:bookmarkEnd w:id="0"/>
      <w:r>
        <w:rPr>
          <w:b/>
          <w:bCs/>
          <w:spacing w:val="-4"/>
          <w:sz w:val="30"/>
          <w:szCs w:val="30"/>
        </w:rPr>
        <w:t>一、建设项目基本情况</w:t>
      </w:r>
    </w:p>
    <w:tbl>
      <w:tblPr>
        <w:tblStyle w:val="5"/>
        <w:tblW w:w="893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56"/>
        <w:gridCol w:w="1070"/>
        <w:gridCol w:w="1225"/>
        <w:gridCol w:w="1990"/>
        <w:gridCol w:w="1881"/>
        <w:gridCol w:w="1308"/>
      </w:tblGrid>
      <w:tr w14:paraId="1C57E5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1456" w:type="dxa"/>
            <w:tcBorders>
              <w:top w:val="single" w:color="000000" w:sz="6" w:space="0"/>
              <w:left w:val="single" w:color="000000" w:sz="6" w:space="0"/>
            </w:tcBorders>
            <w:vAlign w:val="top"/>
          </w:tcPr>
          <w:p w14:paraId="2E7F9C5B">
            <w:pPr>
              <w:pStyle w:val="6"/>
              <w:spacing w:before="55" w:line="224" w:lineRule="auto"/>
              <w:ind w:left="606" w:right="124" w:hanging="478"/>
            </w:pPr>
            <w:r>
              <w:rPr>
                <w:b/>
                <w:bCs/>
                <w:spacing w:val="-5"/>
              </w:rPr>
              <w:t>建设项目名</w:t>
            </w:r>
            <w:r>
              <w:rPr>
                <w:b/>
                <w:bCs/>
                <w:spacing w:val="-3"/>
              </w:rPr>
              <w:t>称</w:t>
            </w:r>
          </w:p>
        </w:tc>
        <w:tc>
          <w:tcPr>
            <w:tcW w:w="7474" w:type="dxa"/>
            <w:gridSpan w:val="5"/>
            <w:tcBorders>
              <w:top w:val="single" w:color="000000" w:sz="6" w:space="0"/>
              <w:right w:val="single" w:color="000000" w:sz="6" w:space="0"/>
            </w:tcBorders>
            <w:vAlign w:val="top"/>
          </w:tcPr>
          <w:p w14:paraId="242D77F1">
            <w:pPr>
              <w:pStyle w:val="6"/>
              <w:spacing w:before="212" w:line="219" w:lineRule="auto"/>
              <w:ind w:left="2331"/>
            </w:pPr>
            <w:r>
              <w:rPr>
                <w:spacing w:val="-2"/>
              </w:rPr>
              <w:t>磴口县扎格</w:t>
            </w:r>
            <w:r>
              <w:rPr>
                <w:spacing w:val="-47"/>
              </w:rPr>
              <w:t xml:space="preserve"> </w:t>
            </w:r>
            <w:r>
              <w:rPr>
                <w:rFonts w:ascii="Times New Roman" w:hAnsi="Times New Roman" w:eastAsia="Times New Roman" w:cs="Times New Roman"/>
                <w:spacing w:val="-2"/>
              </w:rPr>
              <w:t xml:space="preserve">9X </w:t>
            </w:r>
            <w:r>
              <w:rPr>
                <w:spacing w:val="-2"/>
              </w:rPr>
              <w:t>井勘探项目</w:t>
            </w:r>
          </w:p>
        </w:tc>
      </w:tr>
      <w:tr w14:paraId="256FD4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1456" w:type="dxa"/>
            <w:tcBorders>
              <w:left w:val="single" w:color="000000" w:sz="6" w:space="0"/>
            </w:tcBorders>
            <w:vAlign w:val="top"/>
          </w:tcPr>
          <w:p w14:paraId="4C02559F">
            <w:pPr>
              <w:pStyle w:val="6"/>
              <w:spacing w:before="138" w:line="219" w:lineRule="auto"/>
              <w:ind w:left="249"/>
            </w:pPr>
            <w:r>
              <w:rPr>
                <w:b/>
                <w:bCs/>
                <w:spacing w:val="-6"/>
              </w:rPr>
              <w:t>项目代码</w:t>
            </w:r>
          </w:p>
        </w:tc>
        <w:tc>
          <w:tcPr>
            <w:tcW w:w="7474" w:type="dxa"/>
            <w:gridSpan w:val="5"/>
            <w:tcBorders>
              <w:right w:val="single" w:color="000000" w:sz="6" w:space="0"/>
            </w:tcBorders>
            <w:vAlign w:val="top"/>
          </w:tcPr>
          <w:p w14:paraId="18FF747F">
            <w:pPr>
              <w:pStyle w:val="6"/>
              <w:spacing w:before="137" w:line="220" w:lineRule="auto"/>
              <w:ind w:left="3620"/>
            </w:pPr>
            <w:r>
              <w:t>无</w:t>
            </w:r>
          </w:p>
        </w:tc>
      </w:tr>
      <w:tr w14:paraId="4E4E27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1456" w:type="dxa"/>
            <w:tcBorders>
              <w:left w:val="single" w:color="000000" w:sz="6" w:space="0"/>
            </w:tcBorders>
            <w:vAlign w:val="top"/>
          </w:tcPr>
          <w:p w14:paraId="6AB790F7">
            <w:pPr>
              <w:pStyle w:val="6"/>
              <w:spacing w:before="52" w:line="223" w:lineRule="auto"/>
              <w:ind w:left="489" w:right="124" w:hanging="361"/>
            </w:pPr>
            <w:r>
              <w:rPr>
                <w:b/>
                <w:bCs/>
                <w:spacing w:val="-5"/>
              </w:rPr>
              <w:t>建设单位联</w:t>
            </w:r>
            <w:r>
              <w:rPr>
                <w:b/>
                <w:bCs/>
                <w:spacing w:val="-10"/>
              </w:rPr>
              <w:t>系人</w:t>
            </w:r>
          </w:p>
        </w:tc>
        <w:tc>
          <w:tcPr>
            <w:tcW w:w="2295" w:type="dxa"/>
            <w:gridSpan w:val="2"/>
            <w:vAlign w:val="top"/>
          </w:tcPr>
          <w:p w14:paraId="52A4EC60">
            <w:pPr>
              <w:pStyle w:val="6"/>
              <w:spacing w:before="206" w:line="221" w:lineRule="auto"/>
              <w:ind w:left="792"/>
            </w:pPr>
          </w:p>
        </w:tc>
        <w:tc>
          <w:tcPr>
            <w:tcW w:w="1990" w:type="dxa"/>
            <w:vAlign w:val="top"/>
          </w:tcPr>
          <w:p w14:paraId="33467B0D">
            <w:pPr>
              <w:pStyle w:val="6"/>
              <w:spacing w:before="206" w:line="221" w:lineRule="auto"/>
              <w:ind w:left="520"/>
            </w:pPr>
            <w:r>
              <w:rPr>
                <w:b/>
                <w:bCs/>
                <w:spacing w:val="-5"/>
              </w:rPr>
              <w:t>联系方式</w:t>
            </w:r>
          </w:p>
        </w:tc>
        <w:tc>
          <w:tcPr>
            <w:tcW w:w="3189" w:type="dxa"/>
            <w:gridSpan w:val="2"/>
            <w:tcBorders>
              <w:right w:val="single" w:color="000000" w:sz="6" w:space="0"/>
            </w:tcBorders>
            <w:vAlign w:val="top"/>
          </w:tcPr>
          <w:p w14:paraId="69907A39">
            <w:pPr>
              <w:spacing w:before="248" w:line="188" w:lineRule="auto"/>
              <w:ind w:left="958"/>
              <w:rPr>
                <w:rFonts w:ascii="Times New Roman" w:hAnsi="Times New Roman" w:eastAsia="Times New Roman" w:cs="Times New Roman"/>
                <w:sz w:val="24"/>
                <w:szCs w:val="24"/>
              </w:rPr>
            </w:pPr>
          </w:p>
        </w:tc>
      </w:tr>
      <w:tr w14:paraId="5C8543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1456" w:type="dxa"/>
            <w:tcBorders>
              <w:left w:val="single" w:color="000000" w:sz="6" w:space="0"/>
            </w:tcBorders>
            <w:vAlign w:val="top"/>
          </w:tcPr>
          <w:p w14:paraId="618D7299">
            <w:pPr>
              <w:pStyle w:val="6"/>
              <w:spacing w:before="140" w:line="221" w:lineRule="auto"/>
              <w:ind w:left="248"/>
            </w:pPr>
            <w:r>
              <w:rPr>
                <w:b/>
                <w:bCs/>
                <w:spacing w:val="-5"/>
              </w:rPr>
              <w:t>建设地点</w:t>
            </w:r>
          </w:p>
        </w:tc>
        <w:tc>
          <w:tcPr>
            <w:tcW w:w="7474" w:type="dxa"/>
            <w:gridSpan w:val="5"/>
            <w:tcBorders>
              <w:right w:val="single" w:color="000000" w:sz="6" w:space="0"/>
            </w:tcBorders>
            <w:vAlign w:val="top"/>
          </w:tcPr>
          <w:p w14:paraId="16FFF348">
            <w:pPr>
              <w:pStyle w:val="6"/>
              <w:spacing w:before="140" w:line="219" w:lineRule="auto"/>
              <w:ind w:left="1247"/>
            </w:pPr>
            <w:r>
              <w:rPr>
                <w:spacing w:val="-2"/>
              </w:rPr>
              <w:t>内蒙古自治区巴彦淖尔市磴口县隆盛合镇塔布村</w:t>
            </w:r>
          </w:p>
        </w:tc>
      </w:tr>
      <w:tr w14:paraId="278F2D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1456" w:type="dxa"/>
            <w:tcBorders>
              <w:left w:val="single" w:color="000000" w:sz="6" w:space="0"/>
            </w:tcBorders>
            <w:vAlign w:val="top"/>
          </w:tcPr>
          <w:p w14:paraId="6E109C1A">
            <w:pPr>
              <w:pStyle w:val="6"/>
              <w:spacing w:before="140" w:line="220" w:lineRule="auto"/>
              <w:ind w:left="245"/>
            </w:pPr>
            <w:r>
              <w:rPr>
                <w:b/>
                <w:bCs/>
                <w:spacing w:val="-5"/>
              </w:rPr>
              <w:t>地理坐标</w:t>
            </w:r>
          </w:p>
        </w:tc>
        <w:tc>
          <w:tcPr>
            <w:tcW w:w="7474" w:type="dxa"/>
            <w:gridSpan w:val="5"/>
            <w:tcBorders>
              <w:right w:val="single" w:color="000000" w:sz="6" w:space="0"/>
            </w:tcBorders>
            <w:vAlign w:val="top"/>
          </w:tcPr>
          <w:p w14:paraId="61B78789">
            <w:pPr>
              <w:pStyle w:val="6"/>
              <w:spacing w:before="140" w:line="207" w:lineRule="auto"/>
              <w:ind w:left="1329"/>
              <w:rPr>
                <w:rFonts w:ascii="Times New Roman" w:hAnsi="Times New Roman" w:eastAsia="Times New Roman" w:cs="Times New Roman"/>
              </w:rPr>
            </w:pPr>
            <w:r>
              <w:rPr>
                <w:spacing w:val="-2"/>
              </w:rPr>
              <w:t>井场中心坐标：</w:t>
            </w:r>
            <w:r>
              <w:rPr>
                <w:rFonts w:ascii="Times New Roman" w:hAnsi="Times New Roman" w:eastAsia="Times New Roman" w:cs="Times New Roman"/>
                <w:spacing w:val="-2"/>
              </w:rPr>
              <w:t>106°54,28.959″</w:t>
            </w:r>
            <w:r>
              <w:rPr>
                <w:rFonts w:ascii="Times New Roman" w:hAnsi="Times New Roman" w:eastAsia="Times New Roman" w:cs="Times New Roman"/>
                <w:spacing w:val="-17"/>
              </w:rPr>
              <w:t xml:space="preserve"> </w:t>
            </w:r>
            <w:r>
              <w:rPr>
                <w:spacing w:val="-2"/>
              </w:rPr>
              <w:t>，</w:t>
            </w:r>
            <w:r>
              <w:rPr>
                <w:rFonts w:ascii="Times New Roman" w:hAnsi="Times New Roman" w:eastAsia="Times New Roman" w:cs="Times New Roman"/>
                <w:spacing w:val="-2"/>
              </w:rPr>
              <w:t>40°39,57.514″</w:t>
            </w:r>
          </w:p>
        </w:tc>
      </w:tr>
      <w:tr w14:paraId="3B7EFE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7" w:hRule="atLeast"/>
        </w:trPr>
        <w:tc>
          <w:tcPr>
            <w:tcW w:w="1456" w:type="dxa"/>
            <w:tcBorders>
              <w:left w:val="single" w:color="000000" w:sz="6" w:space="0"/>
            </w:tcBorders>
            <w:vAlign w:val="top"/>
          </w:tcPr>
          <w:p w14:paraId="5E2D103A">
            <w:pPr>
              <w:spacing w:line="313" w:lineRule="auto"/>
              <w:rPr>
                <w:rFonts w:ascii="Arial"/>
                <w:sz w:val="21"/>
              </w:rPr>
            </w:pPr>
          </w:p>
          <w:p w14:paraId="26AFC495">
            <w:pPr>
              <w:pStyle w:val="6"/>
              <w:spacing w:before="78" w:line="242" w:lineRule="auto"/>
              <w:ind w:left="248" w:right="247"/>
            </w:pPr>
            <w:r>
              <w:rPr>
                <w:b/>
                <w:bCs/>
                <w:spacing w:val="-5"/>
              </w:rPr>
              <w:t>建设项目</w:t>
            </w:r>
            <w:r>
              <w:rPr>
                <w:b/>
                <w:bCs/>
                <w:spacing w:val="-6"/>
              </w:rPr>
              <w:t>行业类别</w:t>
            </w:r>
          </w:p>
        </w:tc>
        <w:tc>
          <w:tcPr>
            <w:tcW w:w="2295" w:type="dxa"/>
            <w:gridSpan w:val="2"/>
            <w:vAlign w:val="top"/>
          </w:tcPr>
          <w:p w14:paraId="5E041FEB">
            <w:pPr>
              <w:pStyle w:val="6"/>
              <w:spacing w:before="81" w:line="219" w:lineRule="auto"/>
              <w:ind w:right="3"/>
              <w:jc w:val="right"/>
            </w:pPr>
            <w:r>
              <w:rPr>
                <w:spacing w:val="-15"/>
              </w:rPr>
              <w:t>四十六、专业技术服务</w:t>
            </w:r>
          </w:p>
          <w:p w14:paraId="5896D0F2">
            <w:pPr>
              <w:pStyle w:val="6"/>
              <w:spacing w:before="27" w:line="219" w:lineRule="auto"/>
              <w:ind w:left="10"/>
            </w:pPr>
            <w:r>
              <w:rPr>
                <w:spacing w:val="-4"/>
              </w:rPr>
              <w:t>业</w:t>
            </w:r>
            <w:r>
              <w:rPr>
                <w:spacing w:val="-51"/>
              </w:rPr>
              <w:t xml:space="preserve"> </w:t>
            </w:r>
            <w:r>
              <w:rPr>
                <w:rFonts w:ascii="Times New Roman" w:hAnsi="Times New Roman" w:eastAsia="Times New Roman" w:cs="Times New Roman"/>
                <w:spacing w:val="-4"/>
              </w:rPr>
              <w:t>99</w:t>
            </w:r>
            <w:r>
              <w:rPr>
                <w:rFonts w:ascii="Times New Roman" w:hAnsi="Times New Roman" w:eastAsia="Times New Roman" w:cs="Times New Roman"/>
                <w:spacing w:val="21"/>
                <w:w w:val="101"/>
              </w:rPr>
              <w:t xml:space="preserve"> </w:t>
            </w:r>
            <w:r>
              <w:rPr>
                <w:spacing w:val="-4"/>
              </w:rPr>
              <w:t>陆地矿产资源地</w:t>
            </w:r>
          </w:p>
          <w:p w14:paraId="37ED1306">
            <w:pPr>
              <w:pStyle w:val="6"/>
              <w:spacing w:before="27" w:line="219" w:lineRule="auto"/>
              <w:ind w:left="7"/>
            </w:pPr>
            <w:r>
              <w:rPr>
                <w:spacing w:val="-13"/>
              </w:rPr>
              <w:t>质勘查（含油气资源勘</w:t>
            </w:r>
          </w:p>
          <w:p w14:paraId="3633990D">
            <w:pPr>
              <w:pStyle w:val="6"/>
              <w:spacing w:before="24" w:line="219" w:lineRule="auto"/>
              <w:ind w:left="310"/>
            </w:pPr>
            <w:r>
              <w:rPr>
                <w:spacing w:val="10"/>
              </w:rPr>
              <w:t>探）中“全部</w:t>
            </w:r>
            <w:r>
              <w:rPr>
                <w:spacing w:val="-85"/>
              </w:rPr>
              <w:t xml:space="preserve"> </w:t>
            </w:r>
            <w:r>
              <w:rPr>
                <w:spacing w:val="10"/>
              </w:rPr>
              <w:t>”</w:t>
            </w:r>
          </w:p>
        </w:tc>
        <w:tc>
          <w:tcPr>
            <w:tcW w:w="1990" w:type="dxa"/>
            <w:vAlign w:val="top"/>
          </w:tcPr>
          <w:p w14:paraId="394A0FE1">
            <w:pPr>
              <w:spacing w:line="311" w:lineRule="auto"/>
              <w:rPr>
                <w:rFonts w:ascii="Arial"/>
                <w:sz w:val="21"/>
              </w:rPr>
            </w:pPr>
          </w:p>
          <w:p w14:paraId="355DCD44">
            <w:pPr>
              <w:pStyle w:val="6"/>
              <w:spacing w:before="78" w:line="239" w:lineRule="auto"/>
              <w:ind w:left="22" w:firstLine="16"/>
            </w:pPr>
            <w:r>
              <w:rPr>
                <w:b/>
                <w:bCs/>
                <w:spacing w:val="-15"/>
              </w:rPr>
              <w:t>用地（用海）面积</w:t>
            </w:r>
            <w:r>
              <w:rPr>
                <w:b/>
                <w:bCs/>
                <w:spacing w:val="-22"/>
              </w:rPr>
              <w:t>（</w:t>
            </w:r>
            <w:r>
              <w:rPr>
                <w:rFonts w:ascii="Times New Roman" w:hAnsi="Times New Roman" w:eastAsia="Times New Roman" w:cs="Times New Roman"/>
                <w:b/>
                <w:bCs/>
                <w:spacing w:val="-22"/>
              </w:rPr>
              <w:t>m</w:t>
            </w:r>
            <w:r>
              <w:rPr>
                <w:rFonts w:ascii="Times New Roman" w:hAnsi="Times New Roman" w:eastAsia="Times New Roman" w:cs="Times New Roman"/>
                <w:b/>
                <w:bCs/>
                <w:spacing w:val="-2"/>
                <w:position w:val="1"/>
                <w:sz w:val="15"/>
                <w:szCs w:val="15"/>
              </w:rPr>
              <w:t>2</w:t>
            </w:r>
            <w:r>
              <w:rPr>
                <w:b/>
                <w:bCs/>
                <w:spacing w:val="-16"/>
                <w:position w:val="1"/>
              </w:rPr>
              <w:t>）</w:t>
            </w:r>
            <w:r>
              <w:rPr>
                <w:rFonts w:ascii="Times New Roman" w:hAnsi="Times New Roman" w:eastAsia="Times New Roman" w:cs="Times New Roman"/>
                <w:b/>
                <w:bCs/>
                <w:spacing w:val="-16"/>
              </w:rPr>
              <w:t>/</w:t>
            </w:r>
            <w:r>
              <w:rPr>
                <w:b/>
                <w:bCs/>
                <w:spacing w:val="-16"/>
              </w:rPr>
              <w:t>长度（</w:t>
            </w:r>
            <w:r>
              <w:rPr>
                <w:rFonts w:ascii="Times New Roman" w:hAnsi="Times New Roman" w:eastAsia="Times New Roman" w:cs="Times New Roman"/>
                <w:b/>
                <w:bCs/>
                <w:spacing w:val="-16"/>
              </w:rPr>
              <w:t>km</w:t>
            </w:r>
            <w:r>
              <w:rPr>
                <w:b/>
                <w:bCs/>
                <w:spacing w:val="-16"/>
              </w:rPr>
              <w:t>）</w:t>
            </w:r>
          </w:p>
        </w:tc>
        <w:tc>
          <w:tcPr>
            <w:tcW w:w="3189" w:type="dxa"/>
            <w:gridSpan w:val="2"/>
            <w:tcBorders>
              <w:right w:val="single" w:color="000000" w:sz="6" w:space="0"/>
            </w:tcBorders>
            <w:vAlign w:val="top"/>
          </w:tcPr>
          <w:p w14:paraId="0539996F">
            <w:pPr>
              <w:spacing w:line="468" w:lineRule="auto"/>
              <w:rPr>
                <w:rFonts w:ascii="Arial"/>
                <w:sz w:val="21"/>
              </w:rPr>
            </w:pPr>
          </w:p>
          <w:p w14:paraId="08A8249D">
            <w:pPr>
              <w:pStyle w:val="6"/>
              <w:spacing w:before="78" w:line="219" w:lineRule="auto"/>
              <w:ind w:left="466"/>
            </w:pPr>
            <w:r>
              <w:rPr>
                <w:rFonts w:ascii="Times New Roman" w:hAnsi="Times New Roman" w:eastAsia="Times New Roman" w:cs="Times New Roman"/>
                <w:spacing w:val="-2"/>
              </w:rPr>
              <w:t>13293m</w:t>
            </w:r>
            <w:r>
              <w:rPr>
                <w:rFonts w:ascii="Times New Roman" w:hAnsi="Times New Roman" w:eastAsia="Times New Roman" w:cs="Times New Roman"/>
                <w:spacing w:val="-2"/>
                <w:position w:val="7"/>
                <w:sz w:val="15"/>
                <w:szCs w:val="15"/>
              </w:rPr>
              <w:t>2</w:t>
            </w:r>
            <w:r>
              <w:rPr>
                <w:spacing w:val="-2"/>
              </w:rPr>
              <w:t>（临时用地）</w:t>
            </w:r>
          </w:p>
        </w:tc>
      </w:tr>
      <w:tr w14:paraId="1F5399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6" w:hRule="atLeast"/>
        </w:trPr>
        <w:tc>
          <w:tcPr>
            <w:tcW w:w="1456" w:type="dxa"/>
            <w:tcBorders>
              <w:left w:val="single" w:color="000000" w:sz="6" w:space="0"/>
            </w:tcBorders>
            <w:vAlign w:val="top"/>
          </w:tcPr>
          <w:p w14:paraId="4B5872BE">
            <w:pPr>
              <w:spacing w:line="256" w:lineRule="auto"/>
              <w:rPr>
                <w:rFonts w:ascii="Arial"/>
                <w:sz w:val="21"/>
              </w:rPr>
            </w:pPr>
          </w:p>
          <w:p w14:paraId="52E446E2">
            <w:pPr>
              <w:spacing w:line="257" w:lineRule="auto"/>
              <w:rPr>
                <w:rFonts w:ascii="Arial"/>
                <w:sz w:val="21"/>
              </w:rPr>
            </w:pPr>
          </w:p>
          <w:p w14:paraId="4AE97752">
            <w:pPr>
              <w:pStyle w:val="6"/>
              <w:spacing w:before="78" w:line="220" w:lineRule="auto"/>
              <w:ind w:left="248"/>
            </w:pPr>
            <w:r>
              <w:rPr>
                <w:b/>
                <w:bCs/>
                <w:spacing w:val="-5"/>
              </w:rPr>
              <w:t>建设性质</w:t>
            </w:r>
          </w:p>
        </w:tc>
        <w:tc>
          <w:tcPr>
            <w:tcW w:w="2295" w:type="dxa"/>
            <w:gridSpan w:val="2"/>
            <w:vAlign w:val="top"/>
          </w:tcPr>
          <w:p w14:paraId="32684569">
            <w:pPr>
              <w:pStyle w:val="6"/>
              <w:spacing w:before="125" w:line="234" w:lineRule="auto"/>
              <w:ind w:left="14" w:right="633" w:firstLine="2"/>
            </w:pPr>
            <w:r>
              <w:rPr>
                <w:rFonts w:ascii="Segoe UI Symbol" w:hAnsi="Segoe UI Symbol" w:eastAsia="Segoe UI Symbol" w:cs="Segoe UI Symbol"/>
                <w:spacing w:val="-8"/>
              </w:rPr>
              <w:t>☑</w:t>
            </w:r>
            <w:r>
              <w:rPr>
                <w:rFonts w:ascii="Segoe UI Symbol" w:hAnsi="Segoe UI Symbol" w:eastAsia="Segoe UI Symbol" w:cs="Segoe UI Symbol"/>
                <w:spacing w:val="-18"/>
              </w:rPr>
              <w:t xml:space="preserve"> </w:t>
            </w:r>
            <w:r>
              <w:rPr>
                <w:spacing w:val="-8"/>
              </w:rPr>
              <w:t>新建（迁建）</w:t>
            </w:r>
            <w:r>
              <w:t xml:space="preserve"> </w:t>
            </w:r>
            <w:r>
              <w:rPr>
                <w:rFonts w:ascii="Times New Roman" w:hAnsi="Times New Roman" w:eastAsia="Times New Roman" w:cs="Times New Roman"/>
                <w:spacing w:val="-12"/>
              </w:rPr>
              <w:t>□</w:t>
            </w:r>
            <w:r>
              <w:rPr>
                <w:rFonts w:ascii="Times New Roman" w:hAnsi="Times New Roman" w:eastAsia="Times New Roman" w:cs="Times New Roman"/>
                <w:spacing w:val="-44"/>
              </w:rPr>
              <w:t xml:space="preserve"> </w:t>
            </w:r>
            <w:r>
              <w:rPr>
                <w:spacing w:val="-12"/>
              </w:rPr>
              <w:t>改建</w:t>
            </w:r>
          </w:p>
          <w:p w14:paraId="321ED322">
            <w:pPr>
              <w:pStyle w:val="6"/>
              <w:spacing w:line="220" w:lineRule="auto"/>
              <w:ind w:left="14"/>
            </w:pPr>
            <w:r>
              <w:rPr>
                <w:rFonts w:ascii="Times New Roman" w:hAnsi="Times New Roman" w:eastAsia="Times New Roman" w:cs="Times New Roman"/>
                <w:spacing w:val="-7"/>
              </w:rPr>
              <w:t>□</w:t>
            </w:r>
            <w:r>
              <w:rPr>
                <w:spacing w:val="-7"/>
              </w:rPr>
              <w:t>扩建</w:t>
            </w:r>
          </w:p>
          <w:p w14:paraId="5AAA1D18">
            <w:pPr>
              <w:pStyle w:val="6"/>
              <w:spacing w:before="23" w:line="219" w:lineRule="auto"/>
              <w:ind w:left="14"/>
            </w:pPr>
            <w:r>
              <w:rPr>
                <w:rFonts w:ascii="Times New Roman" w:hAnsi="Times New Roman" w:eastAsia="Times New Roman" w:cs="Times New Roman"/>
                <w:spacing w:val="-4"/>
              </w:rPr>
              <w:t>□</w:t>
            </w:r>
            <w:r>
              <w:rPr>
                <w:spacing w:val="-4"/>
              </w:rPr>
              <w:t>技术改造</w:t>
            </w:r>
          </w:p>
        </w:tc>
        <w:tc>
          <w:tcPr>
            <w:tcW w:w="1990" w:type="dxa"/>
            <w:vAlign w:val="top"/>
          </w:tcPr>
          <w:p w14:paraId="1843CCBE">
            <w:pPr>
              <w:spacing w:line="358" w:lineRule="auto"/>
              <w:rPr>
                <w:rFonts w:ascii="Arial"/>
                <w:sz w:val="21"/>
              </w:rPr>
            </w:pPr>
          </w:p>
          <w:p w14:paraId="4BEC8C96">
            <w:pPr>
              <w:pStyle w:val="6"/>
              <w:spacing w:before="78" w:line="242" w:lineRule="auto"/>
              <w:ind w:left="550" w:right="512" w:hanging="28"/>
            </w:pPr>
            <w:r>
              <w:rPr>
                <w:b/>
                <w:bCs/>
                <w:spacing w:val="-5"/>
              </w:rPr>
              <w:t>建设项目</w:t>
            </w:r>
            <w:r>
              <w:rPr>
                <w:b/>
                <w:bCs/>
                <w:spacing w:val="-13"/>
              </w:rPr>
              <w:t>申报情形</w:t>
            </w:r>
          </w:p>
        </w:tc>
        <w:tc>
          <w:tcPr>
            <w:tcW w:w="3189" w:type="dxa"/>
            <w:gridSpan w:val="2"/>
            <w:tcBorders>
              <w:right w:val="single" w:color="000000" w:sz="6" w:space="0"/>
            </w:tcBorders>
            <w:vAlign w:val="top"/>
          </w:tcPr>
          <w:p w14:paraId="52FE70D5">
            <w:pPr>
              <w:pStyle w:val="6"/>
              <w:spacing w:before="127" w:line="207" w:lineRule="auto"/>
              <w:ind w:left="23"/>
            </w:pPr>
            <w:r>
              <w:rPr>
                <w:rFonts w:ascii="Segoe UI Symbol" w:hAnsi="Segoe UI Symbol" w:eastAsia="Segoe UI Symbol" w:cs="Segoe UI Symbol"/>
                <w:spacing w:val="-5"/>
              </w:rPr>
              <w:t>☑</w:t>
            </w:r>
            <w:r>
              <w:rPr>
                <w:rFonts w:ascii="Segoe UI Symbol" w:hAnsi="Segoe UI Symbol" w:eastAsia="Segoe UI Symbol" w:cs="Segoe UI Symbol"/>
                <w:spacing w:val="-18"/>
              </w:rPr>
              <w:t xml:space="preserve"> </w:t>
            </w:r>
            <w:r>
              <w:rPr>
                <w:spacing w:val="-5"/>
              </w:rPr>
              <w:t>首次申报项目</w:t>
            </w:r>
          </w:p>
          <w:p w14:paraId="72875D13">
            <w:pPr>
              <w:pStyle w:val="6"/>
              <w:spacing w:before="27" w:line="219" w:lineRule="auto"/>
              <w:ind w:left="20"/>
            </w:pPr>
            <w:r>
              <w:rPr>
                <w:rFonts w:ascii="Times New Roman" w:hAnsi="Times New Roman" w:eastAsia="Times New Roman" w:cs="Times New Roman"/>
                <w:spacing w:val="-2"/>
              </w:rPr>
              <w:t>□</w:t>
            </w:r>
            <w:r>
              <w:rPr>
                <w:spacing w:val="-2"/>
              </w:rPr>
              <w:t>不予批准后再次申报项目</w:t>
            </w:r>
          </w:p>
          <w:p w14:paraId="6E5E9D5C">
            <w:pPr>
              <w:pStyle w:val="6"/>
              <w:spacing w:before="27" w:line="219" w:lineRule="auto"/>
              <w:ind w:left="20"/>
            </w:pPr>
            <w:r>
              <w:rPr>
                <w:rFonts w:ascii="Times New Roman" w:hAnsi="Times New Roman" w:eastAsia="Times New Roman" w:cs="Times New Roman"/>
                <w:spacing w:val="-2"/>
              </w:rPr>
              <w:t>□</w:t>
            </w:r>
            <w:r>
              <w:rPr>
                <w:spacing w:val="-2"/>
              </w:rPr>
              <w:t>超五年重新审核项目</w:t>
            </w:r>
          </w:p>
          <w:p w14:paraId="4E82086C">
            <w:pPr>
              <w:pStyle w:val="6"/>
              <w:spacing w:before="24" w:line="219" w:lineRule="auto"/>
              <w:ind w:left="20"/>
            </w:pPr>
            <w:r>
              <w:rPr>
                <w:rFonts w:ascii="Times New Roman" w:hAnsi="Times New Roman" w:eastAsia="Times New Roman" w:cs="Times New Roman"/>
                <w:spacing w:val="-2"/>
              </w:rPr>
              <w:t>□</w:t>
            </w:r>
            <w:r>
              <w:rPr>
                <w:spacing w:val="-2"/>
              </w:rPr>
              <w:t>重大变动重新报批项目</w:t>
            </w:r>
          </w:p>
        </w:tc>
      </w:tr>
      <w:tr w14:paraId="0EDC69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4" w:hRule="atLeast"/>
        </w:trPr>
        <w:tc>
          <w:tcPr>
            <w:tcW w:w="1456" w:type="dxa"/>
            <w:tcBorders>
              <w:left w:val="single" w:color="000000" w:sz="6" w:space="0"/>
            </w:tcBorders>
            <w:vAlign w:val="top"/>
          </w:tcPr>
          <w:p w14:paraId="53858B0E">
            <w:pPr>
              <w:pStyle w:val="6"/>
              <w:spacing w:before="58" w:line="227" w:lineRule="auto"/>
              <w:ind w:left="22" w:right="19" w:firstLine="1"/>
              <w:jc w:val="right"/>
            </w:pPr>
            <w:r>
              <w:rPr>
                <w:b/>
                <w:bCs/>
                <w:spacing w:val="-9"/>
              </w:rPr>
              <w:t>项目审批（核</w:t>
            </w:r>
            <w:r>
              <w:rPr>
                <w:b/>
                <w:bCs/>
                <w:spacing w:val="-18"/>
              </w:rPr>
              <w:t>准</w:t>
            </w:r>
            <w:r>
              <w:rPr>
                <w:rFonts w:ascii="Times New Roman" w:hAnsi="Times New Roman" w:eastAsia="Times New Roman" w:cs="Times New Roman"/>
                <w:b/>
                <w:bCs/>
                <w:spacing w:val="-18"/>
              </w:rPr>
              <w:t>/</w:t>
            </w:r>
            <w:r>
              <w:rPr>
                <w:b/>
                <w:bCs/>
                <w:spacing w:val="-18"/>
              </w:rPr>
              <w:t>备案）部门</w:t>
            </w:r>
            <w:r>
              <w:rPr>
                <w:b/>
                <w:bCs/>
                <w:spacing w:val="-8"/>
              </w:rPr>
              <w:t>（选填）</w:t>
            </w:r>
          </w:p>
        </w:tc>
        <w:tc>
          <w:tcPr>
            <w:tcW w:w="2295" w:type="dxa"/>
            <w:gridSpan w:val="2"/>
            <w:vAlign w:val="top"/>
          </w:tcPr>
          <w:p w14:paraId="25380E46">
            <w:pPr>
              <w:spacing w:line="356" w:lineRule="auto"/>
              <w:rPr>
                <w:rFonts w:ascii="Arial"/>
                <w:sz w:val="21"/>
              </w:rPr>
            </w:pPr>
          </w:p>
          <w:p w14:paraId="4C8E38E7">
            <w:pPr>
              <w:spacing w:before="57" w:line="199" w:lineRule="auto"/>
              <w:ind w:left="111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90" w:type="dxa"/>
            <w:vAlign w:val="top"/>
          </w:tcPr>
          <w:p w14:paraId="08CD9302">
            <w:pPr>
              <w:pStyle w:val="6"/>
              <w:spacing w:before="214" w:line="242" w:lineRule="auto"/>
              <w:ind w:left="13" w:firstLine="110"/>
            </w:pPr>
            <w:r>
              <w:rPr>
                <w:b/>
                <w:bCs/>
                <w:spacing w:val="-14"/>
              </w:rPr>
              <w:t>项目审批（核准</w:t>
            </w:r>
            <w:r>
              <w:rPr>
                <w:rFonts w:ascii="Times New Roman" w:hAnsi="Times New Roman" w:eastAsia="Times New Roman" w:cs="Times New Roman"/>
                <w:b/>
                <w:bCs/>
                <w:spacing w:val="-14"/>
              </w:rPr>
              <w:t>/</w:t>
            </w:r>
            <w:r>
              <w:rPr>
                <w:b/>
                <w:bCs/>
                <w:spacing w:val="-24"/>
              </w:rPr>
              <w:t>备案）文号（选填）</w:t>
            </w:r>
          </w:p>
        </w:tc>
        <w:tc>
          <w:tcPr>
            <w:tcW w:w="3189" w:type="dxa"/>
            <w:gridSpan w:val="2"/>
            <w:tcBorders>
              <w:right w:val="single" w:color="000000" w:sz="6" w:space="0"/>
            </w:tcBorders>
            <w:vAlign w:val="top"/>
          </w:tcPr>
          <w:p w14:paraId="55ACECB5">
            <w:pPr>
              <w:spacing w:line="356" w:lineRule="auto"/>
              <w:rPr>
                <w:rFonts w:ascii="Arial"/>
                <w:sz w:val="21"/>
              </w:rPr>
            </w:pPr>
          </w:p>
          <w:p w14:paraId="514D2E93">
            <w:pPr>
              <w:spacing w:before="57" w:line="199" w:lineRule="auto"/>
              <w:ind w:left="15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6F5B5F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1456" w:type="dxa"/>
            <w:tcBorders>
              <w:left w:val="single" w:color="000000" w:sz="6" w:space="0"/>
            </w:tcBorders>
            <w:vAlign w:val="top"/>
          </w:tcPr>
          <w:p w14:paraId="3A912BCD">
            <w:pPr>
              <w:pStyle w:val="6"/>
              <w:spacing w:before="58" w:line="220" w:lineRule="auto"/>
              <w:ind w:left="132"/>
            </w:pPr>
            <w:r>
              <w:rPr>
                <w:b/>
                <w:bCs/>
                <w:spacing w:val="-5"/>
              </w:rPr>
              <w:t>总投资（万</w:t>
            </w:r>
          </w:p>
          <w:p w14:paraId="5FE2E255">
            <w:pPr>
              <w:pStyle w:val="6"/>
              <w:spacing w:before="25" w:line="203" w:lineRule="auto"/>
              <w:ind w:left="487"/>
            </w:pPr>
            <w:r>
              <w:rPr>
                <w:b/>
                <w:bCs/>
                <w:spacing w:val="-9"/>
              </w:rPr>
              <w:t>元）</w:t>
            </w:r>
          </w:p>
        </w:tc>
        <w:tc>
          <w:tcPr>
            <w:tcW w:w="2295" w:type="dxa"/>
            <w:gridSpan w:val="2"/>
            <w:vAlign w:val="top"/>
          </w:tcPr>
          <w:p w14:paraId="2C467106">
            <w:pPr>
              <w:spacing w:before="256" w:line="188" w:lineRule="auto"/>
              <w:ind w:left="75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7000.00</w:t>
            </w:r>
          </w:p>
        </w:tc>
        <w:tc>
          <w:tcPr>
            <w:tcW w:w="1990" w:type="dxa"/>
            <w:vAlign w:val="top"/>
          </w:tcPr>
          <w:p w14:paraId="419F3FC1">
            <w:pPr>
              <w:pStyle w:val="6"/>
              <w:spacing w:before="214" w:line="220" w:lineRule="auto"/>
              <w:ind w:left="37"/>
            </w:pPr>
            <w:r>
              <w:rPr>
                <w:b/>
                <w:bCs/>
                <w:spacing w:val="-4"/>
              </w:rPr>
              <w:t>环保投资（万元）</w:t>
            </w:r>
          </w:p>
        </w:tc>
        <w:tc>
          <w:tcPr>
            <w:tcW w:w="3189" w:type="dxa"/>
            <w:gridSpan w:val="2"/>
            <w:tcBorders>
              <w:right w:val="single" w:color="000000" w:sz="6" w:space="0"/>
            </w:tcBorders>
            <w:vAlign w:val="top"/>
          </w:tcPr>
          <w:p w14:paraId="4EABFD20">
            <w:pPr>
              <w:spacing w:before="256" w:line="188" w:lineRule="auto"/>
              <w:ind w:left="1286"/>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150.00</w:t>
            </w:r>
          </w:p>
        </w:tc>
      </w:tr>
      <w:tr w14:paraId="2FB36B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1456" w:type="dxa"/>
            <w:tcBorders>
              <w:left w:val="single" w:color="000000" w:sz="6" w:space="0"/>
            </w:tcBorders>
            <w:vAlign w:val="top"/>
          </w:tcPr>
          <w:p w14:paraId="329BA7EF">
            <w:pPr>
              <w:pStyle w:val="6"/>
              <w:spacing w:before="59" w:line="221" w:lineRule="auto"/>
              <w:ind w:left="271" w:right="124" w:hanging="146"/>
            </w:pPr>
            <w:r>
              <w:rPr>
                <w:b/>
                <w:bCs/>
                <w:spacing w:val="-4"/>
              </w:rPr>
              <w:t>环保投资占</w:t>
            </w:r>
            <w:r>
              <w:rPr>
                <w:b/>
                <w:bCs/>
                <w:spacing w:val="-11"/>
              </w:rPr>
              <w:t>比（</w:t>
            </w:r>
            <w:r>
              <w:rPr>
                <w:rFonts w:ascii="Times New Roman" w:hAnsi="Times New Roman" w:eastAsia="Times New Roman" w:cs="Times New Roman"/>
                <w:b/>
                <w:bCs/>
                <w:spacing w:val="-11"/>
              </w:rPr>
              <w:t>%</w:t>
            </w:r>
            <w:r>
              <w:rPr>
                <w:b/>
                <w:bCs/>
                <w:spacing w:val="-11"/>
              </w:rPr>
              <w:t>）</w:t>
            </w:r>
          </w:p>
        </w:tc>
        <w:tc>
          <w:tcPr>
            <w:tcW w:w="2295" w:type="dxa"/>
            <w:gridSpan w:val="2"/>
            <w:vAlign w:val="top"/>
          </w:tcPr>
          <w:p w14:paraId="721A2755">
            <w:pPr>
              <w:spacing w:before="257" w:line="188" w:lineRule="auto"/>
              <w:ind w:left="99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2.1</w:t>
            </w:r>
          </w:p>
        </w:tc>
        <w:tc>
          <w:tcPr>
            <w:tcW w:w="1990" w:type="dxa"/>
            <w:vAlign w:val="top"/>
          </w:tcPr>
          <w:p w14:paraId="7C62B97B">
            <w:pPr>
              <w:pStyle w:val="6"/>
              <w:spacing w:before="216" w:line="219" w:lineRule="auto"/>
              <w:ind w:left="158"/>
            </w:pPr>
            <w:r>
              <w:rPr>
                <w:b/>
                <w:bCs/>
                <w:spacing w:val="-4"/>
              </w:rPr>
              <w:t>施工工期（月）</w:t>
            </w:r>
          </w:p>
        </w:tc>
        <w:tc>
          <w:tcPr>
            <w:tcW w:w="3189" w:type="dxa"/>
            <w:gridSpan w:val="2"/>
            <w:tcBorders>
              <w:right w:val="single" w:color="000000" w:sz="6" w:space="0"/>
            </w:tcBorders>
            <w:vAlign w:val="top"/>
          </w:tcPr>
          <w:p w14:paraId="5B9EB255">
            <w:pPr>
              <w:pStyle w:val="6"/>
              <w:spacing w:before="216" w:line="219" w:lineRule="auto"/>
              <w:ind w:left="488"/>
            </w:pPr>
            <w:r>
              <w:rPr>
                <w:rFonts w:ascii="Times New Roman" w:hAnsi="Times New Roman" w:eastAsia="Times New Roman" w:cs="Times New Roman"/>
                <w:spacing w:val="-4"/>
              </w:rPr>
              <w:t xml:space="preserve">3 </w:t>
            </w:r>
            <w:r>
              <w:rPr>
                <w:spacing w:val="-4"/>
              </w:rPr>
              <w:t>个月（折合</w:t>
            </w:r>
            <w:r>
              <w:rPr>
                <w:spacing w:val="-42"/>
              </w:rPr>
              <w:t xml:space="preserve"> </w:t>
            </w:r>
            <w:r>
              <w:rPr>
                <w:rFonts w:ascii="Times New Roman" w:hAnsi="Times New Roman" w:eastAsia="Times New Roman" w:cs="Times New Roman"/>
                <w:spacing w:val="-4"/>
              </w:rPr>
              <w:t>90</w:t>
            </w:r>
            <w:r>
              <w:rPr>
                <w:rFonts w:ascii="Times New Roman" w:hAnsi="Times New Roman" w:eastAsia="Times New Roman" w:cs="Times New Roman"/>
                <w:spacing w:val="15"/>
              </w:rPr>
              <w:t xml:space="preserve"> </w:t>
            </w:r>
            <w:r>
              <w:rPr>
                <w:spacing w:val="-4"/>
              </w:rPr>
              <w:t>天）</w:t>
            </w:r>
          </w:p>
        </w:tc>
      </w:tr>
      <w:tr w14:paraId="55E0D5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1456" w:type="dxa"/>
            <w:tcBorders>
              <w:left w:val="single" w:color="000000" w:sz="6" w:space="0"/>
            </w:tcBorders>
            <w:vAlign w:val="top"/>
          </w:tcPr>
          <w:p w14:paraId="1B688622">
            <w:pPr>
              <w:pStyle w:val="6"/>
              <w:spacing w:before="60" w:line="220" w:lineRule="auto"/>
              <w:ind w:left="611" w:right="124" w:hanging="482"/>
            </w:pPr>
            <w:r>
              <w:rPr>
                <w:b/>
                <w:bCs/>
                <w:spacing w:val="-5"/>
              </w:rPr>
              <w:t>是否开工建</w:t>
            </w:r>
            <w:r>
              <w:rPr>
                <w:b/>
                <w:bCs/>
                <w:spacing w:val="-3"/>
              </w:rPr>
              <w:t>设</w:t>
            </w:r>
          </w:p>
        </w:tc>
        <w:tc>
          <w:tcPr>
            <w:tcW w:w="7474" w:type="dxa"/>
            <w:gridSpan w:val="5"/>
            <w:tcBorders>
              <w:right w:val="single" w:color="000000" w:sz="6" w:space="0"/>
            </w:tcBorders>
            <w:vAlign w:val="top"/>
          </w:tcPr>
          <w:p w14:paraId="6BA3D33C">
            <w:pPr>
              <w:pStyle w:val="6"/>
              <w:spacing w:before="61" w:line="208" w:lineRule="auto"/>
              <w:ind w:left="122"/>
            </w:pPr>
            <w:r>
              <w:rPr>
                <w:rFonts w:ascii="Segoe UI Symbol" w:hAnsi="Segoe UI Symbol" w:eastAsia="Segoe UI Symbol" w:cs="Segoe UI Symbol"/>
                <w:spacing w:val="-10"/>
              </w:rPr>
              <w:t>☑</w:t>
            </w:r>
            <w:r>
              <w:rPr>
                <w:rFonts w:ascii="Segoe UI Symbol" w:hAnsi="Segoe UI Symbol" w:eastAsia="Segoe UI Symbol" w:cs="Segoe UI Symbol"/>
                <w:spacing w:val="-16"/>
              </w:rPr>
              <w:t xml:space="preserve"> </w:t>
            </w:r>
            <w:r>
              <w:rPr>
                <w:spacing w:val="-10"/>
              </w:rPr>
              <w:t>否</w:t>
            </w:r>
          </w:p>
          <w:p w14:paraId="2809098C">
            <w:pPr>
              <w:pStyle w:val="6"/>
              <w:spacing w:before="23" w:line="201" w:lineRule="auto"/>
              <w:ind w:left="105"/>
            </w:pPr>
            <w:r>
              <w:rPr>
                <w:rFonts w:ascii="Times New Roman" w:hAnsi="Times New Roman" w:eastAsia="Times New Roman" w:cs="Times New Roman"/>
                <w:spacing w:val="-4"/>
              </w:rPr>
              <w:t>□</w:t>
            </w:r>
            <w:r>
              <w:rPr>
                <w:spacing w:val="-4"/>
              </w:rPr>
              <w:t>是：</w:t>
            </w:r>
            <w:r>
              <w:rPr>
                <w:spacing w:val="-4"/>
                <w:u w:val="single" w:color="auto"/>
              </w:rPr>
              <w:t xml:space="preserve">                       </w:t>
            </w:r>
            <w:r>
              <w:rPr>
                <w:spacing w:val="-5"/>
                <w:u w:val="single" w:color="auto"/>
              </w:rPr>
              <w:t xml:space="preserve">       </w:t>
            </w:r>
          </w:p>
        </w:tc>
      </w:tr>
      <w:tr w14:paraId="59E1D8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4" w:hRule="atLeast"/>
        </w:trPr>
        <w:tc>
          <w:tcPr>
            <w:tcW w:w="1456" w:type="dxa"/>
            <w:vMerge w:val="restart"/>
            <w:tcBorders>
              <w:left w:val="single" w:color="000000" w:sz="6" w:space="0"/>
              <w:bottom w:val="nil"/>
            </w:tcBorders>
            <w:vAlign w:val="top"/>
          </w:tcPr>
          <w:p w14:paraId="75771C91">
            <w:pPr>
              <w:spacing w:line="261" w:lineRule="auto"/>
              <w:rPr>
                <w:rFonts w:ascii="Arial"/>
                <w:sz w:val="21"/>
              </w:rPr>
            </w:pPr>
          </w:p>
          <w:p w14:paraId="2543E10A">
            <w:pPr>
              <w:spacing w:line="261" w:lineRule="auto"/>
              <w:rPr>
                <w:rFonts w:ascii="Arial"/>
                <w:sz w:val="21"/>
              </w:rPr>
            </w:pPr>
          </w:p>
          <w:p w14:paraId="4D802B4E">
            <w:pPr>
              <w:spacing w:line="261" w:lineRule="auto"/>
              <w:rPr>
                <w:rFonts w:ascii="Arial"/>
                <w:sz w:val="21"/>
              </w:rPr>
            </w:pPr>
          </w:p>
          <w:p w14:paraId="56005259">
            <w:pPr>
              <w:spacing w:line="261" w:lineRule="auto"/>
              <w:rPr>
                <w:rFonts w:ascii="Arial"/>
                <w:sz w:val="21"/>
              </w:rPr>
            </w:pPr>
          </w:p>
          <w:p w14:paraId="07FC9449">
            <w:pPr>
              <w:spacing w:line="261" w:lineRule="auto"/>
              <w:rPr>
                <w:rFonts w:ascii="Arial"/>
                <w:sz w:val="21"/>
              </w:rPr>
            </w:pPr>
          </w:p>
          <w:p w14:paraId="42090440">
            <w:pPr>
              <w:spacing w:line="262" w:lineRule="auto"/>
              <w:rPr>
                <w:rFonts w:ascii="Arial"/>
                <w:sz w:val="21"/>
              </w:rPr>
            </w:pPr>
          </w:p>
          <w:p w14:paraId="13926D8A">
            <w:pPr>
              <w:spacing w:line="262" w:lineRule="auto"/>
              <w:rPr>
                <w:rFonts w:ascii="Arial"/>
                <w:sz w:val="21"/>
              </w:rPr>
            </w:pPr>
          </w:p>
          <w:p w14:paraId="07387227">
            <w:pPr>
              <w:spacing w:line="262" w:lineRule="auto"/>
              <w:rPr>
                <w:rFonts w:ascii="Arial"/>
                <w:sz w:val="21"/>
              </w:rPr>
            </w:pPr>
          </w:p>
          <w:p w14:paraId="37368F64">
            <w:pPr>
              <w:pStyle w:val="6"/>
              <w:spacing w:before="78" w:line="241" w:lineRule="auto"/>
              <w:ind w:left="363" w:right="124" w:hanging="237"/>
            </w:pPr>
            <w:r>
              <w:rPr>
                <w:b/>
                <w:bCs/>
                <w:spacing w:val="-4"/>
              </w:rPr>
              <w:t>专项评价设</w:t>
            </w:r>
            <w:r>
              <w:rPr>
                <w:b/>
                <w:bCs/>
                <w:spacing w:val="-5"/>
              </w:rPr>
              <w:t>置情况</w:t>
            </w:r>
          </w:p>
        </w:tc>
        <w:tc>
          <w:tcPr>
            <w:tcW w:w="7474" w:type="dxa"/>
            <w:gridSpan w:val="5"/>
            <w:tcBorders>
              <w:bottom w:val="single" w:color="000000" w:sz="10" w:space="0"/>
              <w:right w:val="single" w:color="000000" w:sz="6" w:space="0"/>
            </w:tcBorders>
            <w:vAlign w:val="top"/>
          </w:tcPr>
          <w:p w14:paraId="473EE36D">
            <w:pPr>
              <w:pStyle w:val="6"/>
              <w:spacing w:before="63" w:line="359" w:lineRule="auto"/>
              <w:ind w:left="17" w:right="7" w:firstLine="471"/>
              <w:jc w:val="both"/>
            </w:pPr>
            <w:r>
              <w:rPr>
                <w:spacing w:val="-7"/>
              </w:rPr>
              <w:t>根据《建设项目环境影响评价分类管理名录（</w:t>
            </w:r>
            <w:r>
              <w:rPr>
                <w:rFonts w:ascii="Times New Roman" w:hAnsi="Times New Roman" w:eastAsia="Times New Roman" w:cs="Times New Roman"/>
                <w:spacing w:val="-7"/>
              </w:rPr>
              <w:t>20</w:t>
            </w:r>
            <w:r>
              <w:rPr>
                <w:rFonts w:ascii="Times New Roman" w:hAnsi="Times New Roman" w:eastAsia="Times New Roman" w:cs="Times New Roman"/>
                <w:spacing w:val="-8"/>
              </w:rPr>
              <w:t>21</w:t>
            </w:r>
            <w:r>
              <w:rPr>
                <w:spacing w:val="-8"/>
              </w:rPr>
              <w:t>版）》，本项目属</w:t>
            </w:r>
            <w:r>
              <w:rPr>
                <w:spacing w:val="-5"/>
              </w:rPr>
              <w:t>于“</w:t>
            </w:r>
            <w:r>
              <w:rPr>
                <w:spacing w:val="-78"/>
              </w:rPr>
              <w:t xml:space="preserve"> </w:t>
            </w:r>
            <w:r>
              <w:rPr>
                <w:spacing w:val="-5"/>
              </w:rPr>
              <w:t xml:space="preserve">四十六、专业技术服务业 </w:t>
            </w:r>
            <w:r>
              <w:rPr>
                <w:rFonts w:ascii="Times New Roman" w:hAnsi="Times New Roman" w:eastAsia="Times New Roman" w:cs="Times New Roman"/>
                <w:spacing w:val="-5"/>
              </w:rPr>
              <w:t>99</w:t>
            </w:r>
            <w:r>
              <w:rPr>
                <w:spacing w:val="-5"/>
              </w:rPr>
              <w:t>、陆地矿产资源地质勘查（含油气资源</w:t>
            </w:r>
            <w:r>
              <w:rPr>
                <w:spacing w:val="-6"/>
              </w:rPr>
              <w:t>勘探</w:t>
            </w:r>
            <w:r>
              <w:rPr>
                <w:spacing w:val="6"/>
              </w:rPr>
              <w:t>）；</w:t>
            </w:r>
            <w:r>
              <w:rPr>
                <w:spacing w:val="-6"/>
              </w:rPr>
              <w:t>二氧化碳地质封存</w:t>
            </w:r>
            <w:r>
              <w:rPr>
                <w:spacing w:val="-93"/>
              </w:rPr>
              <w:t xml:space="preserve"> </w:t>
            </w:r>
            <w:r>
              <w:rPr>
                <w:spacing w:val="-6"/>
              </w:rPr>
              <w:t>”全部，应编制环境影响报告表。</w:t>
            </w:r>
          </w:p>
          <w:p w14:paraId="2DA09365">
            <w:pPr>
              <w:pStyle w:val="6"/>
              <w:spacing w:line="359" w:lineRule="auto"/>
              <w:ind w:left="22" w:right="9" w:firstLine="478"/>
            </w:pPr>
            <w:r>
              <w:rPr>
                <w:spacing w:val="1"/>
              </w:rPr>
              <w:t>依据《建设项目环境影响报告表编制技术指南（生态影响类</w:t>
            </w:r>
            <w:r>
              <w:rPr>
                <w:spacing w:val="-18"/>
              </w:rPr>
              <w:t>）（</w:t>
            </w:r>
            <w:r>
              <w:rPr>
                <w:spacing w:val="1"/>
              </w:rPr>
              <w:t>试</w:t>
            </w:r>
            <w:r>
              <w:rPr>
                <w:spacing w:val="-2"/>
              </w:rPr>
              <w:t>行）》中表</w:t>
            </w:r>
            <w:r>
              <w:rPr>
                <w:rFonts w:ascii="Times New Roman" w:hAnsi="Times New Roman" w:eastAsia="Times New Roman" w:cs="Times New Roman"/>
                <w:spacing w:val="-2"/>
              </w:rPr>
              <w:t>1</w:t>
            </w:r>
            <w:r>
              <w:rPr>
                <w:rFonts w:ascii="Times New Roman" w:hAnsi="Times New Roman" w:eastAsia="Times New Roman" w:cs="Times New Roman"/>
                <w:spacing w:val="-31"/>
              </w:rPr>
              <w:t xml:space="preserve"> </w:t>
            </w:r>
            <w:r>
              <w:rPr>
                <w:spacing w:val="-2"/>
              </w:rPr>
              <w:t>，专项评价设置情况如下表所</w:t>
            </w:r>
            <w:r>
              <w:rPr>
                <w:spacing w:val="-3"/>
              </w:rPr>
              <w:t>示。</w:t>
            </w:r>
          </w:p>
          <w:p w14:paraId="51B73BC7">
            <w:pPr>
              <w:spacing w:line="205" w:lineRule="auto"/>
              <w:ind w:left="2292"/>
              <w:rPr>
                <w:rFonts w:ascii="黑体" w:hAnsi="黑体" w:eastAsia="黑体" w:cs="黑体"/>
                <w:sz w:val="24"/>
                <w:szCs w:val="24"/>
              </w:rPr>
            </w:pPr>
            <w:r>
              <w:rPr>
                <w:rFonts w:ascii="黑体" w:hAnsi="黑体" w:eastAsia="黑体" w:cs="黑体"/>
                <w:spacing w:val="-5"/>
                <w:sz w:val="24"/>
                <w:szCs w:val="24"/>
              </w:rPr>
              <w:t>表</w:t>
            </w:r>
            <w:r>
              <w:rPr>
                <w:rFonts w:ascii="黑体" w:hAnsi="黑体" w:eastAsia="黑体" w:cs="黑体"/>
                <w:spacing w:val="-28"/>
                <w:sz w:val="24"/>
                <w:szCs w:val="24"/>
              </w:rPr>
              <w:t xml:space="preserve">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5"/>
                <w:sz w:val="24"/>
                <w:szCs w:val="24"/>
              </w:rPr>
              <w:t xml:space="preserve">1  </w:t>
            </w:r>
            <w:r>
              <w:rPr>
                <w:rFonts w:ascii="黑体" w:hAnsi="黑体" w:eastAsia="黑体" w:cs="黑体"/>
                <w:spacing w:val="-5"/>
                <w:sz w:val="24"/>
                <w:szCs w:val="24"/>
              </w:rPr>
              <w:t>专项评价设置原则表</w:t>
            </w:r>
          </w:p>
        </w:tc>
      </w:tr>
      <w:tr w14:paraId="47BCF7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1456" w:type="dxa"/>
            <w:vMerge w:val="continue"/>
            <w:tcBorders>
              <w:top w:val="nil"/>
              <w:left w:val="single" w:color="000000" w:sz="6" w:space="0"/>
              <w:bottom w:val="nil"/>
            </w:tcBorders>
            <w:vAlign w:val="top"/>
          </w:tcPr>
          <w:p w14:paraId="6F1237B7">
            <w:pPr>
              <w:rPr>
                <w:rFonts w:ascii="Arial"/>
                <w:sz w:val="21"/>
              </w:rPr>
            </w:pPr>
          </w:p>
        </w:tc>
        <w:tc>
          <w:tcPr>
            <w:tcW w:w="1070" w:type="dxa"/>
            <w:tcBorders>
              <w:top w:val="single" w:color="000000" w:sz="10" w:space="0"/>
            </w:tcBorders>
            <w:vAlign w:val="top"/>
          </w:tcPr>
          <w:p w14:paraId="02A214B9">
            <w:pPr>
              <w:pStyle w:val="6"/>
              <w:spacing w:before="34" w:line="228" w:lineRule="auto"/>
              <w:ind w:left="245" w:right="109" w:hanging="119"/>
              <w:rPr>
                <w:sz w:val="20"/>
                <w:szCs w:val="20"/>
              </w:rPr>
            </w:pPr>
            <w:r>
              <w:rPr>
                <w:spacing w:val="7"/>
                <w:sz w:val="20"/>
                <w:szCs w:val="20"/>
              </w:rPr>
              <w:t>专项评价</w:t>
            </w:r>
            <w:r>
              <w:rPr>
                <w:spacing w:val="1"/>
                <w:sz w:val="20"/>
                <w:szCs w:val="20"/>
              </w:rPr>
              <w:t>的类别</w:t>
            </w:r>
          </w:p>
        </w:tc>
        <w:tc>
          <w:tcPr>
            <w:tcW w:w="5096" w:type="dxa"/>
            <w:gridSpan w:val="3"/>
            <w:tcBorders>
              <w:top w:val="single" w:color="000000" w:sz="10" w:space="0"/>
            </w:tcBorders>
            <w:vAlign w:val="top"/>
          </w:tcPr>
          <w:p w14:paraId="42FBEE86">
            <w:pPr>
              <w:pStyle w:val="6"/>
              <w:spacing w:before="168" w:line="228" w:lineRule="auto"/>
              <w:ind w:left="1925"/>
              <w:rPr>
                <w:sz w:val="20"/>
                <w:szCs w:val="20"/>
              </w:rPr>
            </w:pPr>
            <w:r>
              <w:rPr>
                <w:spacing w:val="7"/>
                <w:sz w:val="20"/>
                <w:szCs w:val="20"/>
              </w:rPr>
              <w:t>涉及项目类别</w:t>
            </w:r>
          </w:p>
        </w:tc>
        <w:tc>
          <w:tcPr>
            <w:tcW w:w="1308" w:type="dxa"/>
            <w:tcBorders>
              <w:top w:val="single" w:color="000000" w:sz="10" w:space="0"/>
              <w:right w:val="single" w:color="000000" w:sz="6" w:space="0"/>
            </w:tcBorders>
            <w:vAlign w:val="top"/>
          </w:tcPr>
          <w:p w14:paraId="6AE4FEC0">
            <w:pPr>
              <w:pStyle w:val="6"/>
              <w:spacing w:before="169" w:line="228" w:lineRule="auto"/>
              <w:ind w:left="236"/>
              <w:rPr>
                <w:sz w:val="20"/>
                <w:szCs w:val="20"/>
              </w:rPr>
            </w:pPr>
            <w:r>
              <w:rPr>
                <w:spacing w:val="6"/>
                <w:sz w:val="20"/>
                <w:szCs w:val="20"/>
              </w:rPr>
              <w:t>项目情况</w:t>
            </w:r>
          </w:p>
        </w:tc>
      </w:tr>
      <w:tr w14:paraId="256558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1" w:hRule="atLeast"/>
        </w:trPr>
        <w:tc>
          <w:tcPr>
            <w:tcW w:w="1456" w:type="dxa"/>
            <w:vMerge w:val="continue"/>
            <w:tcBorders>
              <w:top w:val="nil"/>
              <w:left w:val="single" w:color="000000" w:sz="6" w:space="0"/>
              <w:bottom w:val="single" w:color="000000" w:sz="6" w:space="0"/>
            </w:tcBorders>
            <w:vAlign w:val="top"/>
          </w:tcPr>
          <w:p w14:paraId="5FCE898E">
            <w:pPr>
              <w:rPr>
                <w:rFonts w:ascii="Arial"/>
                <w:sz w:val="21"/>
              </w:rPr>
            </w:pPr>
          </w:p>
        </w:tc>
        <w:tc>
          <w:tcPr>
            <w:tcW w:w="1070" w:type="dxa"/>
            <w:tcBorders>
              <w:bottom w:val="single" w:color="000000" w:sz="6" w:space="0"/>
            </w:tcBorders>
            <w:vAlign w:val="top"/>
          </w:tcPr>
          <w:p w14:paraId="6295B591">
            <w:pPr>
              <w:spacing w:line="327" w:lineRule="auto"/>
              <w:rPr>
                <w:rFonts w:ascii="Arial"/>
                <w:sz w:val="21"/>
              </w:rPr>
            </w:pPr>
          </w:p>
          <w:p w14:paraId="6D88E927">
            <w:pPr>
              <w:spacing w:line="327" w:lineRule="auto"/>
              <w:rPr>
                <w:rFonts w:ascii="Arial"/>
                <w:sz w:val="21"/>
              </w:rPr>
            </w:pPr>
          </w:p>
          <w:p w14:paraId="3BE667FE">
            <w:pPr>
              <w:pStyle w:val="6"/>
              <w:spacing w:before="65" w:line="228" w:lineRule="auto"/>
              <w:ind w:left="228"/>
              <w:rPr>
                <w:sz w:val="20"/>
                <w:szCs w:val="20"/>
              </w:rPr>
            </w:pPr>
            <w:r>
              <w:rPr>
                <w:spacing w:val="6"/>
                <w:sz w:val="20"/>
                <w:szCs w:val="20"/>
              </w:rPr>
              <w:t>地表水</w:t>
            </w:r>
          </w:p>
        </w:tc>
        <w:tc>
          <w:tcPr>
            <w:tcW w:w="5096" w:type="dxa"/>
            <w:gridSpan w:val="3"/>
            <w:tcBorders>
              <w:bottom w:val="single" w:color="000000" w:sz="6" w:space="0"/>
            </w:tcBorders>
            <w:vAlign w:val="top"/>
          </w:tcPr>
          <w:p w14:paraId="3B9B8FDE">
            <w:pPr>
              <w:pStyle w:val="6"/>
              <w:spacing w:before="44" w:line="228" w:lineRule="auto"/>
              <w:ind w:left="32"/>
              <w:rPr>
                <w:sz w:val="20"/>
                <w:szCs w:val="20"/>
              </w:rPr>
            </w:pPr>
            <w:r>
              <w:rPr>
                <w:spacing w:val="8"/>
                <w:sz w:val="20"/>
                <w:szCs w:val="20"/>
              </w:rPr>
              <w:t>水力发电：引水式发电、涉及调峰发电的项目；</w:t>
            </w:r>
          </w:p>
          <w:p w14:paraId="1E736523">
            <w:pPr>
              <w:pStyle w:val="6"/>
              <w:spacing w:before="24" w:line="228" w:lineRule="auto"/>
              <w:ind w:left="31"/>
              <w:rPr>
                <w:sz w:val="20"/>
                <w:szCs w:val="20"/>
              </w:rPr>
            </w:pPr>
            <w:r>
              <w:rPr>
                <w:spacing w:val="8"/>
                <w:sz w:val="20"/>
                <w:szCs w:val="20"/>
              </w:rPr>
              <w:t>人工湖、人工湿地：全部；</w:t>
            </w:r>
          </w:p>
          <w:p w14:paraId="14793907">
            <w:pPr>
              <w:pStyle w:val="6"/>
              <w:spacing w:before="26" w:line="228" w:lineRule="auto"/>
              <w:ind w:left="32"/>
              <w:rPr>
                <w:sz w:val="20"/>
                <w:szCs w:val="20"/>
              </w:rPr>
            </w:pPr>
            <w:r>
              <w:rPr>
                <w:spacing w:val="6"/>
                <w:sz w:val="20"/>
                <w:szCs w:val="20"/>
              </w:rPr>
              <w:t>水库：全部；</w:t>
            </w:r>
          </w:p>
          <w:p w14:paraId="56261A8F">
            <w:pPr>
              <w:pStyle w:val="6"/>
              <w:spacing w:before="26" w:line="228" w:lineRule="auto"/>
              <w:ind w:left="45"/>
              <w:rPr>
                <w:sz w:val="20"/>
                <w:szCs w:val="20"/>
              </w:rPr>
            </w:pPr>
            <w:r>
              <w:rPr>
                <w:spacing w:val="8"/>
                <w:sz w:val="20"/>
                <w:szCs w:val="20"/>
              </w:rPr>
              <w:t>引水工程：全部（配套的管线工程等除外</w:t>
            </w:r>
            <w:r>
              <w:rPr>
                <w:spacing w:val="4"/>
                <w:sz w:val="20"/>
                <w:szCs w:val="20"/>
              </w:rPr>
              <w:t>）；</w:t>
            </w:r>
          </w:p>
          <w:p w14:paraId="70A31B13">
            <w:pPr>
              <w:pStyle w:val="6"/>
              <w:spacing w:before="24" w:line="228" w:lineRule="auto"/>
              <w:ind w:left="43"/>
              <w:rPr>
                <w:sz w:val="20"/>
                <w:szCs w:val="20"/>
              </w:rPr>
            </w:pPr>
            <w:r>
              <w:rPr>
                <w:spacing w:val="7"/>
                <w:sz w:val="20"/>
                <w:szCs w:val="20"/>
              </w:rPr>
              <w:t>防洪除涝工程：包含水库的项目；</w:t>
            </w:r>
          </w:p>
          <w:p w14:paraId="644D0C4F">
            <w:pPr>
              <w:pStyle w:val="6"/>
              <w:spacing w:before="24" w:line="217" w:lineRule="auto"/>
              <w:ind w:left="29"/>
              <w:rPr>
                <w:sz w:val="20"/>
                <w:szCs w:val="20"/>
              </w:rPr>
            </w:pPr>
            <w:r>
              <w:rPr>
                <w:spacing w:val="9"/>
                <w:sz w:val="20"/>
                <w:szCs w:val="20"/>
              </w:rPr>
              <w:t>河湖整治：涉及清淤且底泥存在重金属污染的项目</w:t>
            </w:r>
          </w:p>
        </w:tc>
        <w:tc>
          <w:tcPr>
            <w:tcW w:w="1308" w:type="dxa"/>
            <w:tcBorders>
              <w:bottom w:val="single" w:color="000000" w:sz="6" w:space="0"/>
              <w:right w:val="single" w:color="000000" w:sz="6" w:space="0"/>
            </w:tcBorders>
            <w:vAlign w:val="top"/>
          </w:tcPr>
          <w:p w14:paraId="15ADA647">
            <w:pPr>
              <w:spacing w:line="327" w:lineRule="auto"/>
              <w:rPr>
                <w:rFonts w:ascii="Arial"/>
                <w:sz w:val="21"/>
              </w:rPr>
            </w:pPr>
          </w:p>
          <w:p w14:paraId="0F7A777C">
            <w:pPr>
              <w:spacing w:line="328" w:lineRule="auto"/>
              <w:rPr>
                <w:rFonts w:ascii="Arial"/>
                <w:sz w:val="21"/>
              </w:rPr>
            </w:pPr>
          </w:p>
          <w:p w14:paraId="3F0C20CF">
            <w:pPr>
              <w:pStyle w:val="6"/>
              <w:spacing w:before="65" w:line="228" w:lineRule="auto"/>
              <w:ind w:left="42"/>
              <w:rPr>
                <w:sz w:val="20"/>
                <w:szCs w:val="20"/>
              </w:rPr>
            </w:pPr>
            <w:r>
              <w:rPr>
                <w:spacing w:val="6"/>
                <w:sz w:val="20"/>
                <w:szCs w:val="20"/>
              </w:rPr>
              <w:t>项目不涉及。</w:t>
            </w:r>
          </w:p>
        </w:tc>
      </w:tr>
    </w:tbl>
    <w:p w14:paraId="34C0D2EF">
      <w:pPr>
        <w:spacing w:line="227" w:lineRule="exact"/>
        <w:rPr>
          <w:rFonts w:ascii="Arial"/>
          <w:sz w:val="19"/>
        </w:rPr>
      </w:pPr>
    </w:p>
    <w:p w14:paraId="79B20D5A">
      <w:pPr>
        <w:spacing w:line="227" w:lineRule="exact"/>
        <w:rPr>
          <w:rFonts w:ascii="Arial" w:hAnsi="Arial" w:eastAsia="Arial" w:cs="Arial"/>
          <w:sz w:val="19"/>
          <w:szCs w:val="19"/>
        </w:rPr>
        <w:sectPr>
          <w:footerReference r:id="rId7" w:type="default"/>
          <w:pgSz w:w="11906" w:h="16839"/>
          <w:pgMar w:top="400" w:right="1395" w:bottom="1240" w:left="1565" w:header="0" w:footer="1078" w:gutter="0"/>
          <w:cols w:space="720" w:num="1"/>
        </w:sectPr>
      </w:pPr>
    </w:p>
    <w:p w14:paraId="6040DED4">
      <w:pPr>
        <w:spacing w:before="56"/>
      </w:pPr>
    </w:p>
    <w:p w14:paraId="07E5758C">
      <w:pPr>
        <w:spacing w:before="56"/>
      </w:pPr>
    </w:p>
    <w:p w14:paraId="2EDDFEAF">
      <w:pPr>
        <w:spacing w:before="55"/>
      </w:pPr>
    </w:p>
    <w:p w14:paraId="3076AE71">
      <w:pPr>
        <w:spacing w:before="55"/>
      </w:pPr>
    </w:p>
    <w:tbl>
      <w:tblPr>
        <w:tblStyle w:val="5"/>
        <w:tblW w:w="893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56"/>
        <w:gridCol w:w="1070"/>
        <w:gridCol w:w="5096"/>
        <w:gridCol w:w="1308"/>
      </w:tblGrid>
      <w:tr w14:paraId="69B9D4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2" w:hRule="atLeast"/>
        </w:trPr>
        <w:tc>
          <w:tcPr>
            <w:tcW w:w="1456" w:type="dxa"/>
            <w:vMerge w:val="restart"/>
            <w:tcBorders>
              <w:top w:val="single" w:color="000000" w:sz="6" w:space="0"/>
              <w:left w:val="single" w:color="000000" w:sz="6" w:space="0"/>
              <w:bottom w:val="nil"/>
            </w:tcBorders>
            <w:vAlign w:val="top"/>
          </w:tcPr>
          <w:p w14:paraId="105A8C92">
            <w:pPr>
              <w:rPr>
                <w:rFonts w:ascii="Arial"/>
                <w:sz w:val="21"/>
              </w:rPr>
            </w:pPr>
          </w:p>
        </w:tc>
        <w:tc>
          <w:tcPr>
            <w:tcW w:w="1070" w:type="dxa"/>
            <w:tcBorders>
              <w:top w:val="single" w:color="000000" w:sz="6" w:space="0"/>
            </w:tcBorders>
            <w:vAlign w:val="top"/>
          </w:tcPr>
          <w:p w14:paraId="11DA2A55">
            <w:pPr>
              <w:spacing w:line="277" w:lineRule="auto"/>
              <w:rPr>
                <w:rFonts w:ascii="Arial"/>
                <w:sz w:val="21"/>
              </w:rPr>
            </w:pPr>
          </w:p>
          <w:p w14:paraId="0B6C0760">
            <w:pPr>
              <w:pStyle w:val="6"/>
              <w:spacing w:before="65" w:line="228" w:lineRule="auto"/>
              <w:ind w:left="228"/>
              <w:rPr>
                <w:sz w:val="20"/>
                <w:szCs w:val="20"/>
              </w:rPr>
            </w:pPr>
            <w:r>
              <w:rPr>
                <w:spacing w:val="6"/>
                <w:sz w:val="20"/>
                <w:szCs w:val="20"/>
              </w:rPr>
              <w:t>地下水</w:t>
            </w:r>
          </w:p>
        </w:tc>
        <w:tc>
          <w:tcPr>
            <w:tcW w:w="5096" w:type="dxa"/>
            <w:tcBorders>
              <w:top w:val="single" w:color="000000" w:sz="6" w:space="0"/>
            </w:tcBorders>
            <w:vAlign w:val="top"/>
          </w:tcPr>
          <w:p w14:paraId="0623C13C">
            <w:pPr>
              <w:pStyle w:val="6"/>
              <w:spacing w:before="71" w:line="227" w:lineRule="auto"/>
              <w:ind w:left="40"/>
              <w:rPr>
                <w:sz w:val="20"/>
                <w:szCs w:val="20"/>
              </w:rPr>
            </w:pPr>
            <w:r>
              <w:rPr>
                <w:spacing w:val="7"/>
                <w:sz w:val="20"/>
                <w:szCs w:val="20"/>
              </w:rPr>
              <w:t>陆地石油和天然气开采：全部；</w:t>
            </w:r>
          </w:p>
          <w:p w14:paraId="58920FD8">
            <w:pPr>
              <w:pStyle w:val="6"/>
              <w:spacing w:before="27" w:line="227" w:lineRule="auto"/>
              <w:ind w:left="29"/>
              <w:rPr>
                <w:sz w:val="20"/>
                <w:szCs w:val="20"/>
              </w:rPr>
            </w:pPr>
            <w:r>
              <w:rPr>
                <w:spacing w:val="8"/>
                <w:sz w:val="20"/>
                <w:szCs w:val="20"/>
              </w:rPr>
              <w:t>地下水（含矿泉水）开采：全部；</w:t>
            </w:r>
          </w:p>
          <w:p w14:paraId="30F4B1BA">
            <w:pPr>
              <w:pStyle w:val="6"/>
              <w:spacing w:before="25" w:line="218" w:lineRule="auto"/>
              <w:ind w:left="32"/>
              <w:rPr>
                <w:sz w:val="20"/>
                <w:szCs w:val="20"/>
              </w:rPr>
            </w:pPr>
            <w:r>
              <w:rPr>
                <w:spacing w:val="9"/>
                <w:sz w:val="20"/>
                <w:szCs w:val="20"/>
              </w:rPr>
              <w:t>水利、水电、交通等：含穿越可溶岩地层隧道的项目</w:t>
            </w:r>
          </w:p>
        </w:tc>
        <w:tc>
          <w:tcPr>
            <w:tcW w:w="1308" w:type="dxa"/>
            <w:tcBorders>
              <w:top w:val="single" w:color="000000" w:sz="6" w:space="0"/>
              <w:right w:val="single" w:color="000000" w:sz="6" w:space="0"/>
            </w:tcBorders>
            <w:vAlign w:val="top"/>
          </w:tcPr>
          <w:p w14:paraId="2F669EED">
            <w:pPr>
              <w:spacing w:line="278" w:lineRule="auto"/>
              <w:rPr>
                <w:rFonts w:ascii="Arial"/>
                <w:sz w:val="21"/>
              </w:rPr>
            </w:pPr>
          </w:p>
          <w:p w14:paraId="29A61EB3">
            <w:pPr>
              <w:pStyle w:val="6"/>
              <w:spacing w:before="65" w:line="228" w:lineRule="auto"/>
              <w:ind w:left="42"/>
              <w:rPr>
                <w:sz w:val="20"/>
                <w:szCs w:val="20"/>
              </w:rPr>
            </w:pPr>
            <w:r>
              <w:rPr>
                <w:spacing w:val="6"/>
                <w:sz w:val="20"/>
                <w:szCs w:val="20"/>
              </w:rPr>
              <w:t>项目不涉及。</w:t>
            </w:r>
          </w:p>
        </w:tc>
      </w:tr>
      <w:tr w14:paraId="569E4E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456" w:type="dxa"/>
            <w:vMerge w:val="continue"/>
            <w:tcBorders>
              <w:top w:val="nil"/>
              <w:left w:val="single" w:color="000000" w:sz="6" w:space="0"/>
              <w:bottom w:val="nil"/>
            </w:tcBorders>
            <w:vAlign w:val="top"/>
          </w:tcPr>
          <w:p w14:paraId="17856786">
            <w:pPr>
              <w:rPr>
                <w:rFonts w:ascii="Arial"/>
                <w:sz w:val="21"/>
              </w:rPr>
            </w:pPr>
          </w:p>
        </w:tc>
        <w:tc>
          <w:tcPr>
            <w:tcW w:w="1070" w:type="dxa"/>
            <w:vAlign w:val="top"/>
          </w:tcPr>
          <w:p w14:paraId="54E96038">
            <w:pPr>
              <w:pStyle w:val="6"/>
              <w:spacing w:before="303" w:line="233" w:lineRule="auto"/>
              <w:ind w:left="336"/>
              <w:rPr>
                <w:sz w:val="20"/>
                <w:szCs w:val="20"/>
              </w:rPr>
            </w:pPr>
            <w:r>
              <w:rPr>
                <w:spacing w:val="3"/>
                <w:sz w:val="20"/>
                <w:szCs w:val="20"/>
              </w:rPr>
              <w:t>生态</w:t>
            </w:r>
          </w:p>
        </w:tc>
        <w:tc>
          <w:tcPr>
            <w:tcW w:w="5096" w:type="dxa"/>
            <w:vAlign w:val="top"/>
          </w:tcPr>
          <w:p w14:paraId="5C61A3B9">
            <w:pPr>
              <w:pStyle w:val="6"/>
              <w:spacing w:before="30"/>
              <w:ind w:left="30" w:right="31"/>
              <w:rPr>
                <w:sz w:val="20"/>
                <w:szCs w:val="20"/>
              </w:rPr>
            </w:pPr>
            <w:r>
              <w:rPr>
                <w:spacing w:val="7"/>
                <w:sz w:val="20"/>
                <w:szCs w:val="20"/>
              </w:rPr>
              <w:t>涉及环境敏感区（不包括饮用水水源保护区，</w:t>
            </w:r>
            <w:r>
              <w:rPr>
                <w:spacing w:val="-42"/>
                <w:sz w:val="20"/>
                <w:szCs w:val="20"/>
              </w:rPr>
              <w:t xml:space="preserve"> </w:t>
            </w:r>
            <w:r>
              <w:rPr>
                <w:spacing w:val="7"/>
                <w:sz w:val="20"/>
                <w:szCs w:val="20"/>
              </w:rPr>
              <w:t>以居住、</w:t>
            </w:r>
            <w:r>
              <w:rPr>
                <w:spacing w:val="9"/>
                <w:sz w:val="20"/>
                <w:szCs w:val="20"/>
              </w:rPr>
              <w:t>医疗卫生、文化教育、科研、行政办公为主要功能的区</w:t>
            </w:r>
            <w:r>
              <w:rPr>
                <w:spacing w:val="6"/>
                <w:sz w:val="20"/>
                <w:szCs w:val="20"/>
              </w:rPr>
              <w:t>域，</w:t>
            </w:r>
            <w:r>
              <w:rPr>
                <w:spacing w:val="-57"/>
                <w:sz w:val="20"/>
                <w:szCs w:val="20"/>
              </w:rPr>
              <w:t xml:space="preserve"> </w:t>
            </w:r>
            <w:r>
              <w:rPr>
                <w:spacing w:val="6"/>
                <w:sz w:val="20"/>
                <w:szCs w:val="20"/>
              </w:rPr>
              <w:t>以及文物保护单位）的项目</w:t>
            </w:r>
          </w:p>
        </w:tc>
        <w:tc>
          <w:tcPr>
            <w:tcW w:w="1308" w:type="dxa"/>
            <w:tcBorders>
              <w:right w:val="single" w:color="000000" w:sz="6" w:space="0"/>
            </w:tcBorders>
            <w:vAlign w:val="top"/>
          </w:tcPr>
          <w:p w14:paraId="5A90D87D">
            <w:pPr>
              <w:pStyle w:val="6"/>
              <w:spacing w:before="32" w:line="228" w:lineRule="auto"/>
              <w:ind w:left="40"/>
              <w:rPr>
                <w:sz w:val="20"/>
                <w:szCs w:val="20"/>
              </w:rPr>
            </w:pPr>
            <w:r>
              <w:rPr>
                <w:spacing w:val="7"/>
                <w:sz w:val="20"/>
                <w:szCs w:val="20"/>
              </w:rPr>
              <w:t>无针对项目</w:t>
            </w:r>
          </w:p>
          <w:p w14:paraId="6C68A67B">
            <w:pPr>
              <w:pStyle w:val="6"/>
              <w:spacing w:before="24" w:line="234" w:lineRule="auto"/>
              <w:ind w:left="38" w:right="44"/>
              <w:rPr>
                <w:sz w:val="20"/>
                <w:szCs w:val="20"/>
              </w:rPr>
            </w:pPr>
            <w:r>
              <w:rPr>
                <w:spacing w:val="8"/>
                <w:sz w:val="20"/>
                <w:szCs w:val="20"/>
              </w:rPr>
              <w:t>类别所列的</w:t>
            </w:r>
            <w:r>
              <w:rPr>
                <w:spacing w:val="2"/>
                <w:sz w:val="20"/>
                <w:szCs w:val="20"/>
              </w:rPr>
              <w:t>环境敏感区。</w:t>
            </w:r>
          </w:p>
        </w:tc>
      </w:tr>
      <w:tr w14:paraId="7EFFF9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456" w:type="dxa"/>
            <w:vMerge w:val="continue"/>
            <w:tcBorders>
              <w:top w:val="nil"/>
              <w:left w:val="single" w:color="000000" w:sz="6" w:space="0"/>
              <w:bottom w:val="nil"/>
            </w:tcBorders>
            <w:vAlign w:val="top"/>
          </w:tcPr>
          <w:p w14:paraId="0A977E3A">
            <w:pPr>
              <w:rPr>
                <w:rFonts w:ascii="Arial"/>
                <w:sz w:val="21"/>
              </w:rPr>
            </w:pPr>
          </w:p>
        </w:tc>
        <w:tc>
          <w:tcPr>
            <w:tcW w:w="1070" w:type="dxa"/>
            <w:vAlign w:val="top"/>
          </w:tcPr>
          <w:p w14:paraId="2EE0843E">
            <w:pPr>
              <w:pStyle w:val="6"/>
              <w:spacing w:before="305" w:line="228" w:lineRule="auto"/>
              <w:ind w:left="336"/>
              <w:rPr>
                <w:sz w:val="20"/>
                <w:szCs w:val="20"/>
              </w:rPr>
            </w:pPr>
            <w:r>
              <w:rPr>
                <w:spacing w:val="3"/>
                <w:sz w:val="20"/>
                <w:szCs w:val="20"/>
              </w:rPr>
              <w:t>大气</w:t>
            </w:r>
          </w:p>
        </w:tc>
        <w:tc>
          <w:tcPr>
            <w:tcW w:w="5096" w:type="dxa"/>
            <w:vAlign w:val="top"/>
          </w:tcPr>
          <w:p w14:paraId="727B328A">
            <w:pPr>
              <w:pStyle w:val="6"/>
              <w:spacing w:before="33" w:line="228" w:lineRule="auto"/>
              <w:ind w:left="33"/>
              <w:rPr>
                <w:sz w:val="20"/>
                <w:szCs w:val="20"/>
              </w:rPr>
            </w:pPr>
            <w:r>
              <w:rPr>
                <w:spacing w:val="8"/>
                <w:sz w:val="20"/>
                <w:szCs w:val="20"/>
              </w:rPr>
              <w:t>油气、液体化工码头：全部；</w:t>
            </w:r>
          </w:p>
          <w:p w14:paraId="28377C77">
            <w:pPr>
              <w:pStyle w:val="6"/>
              <w:spacing w:before="25" w:line="233" w:lineRule="auto"/>
              <w:ind w:left="29" w:right="101"/>
              <w:rPr>
                <w:sz w:val="20"/>
                <w:szCs w:val="20"/>
              </w:rPr>
            </w:pPr>
            <w:r>
              <w:rPr>
                <w:spacing w:val="8"/>
                <w:sz w:val="20"/>
                <w:szCs w:val="20"/>
              </w:rPr>
              <w:t>干散货</w:t>
            </w:r>
            <w:r>
              <w:rPr>
                <w:rFonts w:ascii="Times New Roman" w:hAnsi="Times New Roman" w:eastAsia="Times New Roman" w:cs="Times New Roman"/>
                <w:spacing w:val="8"/>
                <w:sz w:val="20"/>
                <w:szCs w:val="20"/>
              </w:rPr>
              <w:t>(</w:t>
            </w:r>
            <w:r>
              <w:rPr>
                <w:spacing w:val="8"/>
                <w:sz w:val="20"/>
                <w:szCs w:val="20"/>
              </w:rPr>
              <w:t>含煤炭、矿石</w:t>
            </w:r>
            <w:r>
              <w:rPr>
                <w:rFonts w:ascii="Times New Roman" w:hAnsi="Times New Roman" w:eastAsia="Times New Roman" w:cs="Times New Roman"/>
                <w:spacing w:val="8"/>
                <w:sz w:val="20"/>
                <w:szCs w:val="20"/>
              </w:rPr>
              <w:t>)</w:t>
            </w:r>
            <w:r>
              <w:rPr>
                <w:rFonts w:ascii="Times New Roman" w:hAnsi="Times New Roman" w:eastAsia="Times New Roman" w:cs="Times New Roman"/>
                <w:spacing w:val="-24"/>
                <w:sz w:val="20"/>
                <w:szCs w:val="20"/>
              </w:rPr>
              <w:t xml:space="preserve"> </w:t>
            </w:r>
            <w:r>
              <w:rPr>
                <w:spacing w:val="8"/>
                <w:sz w:val="20"/>
                <w:szCs w:val="20"/>
              </w:rPr>
              <w:t>、件杂、多用途、通用码头：涉</w:t>
            </w:r>
            <w:r>
              <w:rPr>
                <w:spacing w:val="9"/>
                <w:sz w:val="20"/>
                <w:szCs w:val="20"/>
              </w:rPr>
              <w:t>及粉尘、挥发性有机物排放的项目</w:t>
            </w:r>
          </w:p>
        </w:tc>
        <w:tc>
          <w:tcPr>
            <w:tcW w:w="1308" w:type="dxa"/>
            <w:tcBorders>
              <w:right w:val="single" w:color="000000" w:sz="6" w:space="0"/>
            </w:tcBorders>
            <w:vAlign w:val="top"/>
          </w:tcPr>
          <w:p w14:paraId="1A78C4D5">
            <w:pPr>
              <w:pStyle w:val="6"/>
              <w:spacing w:before="305" w:line="228" w:lineRule="auto"/>
              <w:ind w:left="42"/>
              <w:rPr>
                <w:sz w:val="20"/>
                <w:szCs w:val="20"/>
              </w:rPr>
            </w:pPr>
            <w:r>
              <w:rPr>
                <w:spacing w:val="6"/>
                <w:sz w:val="20"/>
                <w:szCs w:val="20"/>
              </w:rPr>
              <w:t>项目不涉及。</w:t>
            </w:r>
          </w:p>
        </w:tc>
      </w:tr>
      <w:tr w14:paraId="0F91DF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1456" w:type="dxa"/>
            <w:vMerge w:val="continue"/>
            <w:tcBorders>
              <w:top w:val="nil"/>
              <w:left w:val="single" w:color="000000" w:sz="6" w:space="0"/>
              <w:bottom w:val="nil"/>
            </w:tcBorders>
            <w:vAlign w:val="top"/>
          </w:tcPr>
          <w:p w14:paraId="640BA812">
            <w:pPr>
              <w:rPr>
                <w:rFonts w:ascii="Arial"/>
                <w:sz w:val="21"/>
              </w:rPr>
            </w:pPr>
          </w:p>
        </w:tc>
        <w:tc>
          <w:tcPr>
            <w:tcW w:w="1070" w:type="dxa"/>
            <w:vAlign w:val="top"/>
          </w:tcPr>
          <w:p w14:paraId="2535683C">
            <w:pPr>
              <w:spacing w:line="255" w:lineRule="auto"/>
              <w:rPr>
                <w:rFonts w:ascii="Arial"/>
                <w:sz w:val="21"/>
              </w:rPr>
            </w:pPr>
          </w:p>
          <w:p w14:paraId="4BDC99A8">
            <w:pPr>
              <w:spacing w:line="255" w:lineRule="auto"/>
              <w:rPr>
                <w:rFonts w:ascii="Arial"/>
                <w:sz w:val="21"/>
              </w:rPr>
            </w:pPr>
          </w:p>
          <w:p w14:paraId="74C85517">
            <w:pPr>
              <w:pStyle w:val="6"/>
              <w:spacing w:before="65" w:line="228" w:lineRule="auto"/>
              <w:ind w:left="344"/>
              <w:rPr>
                <w:sz w:val="20"/>
                <w:szCs w:val="20"/>
              </w:rPr>
            </w:pPr>
            <w:r>
              <w:rPr>
                <w:spacing w:val="-1"/>
                <w:sz w:val="20"/>
                <w:szCs w:val="20"/>
              </w:rPr>
              <w:t>噪声</w:t>
            </w:r>
          </w:p>
        </w:tc>
        <w:tc>
          <w:tcPr>
            <w:tcW w:w="5096" w:type="dxa"/>
            <w:vAlign w:val="top"/>
          </w:tcPr>
          <w:p w14:paraId="20B0B97C">
            <w:pPr>
              <w:pStyle w:val="6"/>
              <w:spacing w:before="33" w:line="252" w:lineRule="auto"/>
              <w:ind w:left="29" w:right="31" w:firstLine="7"/>
              <w:jc w:val="both"/>
              <w:rPr>
                <w:sz w:val="20"/>
                <w:szCs w:val="20"/>
              </w:rPr>
            </w:pPr>
            <w:r>
              <w:rPr>
                <w:spacing w:val="9"/>
                <w:sz w:val="20"/>
                <w:szCs w:val="20"/>
              </w:rPr>
              <w:t>公路、铁路、机场等交通运输业涉及环境敏感区（以居住、医疗卫生、文化教育、科研、行政办公为主要功能</w:t>
            </w:r>
            <w:r>
              <w:rPr>
                <w:spacing w:val="7"/>
                <w:sz w:val="20"/>
                <w:szCs w:val="20"/>
              </w:rPr>
              <w:t>的区域）的项目；</w:t>
            </w:r>
          </w:p>
          <w:p w14:paraId="54F1BEC4">
            <w:pPr>
              <w:pStyle w:val="6"/>
              <w:spacing w:before="1" w:line="232" w:lineRule="auto"/>
              <w:ind w:left="29"/>
              <w:rPr>
                <w:sz w:val="20"/>
                <w:szCs w:val="20"/>
              </w:rPr>
            </w:pPr>
            <w:r>
              <w:rPr>
                <w:sz w:val="20"/>
                <w:szCs w:val="20"/>
              </w:rPr>
              <w:t>城市道路（不含维护，不含支路、人行天桥、人</w:t>
            </w:r>
            <w:r>
              <w:rPr>
                <w:spacing w:val="-1"/>
                <w:sz w:val="20"/>
                <w:szCs w:val="20"/>
              </w:rPr>
              <w:t>行地道</w:t>
            </w:r>
            <w:r>
              <w:rPr>
                <w:spacing w:val="-48"/>
                <w:w w:val="89"/>
                <w:sz w:val="20"/>
                <w:szCs w:val="20"/>
              </w:rPr>
              <w:t>）：</w:t>
            </w:r>
            <w:r>
              <w:rPr>
                <w:spacing w:val="3"/>
                <w:sz w:val="20"/>
                <w:szCs w:val="20"/>
              </w:rPr>
              <w:t>全部</w:t>
            </w:r>
          </w:p>
        </w:tc>
        <w:tc>
          <w:tcPr>
            <w:tcW w:w="1308" w:type="dxa"/>
            <w:tcBorders>
              <w:right w:val="single" w:color="000000" w:sz="6" w:space="0"/>
            </w:tcBorders>
            <w:vAlign w:val="top"/>
          </w:tcPr>
          <w:p w14:paraId="6E11559F">
            <w:pPr>
              <w:spacing w:line="255" w:lineRule="auto"/>
              <w:rPr>
                <w:rFonts w:ascii="Arial"/>
                <w:sz w:val="21"/>
              </w:rPr>
            </w:pPr>
          </w:p>
          <w:p w14:paraId="2DD76314">
            <w:pPr>
              <w:spacing w:line="255" w:lineRule="auto"/>
              <w:rPr>
                <w:rFonts w:ascii="Arial"/>
                <w:sz w:val="21"/>
              </w:rPr>
            </w:pPr>
          </w:p>
          <w:p w14:paraId="7B065220">
            <w:pPr>
              <w:pStyle w:val="6"/>
              <w:spacing w:before="65" w:line="228" w:lineRule="auto"/>
              <w:ind w:left="42"/>
              <w:rPr>
                <w:sz w:val="20"/>
                <w:szCs w:val="20"/>
              </w:rPr>
            </w:pPr>
            <w:r>
              <w:rPr>
                <w:spacing w:val="6"/>
                <w:sz w:val="20"/>
                <w:szCs w:val="20"/>
              </w:rPr>
              <w:t>项目不涉及。</w:t>
            </w:r>
          </w:p>
        </w:tc>
      </w:tr>
      <w:tr w14:paraId="5D0D47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5" w:hRule="atLeast"/>
        </w:trPr>
        <w:tc>
          <w:tcPr>
            <w:tcW w:w="1456" w:type="dxa"/>
            <w:vMerge w:val="continue"/>
            <w:tcBorders>
              <w:top w:val="nil"/>
              <w:left w:val="single" w:color="000000" w:sz="6" w:space="0"/>
              <w:bottom w:val="nil"/>
            </w:tcBorders>
            <w:vAlign w:val="top"/>
          </w:tcPr>
          <w:p w14:paraId="20711526">
            <w:pPr>
              <w:rPr>
                <w:rFonts w:ascii="Arial"/>
                <w:sz w:val="21"/>
              </w:rPr>
            </w:pPr>
          </w:p>
        </w:tc>
        <w:tc>
          <w:tcPr>
            <w:tcW w:w="1070" w:type="dxa"/>
            <w:tcBorders>
              <w:bottom w:val="single" w:color="000000" w:sz="10" w:space="0"/>
            </w:tcBorders>
            <w:vAlign w:val="top"/>
          </w:tcPr>
          <w:p w14:paraId="6CD3784D">
            <w:pPr>
              <w:spacing w:line="255" w:lineRule="auto"/>
              <w:rPr>
                <w:rFonts w:ascii="Arial"/>
                <w:sz w:val="21"/>
              </w:rPr>
            </w:pPr>
          </w:p>
          <w:p w14:paraId="35FBB7D3">
            <w:pPr>
              <w:spacing w:line="255" w:lineRule="auto"/>
              <w:rPr>
                <w:rFonts w:ascii="Arial"/>
                <w:sz w:val="21"/>
              </w:rPr>
            </w:pPr>
          </w:p>
          <w:p w14:paraId="2F74048D">
            <w:pPr>
              <w:pStyle w:val="6"/>
              <w:spacing w:before="65" w:line="228" w:lineRule="auto"/>
              <w:ind w:left="125"/>
              <w:rPr>
                <w:sz w:val="20"/>
                <w:szCs w:val="20"/>
              </w:rPr>
            </w:pPr>
            <w:r>
              <w:rPr>
                <w:spacing w:val="7"/>
                <w:sz w:val="20"/>
                <w:szCs w:val="20"/>
              </w:rPr>
              <w:t>环境风险</w:t>
            </w:r>
          </w:p>
        </w:tc>
        <w:tc>
          <w:tcPr>
            <w:tcW w:w="5096" w:type="dxa"/>
            <w:tcBorders>
              <w:bottom w:val="single" w:color="000000" w:sz="10" w:space="0"/>
            </w:tcBorders>
            <w:vAlign w:val="top"/>
          </w:tcPr>
          <w:p w14:paraId="0E78DC39">
            <w:pPr>
              <w:pStyle w:val="6"/>
              <w:spacing w:before="33" w:line="227" w:lineRule="auto"/>
              <w:ind w:left="30"/>
              <w:rPr>
                <w:sz w:val="20"/>
                <w:szCs w:val="20"/>
              </w:rPr>
            </w:pPr>
            <w:r>
              <w:rPr>
                <w:spacing w:val="8"/>
                <w:sz w:val="20"/>
                <w:szCs w:val="20"/>
              </w:rPr>
              <w:t>石油和天然气开采：全部；</w:t>
            </w:r>
          </w:p>
          <w:p w14:paraId="094F0BDE">
            <w:pPr>
              <w:pStyle w:val="6"/>
              <w:spacing w:before="27" w:line="228" w:lineRule="auto"/>
              <w:ind w:left="33"/>
              <w:rPr>
                <w:sz w:val="20"/>
                <w:szCs w:val="20"/>
              </w:rPr>
            </w:pPr>
            <w:r>
              <w:rPr>
                <w:spacing w:val="8"/>
                <w:sz w:val="20"/>
                <w:szCs w:val="20"/>
              </w:rPr>
              <w:t>油气、液体化工码头：全部；</w:t>
            </w:r>
          </w:p>
          <w:p w14:paraId="2781EAEC">
            <w:pPr>
              <w:pStyle w:val="6"/>
              <w:spacing w:before="25" w:line="242" w:lineRule="auto"/>
              <w:ind w:left="29" w:right="31" w:firstLine="5"/>
              <w:rPr>
                <w:sz w:val="20"/>
                <w:szCs w:val="20"/>
              </w:rPr>
            </w:pPr>
            <w:r>
              <w:rPr>
                <w:spacing w:val="9"/>
                <w:sz w:val="20"/>
                <w:szCs w:val="20"/>
              </w:rPr>
              <w:t>原油、成品油、天然气管线（不含城镇天然气管线、企业厂区内管线</w:t>
            </w:r>
            <w:r>
              <w:rPr>
                <w:spacing w:val="16"/>
                <w:sz w:val="20"/>
                <w:szCs w:val="20"/>
              </w:rPr>
              <w:t>），</w:t>
            </w:r>
            <w:r>
              <w:rPr>
                <w:spacing w:val="9"/>
                <w:sz w:val="20"/>
                <w:szCs w:val="20"/>
              </w:rPr>
              <w:t>危险化学品输送管线（不含企业</w:t>
            </w:r>
            <w:r>
              <w:rPr>
                <w:spacing w:val="8"/>
                <w:sz w:val="20"/>
                <w:szCs w:val="20"/>
              </w:rPr>
              <w:t>厂区</w:t>
            </w:r>
            <w:r>
              <w:rPr>
                <w:spacing w:val="6"/>
                <w:sz w:val="20"/>
                <w:szCs w:val="20"/>
              </w:rPr>
              <w:t>内管线</w:t>
            </w:r>
            <w:r>
              <w:rPr>
                <w:spacing w:val="15"/>
                <w:sz w:val="20"/>
                <w:szCs w:val="20"/>
              </w:rPr>
              <w:t>）：</w:t>
            </w:r>
            <w:r>
              <w:rPr>
                <w:spacing w:val="6"/>
                <w:sz w:val="20"/>
                <w:szCs w:val="20"/>
              </w:rPr>
              <w:t>全部</w:t>
            </w:r>
          </w:p>
        </w:tc>
        <w:tc>
          <w:tcPr>
            <w:tcW w:w="1308" w:type="dxa"/>
            <w:tcBorders>
              <w:bottom w:val="single" w:color="000000" w:sz="10" w:space="0"/>
              <w:right w:val="single" w:color="000000" w:sz="6" w:space="0"/>
            </w:tcBorders>
            <w:vAlign w:val="top"/>
          </w:tcPr>
          <w:p w14:paraId="655B6842">
            <w:pPr>
              <w:spacing w:line="255" w:lineRule="auto"/>
              <w:rPr>
                <w:rFonts w:ascii="Arial"/>
                <w:sz w:val="21"/>
              </w:rPr>
            </w:pPr>
          </w:p>
          <w:p w14:paraId="419F7CC4">
            <w:pPr>
              <w:spacing w:line="255" w:lineRule="auto"/>
              <w:rPr>
                <w:rFonts w:ascii="Arial"/>
                <w:sz w:val="21"/>
              </w:rPr>
            </w:pPr>
          </w:p>
          <w:p w14:paraId="5FA18DDD">
            <w:pPr>
              <w:pStyle w:val="6"/>
              <w:spacing w:before="65" w:line="228" w:lineRule="auto"/>
              <w:ind w:left="42"/>
              <w:rPr>
                <w:sz w:val="20"/>
                <w:szCs w:val="20"/>
              </w:rPr>
            </w:pPr>
            <w:r>
              <w:rPr>
                <w:spacing w:val="6"/>
                <w:sz w:val="20"/>
                <w:szCs w:val="20"/>
              </w:rPr>
              <w:t>项目不涉及。</w:t>
            </w:r>
          </w:p>
        </w:tc>
      </w:tr>
      <w:tr w14:paraId="6E348D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7" w:hRule="atLeast"/>
        </w:trPr>
        <w:tc>
          <w:tcPr>
            <w:tcW w:w="1456" w:type="dxa"/>
            <w:vMerge w:val="continue"/>
            <w:tcBorders>
              <w:top w:val="nil"/>
              <w:left w:val="single" w:color="000000" w:sz="6" w:space="0"/>
            </w:tcBorders>
            <w:vAlign w:val="top"/>
          </w:tcPr>
          <w:p w14:paraId="7A8589AF">
            <w:pPr>
              <w:rPr>
                <w:rFonts w:ascii="Arial"/>
                <w:sz w:val="21"/>
              </w:rPr>
            </w:pPr>
          </w:p>
        </w:tc>
        <w:tc>
          <w:tcPr>
            <w:tcW w:w="7474" w:type="dxa"/>
            <w:gridSpan w:val="3"/>
            <w:tcBorders>
              <w:top w:val="single" w:color="000000" w:sz="10" w:space="0"/>
              <w:right w:val="single" w:color="000000" w:sz="6" w:space="0"/>
            </w:tcBorders>
            <w:vAlign w:val="top"/>
          </w:tcPr>
          <w:p w14:paraId="3998C497">
            <w:pPr>
              <w:pStyle w:val="6"/>
              <w:spacing w:before="31" w:line="359" w:lineRule="auto"/>
              <w:ind w:left="18" w:right="9" w:firstLine="481"/>
              <w:jc w:val="both"/>
            </w:pPr>
            <w:r>
              <w:rPr>
                <w:spacing w:val="-8"/>
              </w:rPr>
              <w:t>上表中环境敏感区是指《建设项目环境影响评价分类管理名录（</w:t>
            </w:r>
            <w:r>
              <w:rPr>
                <w:rFonts w:ascii="Times New Roman" w:hAnsi="Times New Roman" w:eastAsia="Times New Roman" w:cs="Times New Roman"/>
                <w:spacing w:val="-8"/>
              </w:rPr>
              <w:t>2021</w:t>
            </w:r>
            <w:r>
              <w:t>版）》中针对该类项目所列的敏感区。根据《建设项目环</w:t>
            </w:r>
            <w:r>
              <w:rPr>
                <w:spacing w:val="-1"/>
              </w:rPr>
              <w:t>境影响评价分</w:t>
            </w:r>
            <w:r>
              <w:rPr>
                <w:spacing w:val="-5"/>
              </w:rPr>
              <w:t>类管理名录（</w:t>
            </w:r>
            <w:r>
              <w:rPr>
                <w:rFonts w:ascii="Times New Roman" w:hAnsi="Times New Roman" w:eastAsia="Times New Roman" w:cs="Times New Roman"/>
                <w:spacing w:val="-5"/>
              </w:rPr>
              <w:t>2021</w:t>
            </w:r>
            <w:r>
              <w:rPr>
                <w:spacing w:val="-5"/>
              </w:rPr>
              <w:t>版）》，项目属于“</w:t>
            </w:r>
            <w:r>
              <w:rPr>
                <w:spacing w:val="-88"/>
              </w:rPr>
              <w:t xml:space="preserve"> </w:t>
            </w:r>
            <w:r>
              <w:rPr>
                <w:spacing w:val="-5"/>
              </w:rPr>
              <w:t>四十六、</w:t>
            </w:r>
            <w:r>
              <w:rPr>
                <w:spacing w:val="-6"/>
              </w:rPr>
              <w:t xml:space="preserve">专业技术服务业 </w:t>
            </w:r>
            <w:r>
              <w:rPr>
                <w:rFonts w:ascii="Times New Roman" w:hAnsi="Times New Roman" w:eastAsia="Times New Roman" w:cs="Times New Roman"/>
                <w:spacing w:val="-6"/>
              </w:rPr>
              <w:t>99</w:t>
            </w:r>
            <w:r>
              <w:rPr>
                <w:rFonts w:ascii="Times New Roman" w:hAnsi="Times New Roman" w:eastAsia="Times New Roman" w:cs="Times New Roman"/>
                <w:spacing w:val="-33"/>
              </w:rPr>
              <w:t xml:space="preserve"> </w:t>
            </w:r>
            <w:r>
              <w:rPr>
                <w:spacing w:val="-6"/>
              </w:rPr>
              <w:t>、陆</w:t>
            </w:r>
            <w:r>
              <w:rPr>
                <w:spacing w:val="-1"/>
              </w:rPr>
              <w:t>地矿产资源地质勘查（含油气资源勘探</w:t>
            </w:r>
            <w:r>
              <w:rPr>
                <w:spacing w:val="10"/>
              </w:rPr>
              <w:t>）；</w:t>
            </w:r>
            <w:r>
              <w:rPr>
                <w:spacing w:val="-1"/>
              </w:rPr>
              <w:t>二氧化碳地质封存”，该类项目未列出环境敏感区，因此无针对本项目类别所列的环境敏感区</w:t>
            </w:r>
          </w:p>
          <w:p w14:paraId="6C9EE504">
            <w:pPr>
              <w:pStyle w:val="6"/>
              <w:spacing w:line="201" w:lineRule="auto"/>
              <w:ind w:left="501"/>
            </w:pPr>
            <w:r>
              <w:rPr>
                <w:spacing w:val="-1"/>
              </w:rPr>
              <w:t>综上所述，因此本次评价无需设置专项评价。</w:t>
            </w:r>
          </w:p>
        </w:tc>
      </w:tr>
      <w:tr w14:paraId="707243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1456" w:type="dxa"/>
            <w:tcBorders>
              <w:left w:val="single" w:color="000000" w:sz="6" w:space="0"/>
            </w:tcBorders>
            <w:vAlign w:val="top"/>
          </w:tcPr>
          <w:p w14:paraId="6354EAF7">
            <w:pPr>
              <w:pStyle w:val="6"/>
              <w:spacing w:before="188" w:line="220" w:lineRule="auto"/>
              <w:ind w:left="246"/>
            </w:pPr>
            <w:r>
              <w:rPr>
                <w:b/>
                <w:bCs/>
                <w:spacing w:val="-5"/>
              </w:rPr>
              <w:t>规划情况</w:t>
            </w:r>
          </w:p>
        </w:tc>
        <w:tc>
          <w:tcPr>
            <w:tcW w:w="7474" w:type="dxa"/>
            <w:gridSpan w:val="3"/>
            <w:tcBorders>
              <w:right w:val="single" w:color="000000" w:sz="6" w:space="0"/>
            </w:tcBorders>
            <w:vAlign w:val="top"/>
          </w:tcPr>
          <w:p w14:paraId="290F1D1A">
            <w:pPr>
              <w:pStyle w:val="6"/>
              <w:spacing w:before="188" w:line="220" w:lineRule="auto"/>
              <w:ind w:left="3620"/>
            </w:pPr>
            <w:r>
              <w:t>无</w:t>
            </w:r>
          </w:p>
        </w:tc>
      </w:tr>
      <w:tr w14:paraId="165E07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4" w:hRule="atLeast"/>
        </w:trPr>
        <w:tc>
          <w:tcPr>
            <w:tcW w:w="1456" w:type="dxa"/>
            <w:tcBorders>
              <w:left w:val="single" w:color="000000" w:sz="6" w:space="0"/>
            </w:tcBorders>
            <w:vAlign w:val="top"/>
          </w:tcPr>
          <w:p w14:paraId="2D592EC5">
            <w:pPr>
              <w:pStyle w:val="6"/>
              <w:spacing w:before="62" w:line="239" w:lineRule="auto"/>
              <w:ind w:left="619" w:right="124" w:hanging="493"/>
            </w:pPr>
            <w:r>
              <w:rPr>
                <w:b/>
                <w:bCs/>
                <w:spacing w:val="-4"/>
              </w:rPr>
              <w:t>规划环境影</w:t>
            </w:r>
            <w:r>
              <w:rPr>
                <w:b/>
                <w:bCs/>
                <w:spacing w:val="-3"/>
              </w:rPr>
              <w:t>响</w:t>
            </w:r>
          </w:p>
          <w:p w14:paraId="653EEDA2">
            <w:pPr>
              <w:pStyle w:val="6"/>
              <w:spacing w:line="200" w:lineRule="auto"/>
              <w:ind w:left="244"/>
            </w:pPr>
            <w:r>
              <w:rPr>
                <w:b/>
                <w:bCs/>
                <w:spacing w:val="-5"/>
              </w:rPr>
              <w:t>评价情况</w:t>
            </w:r>
          </w:p>
        </w:tc>
        <w:tc>
          <w:tcPr>
            <w:tcW w:w="7474" w:type="dxa"/>
            <w:gridSpan w:val="3"/>
            <w:tcBorders>
              <w:right w:val="single" w:color="000000" w:sz="6" w:space="0"/>
            </w:tcBorders>
            <w:vAlign w:val="top"/>
          </w:tcPr>
          <w:p w14:paraId="526A08E2">
            <w:pPr>
              <w:spacing w:line="292" w:lineRule="auto"/>
              <w:rPr>
                <w:rFonts w:ascii="Arial"/>
                <w:sz w:val="21"/>
              </w:rPr>
            </w:pPr>
          </w:p>
          <w:p w14:paraId="2625E65A">
            <w:pPr>
              <w:pStyle w:val="6"/>
              <w:spacing w:before="78" w:line="220" w:lineRule="auto"/>
              <w:ind w:left="3620"/>
            </w:pPr>
            <w:r>
              <w:t>无</w:t>
            </w:r>
          </w:p>
        </w:tc>
      </w:tr>
      <w:tr w14:paraId="54ABEC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5" w:hRule="atLeast"/>
        </w:trPr>
        <w:tc>
          <w:tcPr>
            <w:tcW w:w="1456" w:type="dxa"/>
            <w:tcBorders>
              <w:left w:val="single" w:color="000000" w:sz="6" w:space="0"/>
            </w:tcBorders>
            <w:vAlign w:val="top"/>
          </w:tcPr>
          <w:p w14:paraId="5787B9D6">
            <w:pPr>
              <w:pStyle w:val="6"/>
              <w:spacing w:before="61" w:line="221" w:lineRule="auto"/>
              <w:ind w:left="126"/>
            </w:pPr>
            <w:r>
              <w:rPr>
                <w:b/>
                <w:bCs/>
                <w:spacing w:val="-5"/>
              </w:rPr>
              <w:t>规划及规划</w:t>
            </w:r>
          </w:p>
          <w:p w14:paraId="0149C960">
            <w:pPr>
              <w:pStyle w:val="6"/>
              <w:spacing w:before="24" w:line="220" w:lineRule="auto"/>
              <w:ind w:left="125"/>
            </w:pPr>
            <w:r>
              <w:rPr>
                <w:b/>
                <w:bCs/>
                <w:spacing w:val="-4"/>
              </w:rPr>
              <w:t>环境影响评</w:t>
            </w:r>
          </w:p>
          <w:p w14:paraId="2CA32F50">
            <w:pPr>
              <w:pStyle w:val="6"/>
              <w:spacing w:before="26" w:line="219" w:lineRule="auto"/>
              <w:ind w:left="609" w:right="127" w:hanging="483"/>
            </w:pPr>
            <w:r>
              <w:rPr>
                <w:b/>
                <w:bCs/>
                <w:spacing w:val="-5"/>
              </w:rPr>
              <w:t>价符合性分</w:t>
            </w:r>
            <w:r>
              <w:rPr>
                <w:b/>
                <w:bCs/>
                <w:spacing w:val="-3"/>
              </w:rPr>
              <w:t>析</w:t>
            </w:r>
          </w:p>
        </w:tc>
        <w:tc>
          <w:tcPr>
            <w:tcW w:w="7474" w:type="dxa"/>
            <w:gridSpan w:val="3"/>
            <w:tcBorders>
              <w:right w:val="single" w:color="000000" w:sz="6" w:space="0"/>
            </w:tcBorders>
            <w:vAlign w:val="top"/>
          </w:tcPr>
          <w:p w14:paraId="1D5EA196">
            <w:pPr>
              <w:spacing w:line="369" w:lineRule="auto"/>
              <w:rPr>
                <w:rFonts w:ascii="Arial"/>
                <w:sz w:val="21"/>
              </w:rPr>
            </w:pPr>
          </w:p>
          <w:p w14:paraId="22A94BF2">
            <w:pPr>
              <w:pStyle w:val="6"/>
              <w:spacing w:before="78" w:line="220" w:lineRule="auto"/>
              <w:ind w:left="3620"/>
            </w:pPr>
            <w:r>
              <w:t>无</w:t>
            </w:r>
          </w:p>
        </w:tc>
      </w:tr>
      <w:tr w14:paraId="1F4A17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1" w:hRule="atLeast"/>
        </w:trPr>
        <w:tc>
          <w:tcPr>
            <w:tcW w:w="1456" w:type="dxa"/>
            <w:tcBorders>
              <w:left w:val="single" w:color="000000" w:sz="6" w:space="0"/>
              <w:bottom w:val="single" w:color="000000" w:sz="6" w:space="0"/>
            </w:tcBorders>
            <w:vAlign w:val="top"/>
          </w:tcPr>
          <w:p w14:paraId="2EF78421">
            <w:pPr>
              <w:spacing w:line="266" w:lineRule="auto"/>
              <w:rPr>
                <w:rFonts w:ascii="Arial"/>
                <w:sz w:val="21"/>
              </w:rPr>
            </w:pPr>
          </w:p>
          <w:p w14:paraId="5FAA4292">
            <w:pPr>
              <w:spacing w:line="266" w:lineRule="auto"/>
              <w:rPr>
                <w:rFonts w:ascii="Arial"/>
                <w:sz w:val="21"/>
              </w:rPr>
            </w:pPr>
          </w:p>
          <w:p w14:paraId="29189561">
            <w:pPr>
              <w:spacing w:line="267" w:lineRule="auto"/>
              <w:rPr>
                <w:rFonts w:ascii="Arial"/>
                <w:sz w:val="21"/>
              </w:rPr>
            </w:pPr>
          </w:p>
          <w:p w14:paraId="0CAEB188">
            <w:pPr>
              <w:spacing w:line="267" w:lineRule="auto"/>
              <w:rPr>
                <w:rFonts w:ascii="Arial"/>
                <w:sz w:val="21"/>
              </w:rPr>
            </w:pPr>
          </w:p>
          <w:p w14:paraId="41D32538">
            <w:pPr>
              <w:pStyle w:val="6"/>
              <w:spacing w:before="78" w:line="241" w:lineRule="auto"/>
              <w:ind w:left="487" w:right="124" w:hanging="361"/>
            </w:pPr>
            <w:r>
              <w:rPr>
                <w:b/>
                <w:bCs/>
                <w:spacing w:val="-4"/>
              </w:rPr>
              <w:t>其他符合性</w:t>
            </w:r>
            <w:r>
              <w:rPr>
                <w:b/>
                <w:bCs/>
                <w:spacing w:val="-9"/>
              </w:rPr>
              <w:t>分析</w:t>
            </w:r>
          </w:p>
        </w:tc>
        <w:tc>
          <w:tcPr>
            <w:tcW w:w="7474" w:type="dxa"/>
            <w:gridSpan w:val="3"/>
            <w:tcBorders>
              <w:bottom w:val="single" w:color="000000" w:sz="6" w:space="0"/>
              <w:right w:val="single" w:color="000000" w:sz="6" w:space="0"/>
            </w:tcBorders>
            <w:vAlign w:val="top"/>
          </w:tcPr>
          <w:p w14:paraId="4FBE5DFB">
            <w:pPr>
              <w:pStyle w:val="6"/>
              <w:spacing w:before="63" w:line="219" w:lineRule="auto"/>
              <w:ind w:left="517"/>
            </w:pPr>
            <w:r>
              <w:rPr>
                <w:rFonts w:ascii="Times New Roman" w:hAnsi="Times New Roman" w:eastAsia="Times New Roman" w:cs="Times New Roman"/>
                <w:spacing w:val="-7"/>
              </w:rPr>
              <w:t>1</w:t>
            </w:r>
            <w:r>
              <w:rPr>
                <w:rFonts w:ascii="Times New Roman" w:hAnsi="Times New Roman" w:eastAsia="Times New Roman" w:cs="Times New Roman"/>
                <w:spacing w:val="-27"/>
              </w:rPr>
              <w:t xml:space="preserve"> </w:t>
            </w:r>
            <w:r>
              <w:rPr>
                <w:spacing w:val="-7"/>
              </w:rPr>
              <w:t>、产业政策符合性</w:t>
            </w:r>
          </w:p>
          <w:p w14:paraId="5C210C95">
            <w:pPr>
              <w:pStyle w:val="6"/>
              <w:spacing w:before="181" w:line="359" w:lineRule="auto"/>
              <w:ind w:left="19" w:right="9" w:firstLine="482"/>
            </w:pPr>
            <w:r>
              <w:t>项目为石油资源勘探工程，属于《产业结构调整</w:t>
            </w:r>
            <w:r>
              <w:rPr>
                <w:spacing w:val="-1"/>
              </w:rPr>
              <w:t>指导目录（</w:t>
            </w:r>
            <w:r>
              <w:rPr>
                <w:rFonts w:ascii="Times New Roman" w:hAnsi="Times New Roman" w:eastAsia="Times New Roman" w:cs="Times New Roman"/>
                <w:spacing w:val="-1"/>
              </w:rPr>
              <w:t>2024</w:t>
            </w:r>
            <w:r>
              <w:rPr>
                <w:spacing w:val="-1"/>
              </w:rPr>
              <w:t>年</w:t>
            </w:r>
            <w:r>
              <w:rPr>
                <w:spacing w:val="-4"/>
              </w:rPr>
              <w:t>本）》中“鼓励类七、石油、天然气中的第</w:t>
            </w:r>
            <w:r>
              <w:rPr>
                <w:rFonts w:ascii="Times New Roman" w:hAnsi="Times New Roman" w:eastAsia="Times New Roman" w:cs="Times New Roman"/>
                <w:spacing w:val="-4"/>
              </w:rPr>
              <w:t>1</w:t>
            </w:r>
            <w:r>
              <w:rPr>
                <w:spacing w:val="-4"/>
              </w:rPr>
              <w:t>条常规石油、天然气勘探与开采</w:t>
            </w:r>
            <w:r>
              <w:rPr>
                <w:spacing w:val="-80"/>
              </w:rPr>
              <w:t xml:space="preserve"> </w:t>
            </w:r>
            <w:r>
              <w:rPr>
                <w:spacing w:val="-4"/>
              </w:rPr>
              <w:t>”，符合国家产业政策。</w:t>
            </w:r>
          </w:p>
          <w:p w14:paraId="23EFE7FD">
            <w:pPr>
              <w:pStyle w:val="6"/>
              <w:spacing w:line="350" w:lineRule="auto"/>
              <w:ind w:left="20" w:right="9" w:firstLine="477"/>
            </w:pPr>
            <w:r>
              <w:t>对照《市场准入负面清单（</w:t>
            </w:r>
            <w:r>
              <w:rPr>
                <w:rFonts w:ascii="Times New Roman" w:hAnsi="Times New Roman" w:eastAsia="Times New Roman" w:cs="Times New Roman"/>
              </w:rPr>
              <w:t>2025</w:t>
            </w:r>
            <w:r>
              <w:t>年版）》，本项</w:t>
            </w:r>
            <w:r>
              <w:rPr>
                <w:spacing w:val="-1"/>
              </w:rPr>
              <w:t>目属于“二、许可</w:t>
            </w:r>
            <w:r>
              <w:t>准入类中的（二）采矿业”，且于</w:t>
            </w:r>
            <w:r>
              <w:rPr>
                <w:rFonts w:ascii="Times New Roman" w:hAnsi="Times New Roman" w:eastAsia="Times New Roman" w:cs="Times New Roman"/>
              </w:rPr>
              <w:t>2022</w:t>
            </w:r>
            <w:r>
              <w:t>年</w:t>
            </w:r>
            <w:r>
              <w:rPr>
                <w:rFonts w:ascii="Times New Roman" w:hAnsi="Times New Roman" w:eastAsia="Times New Roman" w:cs="Times New Roman"/>
              </w:rPr>
              <w:t>4</w:t>
            </w:r>
            <w:r>
              <w:t>月</w:t>
            </w:r>
            <w:r>
              <w:rPr>
                <w:rFonts w:ascii="Times New Roman" w:hAnsi="Times New Roman" w:eastAsia="Times New Roman" w:cs="Times New Roman"/>
              </w:rPr>
              <w:t>1</w:t>
            </w:r>
            <w:r>
              <w:t>日取得</w:t>
            </w:r>
            <w:r>
              <w:rPr>
                <w:spacing w:val="-1"/>
              </w:rPr>
              <w:t>中华人民共和国自</w:t>
            </w:r>
          </w:p>
        </w:tc>
      </w:tr>
    </w:tbl>
    <w:p w14:paraId="6B89C4EE">
      <w:pPr>
        <w:rPr>
          <w:rFonts w:ascii="Arial"/>
          <w:sz w:val="21"/>
        </w:rPr>
      </w:pPr>
    </w:p>
    <w:p w14:paraId="40405703">
      <w:pPr>
        <w:rPr>
          <w:rFonts w:ascii="Arial" w:hAnsi="Arial" w:eastAsia="Arial" w:cs="Arial"/>
          <w:sz w:val="21"/>
          <w:szCs w:val="21"/>
        </w:rPr>
        <w:sectPr>
          <w:footerReference r:id="rId8" w:type="default"/>
          <w:pgSz w:w="11906" w:h="16839"/>
          <w:pgMar w:top="400" w:right="1395" w:bottom="1240" w:left="1565" w:header="0" w:footer="1078" w:gutter="0"/>
          <w:cols w:space="720" w:num="1"/>
        </w:sectPr>
      </w:pPr>
    </w:p>
    <w:p w14:paraId="1F5F8F5B">
      <w:pPr>
        <w:spacing w:before="56"/>
      </w:pPr>
    </w:p>
    <w:p w14:paraId="0D0CF487">
      <w:pPr>
        <w:spacing w:before="56"/>
      </w:pPr>
    </w:p>
    <w:p w14:paraId="0909F430">
      <w:pPr>
        <w:spacing w:before="55"/>
      </w:pPr>
    </w:p>
    <w:p w14:paraId="3E2E0A3A">
      <w:pPr>
        <w:spacing w:before="55"/>
      </w:pPr>
    </w:p>
    <w:tbl>
      <w:tblPr>
        <w:tblStyle w:val="5"/>
        <w:tblW w:w="893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56"/>
        <w:gridCol w:w="1399"/>
        <w:gridCol w:w="4118"/>
        <w:gridCol w:w="1427"/>
        <w:gridCol w:w="530"/>
      </w:tblGrid>
      <w:tr w14:paraId="03E3C1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0" w:hRule="atLeast"/>
        </w:trPr>
        <w:tc>
          <w:tcPr>
            <w:tcW w:w="1456" w:type="dxa"/>
            <w:vMerge w:val="restart"/>
            <w:tcBorders>
              <w:top w:val="single" w:color="000000" w:sz="6" w:space="0"/>
              <w:left w:val="single" w:color="000000" w:sz="6" w:space="0"/>
              <w:bottom w:val="nil"/>
            </w:tcBorders>
            <w:vAlign w:val="top"/>
          </w:tcPr>
          <w:p w14:paraId="21FF8141">
            <w:pPr>
              <w:rPr>
                <w:rFonts w:ascii="Arial"/>
                <w:sz w:val="21"/>
              </w:rPr>
            </w:pPr>
          </w:p>
        </w:tc>
        <w:tc>
          <w:tcPr>
            <w:tcW w:w="7474" w:type="dxa"/>
            <w:gridSpan w:val="4"/>
            <w:tcBorders>
              <w:top w:val="single" w:color="000000" w:sz="6" w:space="0"/>
              <w:bottom w:val="single" w:color="000000" w:sz="10" w:space="0"/>
              <w:right w:val="single" w:color="000000" w:sz="6" w:space="0"/>
            </w:tcBorders>
            <w:vAlign w:val="top"/>
          </w:tcPr>
          <w:p w14:paraId="45E748B0">
            <w:pPr>
              <w:pStyle w:val="6"/>
              <w:spacing w:before="47" w:line="359" w:lineRule="auto"/>
              <w:ind w:left="21" w:right="12" w:hanging="2"/>
            </w:pPr>
            <w:r>
              <w:rPr>
                <w:spacing w:val="2"/>
              </w:rPr>
              <w:t>然资源部颁发的探矿权证书（证号：</w:t>
            </w:r>
            <w:r>
              <w:rPr>
                <w:rFonts w:ascii="Times New Roman" w:hAnsi="Times New Roman" w:eastAsia="Times New Roman" w:cs="Times New Roman"/>
                <w:spacing w:val="2"/>
              </w:rPr>
              <w:t>T1000002020121018000204</w:t>
            </w:r>
            <w:r>
              <w:rPr>
                <w:spacing w:val="2"/>
              </w:rPr>
              <w:t>）。满</w:t>
            </w:r>
            <w:r>
              <w:rPr>
                <w:spacing w:val="-3"/>
              </w:rPr>
              <w:t>足许可准入类“（二）采矿业</w:t>
            </w:r>
            <w:r>
              <w:rPr>
                <w:spacing w:val="-75"/>
              </w:rPr>
              <w:t xml:space="preserve"> </w:t>
            </w:r>
            <w:r>
              <w:rPr>
                <w:spacing w:val="-3"/>
              </w:rPr>
              <w:t>”的准入要求。</w:t>
            </w:r>
          </w:p>
          <w:p w14:paraId="384CC8CC">
            <w:pPr>
              <w:pStyle w:val="6"/>
              <w:spacing w:line="219" w:lineRule="auto"/>
              <w:ind w:left="500"/>
            </w:pPr>
            <w:r>
              <w:rPr>
                <w:spacing w:val="-2"/>
              </w:rPr>
              <w:t>符合地方产业政策要求。</w:t>
            </w:r>
          </w:p>
          <w:p w14:paraId="4DA5FCD6">
            <w:pPr>
              <w:pStyle w:val="6"/>
              <w:spacing w:before="179" w:line="219" w:lineRule="auto"/>
              <w:ind w:left="501"/>
            </w:pPr>
            <w:r>
              <w:rPr>
                <w:b/>
                <w:bCs/>
                <w:spacing w:val="-3"/>
              </w:rPr>
              <w:t>综上，本项目符合国家及地方产业政策要求。</w:t>
            </w:r>
          </w:p>
          <w:p w14:paraId="70D65BEE">
            <w:pPr>
              <w:pStyle w:val="6"/>
              <w:spacing w:before="184" w:line="219" w:lineRule="auto"/>
              <w:ind w:left="494"/>
            </w:pPr>
            <w:r>
              <w:rPr>
                <w:rFonts w:ascii="Times New Roman" w:hAnsi="Times New Roman" w:eastAsia="Times New Roman" w:cs="Times New Roman"/>
                <w:spacing w:val="-4"/>
              </w:rPr>
              <w:t>2</w:t>
            </w:r>
            <w:r>
              <w:rPr>
                <w:rFonts w:ascii="Times New Roman" w:hAnsi="Times New Roman" w:eastAsia="Times New Roman" w:cs="Times New Roman"/>
                <w:spacing w:val="-31"/>
              </w:rPr>
              <w:t xml:space="preserve"> </w:t>
            </w:r>
            <w:r>
              <w:rPr>
                <w:spacing w:val="-4"/>
              </w:rPr>
              <w:t>、相关规划符合性</w:t>
            </w:r>
          </w:p>
          <w:p w14:paraId="2C1BC009">
            <w:pPr>
              <w:pStyle w:val="6"/>
              <w:spacing w:before="182" w:line="359" w:lineRule="auto"/>
              <w:ind w:left="14" w:right="9" w:firstLine="488"/>
            </w:pPr>
            <w:r>
              <w:rPr>
                <w:spacing w:val="8"/>
              </w:rPr>
              <w:t>项目与《内蒙古自治区国民经济和社会发展第十四个五年规划和</w:t>
            </w:r>
            <w:r>
              <w:rPr>
                <w:rFonts w:ascii="Times New Roman" w:hAnsi="Times New Roman" w:eastAsia="Times New Roman" w:cs="Times New Roman"/>
                <w:spacing w:val="-1"/>
              </w:rPr>
              <w:t>2035</w:t>
            </w:r>
            <w:r>
              <w:rPr>
                <w:spacing w:val="-1"/>
              </w:rPr>
              <w:t>年远景目标纲要》《内蒙古自治区“十四五</w:t>
            </w:r>
            <w:r>
              <w:rPr>
                <w:spacing w:val="-86"/>
              </w:rPr>
              <w:t xml:space="preserve"> </w:t>
            </w:r>
            <w:r>
              <w:rPr>
                <w:spacing w:val="-1"/>
              </w:rPr>
              <w:t>”能源发展规划</w:t>
            </w:r>
            <w:r>
              <w:rPr>
                <w:spacing w:val="-2"/>
              </w:rPr>
              <w:t>》《内</w:t>
            </w:r>
            <w:r>
              <w:rPr>
                <w:spacing w:val="-1"/>
              </w:rPr>
              <w:t>蒙古自治区“十四五</w:t>
            </w:r>
            <w:r>
              <w:rPr>
                <w:spacing w:val="-88"/>
              </w:rPr>
              <w:t xml:space="preserve"> </w:t>
            </w:r>
            <w:r>
              <w:rPr>
                <w:spacing w:val="-1"/>
              </w:rPr>
              <w:t>”生态环境保护规划》《巴彦淖尔市国</w:t>
            </w:r>
            <w:r>
              <w:rPr>
                <w:spacing w:val="-2"/>
              </w:rPr>
              <w:t>民经济和社</w:t>
            </w:r>
            <w:r>
              <w:t>会发展第十四个五年规划和</w:t>
            </w:r>
            <w:r>
              <w:rPr>
                <w:rFonts w:ascii="Times New Roman" w:hAnsi="Times New Roman" w:eastAsia="Times New Roman" w:cs="Times New Roman"/>
              </w:rPr>
              <w:t>2035</w:t>
            </w:r>
            <w:r>
              <w:t>年远景目标纲要》及《巴彦淖</w:t>
            </w:r>
            <w:r>
              <w:rPr>
                <w:spacing w:val="-1"/>
              </w:rPr>
              <w:t>尔市矿产</w:t>
            </w:r>
            <w:r>
              <w:t>资源总体规划（</w:t>
            </w:r>
            <w:r>
              <w:rPr>
                <w:rFonts w:ascii="Times New Roman" w:hAnsi="Times New Roman" w:eastAsia="Times New Roman" w:cs="Times New Roman"/>
              </w:rPr>
              <w:t>2021-2025</w:t>
            </w:r>
            <w:r>
              <w:t>年）》符合</w:t>
            </w:r>
            <w:r>
              <w:rPr>
                <w:spacing w:val="-1"/>
              </w:rPr>
              <w:t>性分析见下表。</w:t>
            </w:r>
          </w:p>
          <w:p w14:paraId="09A325F5">
            <w:pPr>
              <w:spacing w:line="211" w:lineRule="auto"/>
              <w:ind w:left="1812"/>
              <w:rPr>
                <w:rFonts w:ascii="黑体" w:hAnsi="黑体" w:eastAsia="黑体" w:cs="黑体"/>
                <w:sz w:val="24"/>
                <w:szCs w:val="24"/>
              </w:rPr>
            </w:pPr>
            <w:r>
              <w:rPr>
                <w:rFonts w:ascii="黑体" w:hAnsi="黑体" w:eastAsia="黑体" w:cs="黑体"/>
                <w:spacing w:val="-3"/>
                <w:sz w:val="24"/>
                <w:szCs w:val="24"/>
              </w:rPr>
              <w:t>表</w:t>
            </w:r>
            <w:r>
              <w:rPr>
                <w:rFonts w:ascii="黑体" w:hAnsi="黑体" w:eastAsia="黑体" w:cs="黑体"/>
                <w:spacing w:val="-18"/>
                <w:sz w:val="24"/>
                <w:szCs w:val="24"/>
              </w:rPr>
              <w:t xml:space="preserve"> </w:t>
            </w:r>
            <w:r>
              <w:rPr>
                <w:rFonts w:ascii="Times New Roman" w:hAnsi="Times New Roman" w:eastAsia="Times New Roman" w:cs="Times New Roman"/>
                <w:spacing w:val="-3"/>
                <w:sz w:val="24"/>
                <w:szCs w:val="24"/>
              </w:rPr>
              <w:t xml:space="preserve">1-2  </w:t>
            </w:r>
            <w:r>
              <w:rPr>
                <w:rFonts w:ascii="黑体" w:hAnsi="黑体" w:eastAsia="黑体" w:cs="黑体"/>
                <w:spacing w:val="-3"/>
                <w:sz w:val="24"/>
                <w:szCs w:val="24"/>
              </w:rPr>
              <w:t>与相关规划符合性分析一览表</w:t>
            </w:r>
          </w:p>
        </w:tc>
      </w:tr>
      <w:tr w14:paraId="100549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1456" w:type="dxa"/>
            <w:vMerge w:val="continue"/>
            <w:tcBorders>
              <w:top w:val="nil"/>
              <w:left w:val="single" w:color="000000" w:sz="6" w:space="0"/>
              <w:bottom w:val="nil"/>
            </w:tcBorders>
            <w:vAlign w:val="top"/>
          </w:tcPr>
          <w:p w14:paraId="5455470F">
            <w:pPr>
              <w:rPr>
                <w:rFonts w:ascii="Arial"/>
                <w:sz w:val="21"/>
              </w:rPr>
            </w:pPr>
          </w:p>
        </w:tc>
        <w:tc>
          <w:tcPr>
            <w:tcW w:w="1399" w:type="dxa"/>
            <w:tcBorders>
              <w:top w:val="single" w:color="000000" w:sz="10" w:space="0"/>
            </w:tcBorders>
            <w:vAlign w:val="top"/>
          </w:tcPr>
          <w:p w14:paraId="733F695C">
            <w:pPr>
              <w:pStyle w:val="6"/>
              <w:spacing w:before="162" w:line="230" w:lineRule="auto"/>
              <w:ind w:left="289"/>
              <w:rPr>
                <w:sz w:val="20"/>
                <w:szCs w:val="20"/>
              </w:rPr>
            </w:pPr>
            <w:r>
              <w:rPr>
                <w:spacing w:val="7"/>
                <w:sz w:val="20"/>
                <w:szCs w:val="20"/>
              </w:rPr>
              <w:t>规划名称</w:t>
            </w:r>
          </w:p>
        </w:tc>
        <w:tc>
          <w:tcPr>
            <w:tcW w:w="4118" w:type="dxa"/>
            <w:tcBorders>
              <w:top w:val="single" w:color="000000" w:sz="10" w:space="0"/>
            </w:tcBorders>
            <w:vAlign w:val="top"/>
          </w:tcPr>
          <w:p w14:paraId="51E496D7">
            <w:pPr>
              <w:pStyle w:val="6"/>
              <w:spacing w:before="163" w:line="229" w:lineRule="auto"/>
              <w:ind w:left="1645"/>
              <w:rPr>
                <w:sz w:val="20"/>
                <w:szCs w:val="20"/>
              </w:rPr>
            </w:pPr>
            <w:r>
              <w:rPr>
                <w:spacing w:val="7"/>
                <w:sz w:val="20"/>
                <w:szCs w:val="20"/>
              </w:rPr>
              <w:t>规划要求</w:t>
            </w:r>
          </w:p>
        </w:tc>
        <w:tc>
          <w:tcPr>
            <w:tcW w:w="1427" w:type="dxa"/>
            <w:tcBorders>
              <w:top w:val="single" w:color="000000" w:sz="10" w:space="0"/>
            </w:tcBorders>
            <w:vAlign w:val="top"/>
          </w:tcPr>
          <w:p w14:paraId="334918E2">
            <w:pPr>
              <w:pStyle w:val="6"/>
              <w:spacing w:before="163" w:line="228" w:lineRule="auto"/>
              <w:ind w:left="307"/>
              <w:rPr>
                <w:sz w:val="20"/>
                <w:szCs w:val="20"/>
              </w:rPr>
            </w:pPr>
            <w:r>
              <w:rPr>
                <w:spacing w:val="6"/>
                <w:sz w:val="20"/>
                <w:szCs w:val="20"/>
              </w:rPr>
              <w:t>项目情况</w:t>
            </w:r>
          </w:p>
        </w:tc>
        <w:tc>
          <w:tcPr>
            <w:tcW w:w="530" w:type="dxa"/>
            <w:tcBorders>
              <w:top w:val="single" w:color="000000" w:sz="10" w:space="0"/>
              <w:right w:val="single" w:color="000000" w:sz="6" w:space="0"/>
            </w:tcBorders>
            <w:vAlign w:val="top"/>
          </w:tcPr>
          <w:p w14:paraId="51323E6D">
            <w:pPr>
              <w:pStyle w:val="6"/>
              <w:spacing w:before="26" w:line="228" w:lineRule="auto"/>
              <w:ind w:left="60"/>
              <w:rPr>
                <w:sz w:val="20"/>
                <w:szCs w:val="20"/>
              </w:rPr>
            </w:pPr>
            <w:r>
              <w:rPr>
                <w:spacing w:val="3"/>
                <w:sz w:val="20"/>
                <w:szCs w:val="20"/>
              </w:rPr>
              <w:t>是否</w:t>
            </w:r>
          </w:p>
          <w:p w14:paraId="63EC89F0">
            <w:pPr>
              <w:pStyle w:val="6"/>
              <w:spacing w:before="26" w:line="212" w:lineRule="auto"/>
              <w:ind w:left="59"/>
              <w:rPr>
                <w:sz w:val="20"/>
                <w:szCs w:val="20"/>
              </w:rPr>
            </w:pPr>
            <w:r>
              <w:rPr>
                <w:spacing w:val="3"/>
                <w:sz w:val="20"/>
                <w:szCs w:val="20"/>
              </w:rPr>
              <w:t>符合</w:t>
            </w:r>
          </w:p>
        </w:tc>
      </w:tr>
      <w:tr w14:paraId="0E068C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7" w:hRule="atLeast"/>
        </w:trPr>
        <w:tc>
          <w:tcPr>
            <w:tcW w:w="1456" w:type="dxa"/>
            <w:vMerge w:val="continue"/>
            <w:tcBorders>
              <w:top w:val="nil"/>
              <w:left w:val="single" w:color="000000" w:sz="6" w:space="0"/>
              <w:bottom w:val="nil"/>
            </w:tcBorders>
            <w:vAlign w:val="top"/>
          </w:tcPr>
          <w:p w14:paraId="61FC2220">
            <w:pPr>
              <w:rPr>
                <w:rFonts w:ascii="Arial"/>
                <w:sz w:val="21"/>
              </w:rPr>
            </w:pPr>
          </w:p>
        </w:tc>
        <w:tc>
          <w:tcPr>
            <w:tcW w:w="1399" w:type="dxa"/>
            <w:vAlign w:val="top"/>
          </w:tcPr>
          <w:p w14:paraId="0135ECB1">
            <w:pPr>
              <w:pStyle w:val="6"/>
              <w:spacing w:before="35" w:line="228" w:lineRule="auto"/>
              <w:ind w:left="102"/>
              <w:rPr>
                <w:sz w:val="20"/>
                <w:szCs w:val="20"/>
              </w:rPr>
            </w:pPr>
            <w:r>
              <w:rPr>
                <w:spacing w:val="4"/>
                <w:sz w:val="20"/>
                <w:szCs w:val="20"/>
              </w:rPr>
              <w:t>内蒙古自治区</w:t>
            </w:r>
          </w:p>
          <w:p w14:paraId="19875E39">
            <w:pPr>
              <w:pStyle w:val="6"/>
              <w:spacing w:before="26" w:line="228" w:lineRule="auto"/>
              <w:ind w:left="98"/>
              <w:rPr>
                <w:sz w:val="20"/>
                <w:szCs w:val="20"/>
              </w:rPr>
            </w:pPr>
            <w:r>
              <w:rPr>
                <w:spacing w:val="4"/>
                <w:sz w:val="20"/>
                <w:szCs w:val="20"/>
              </w:rPr>
              <w:t>国民经济和社</w:t>
            </w:r>
          </w:p>
          <w:p w14:paraId="4A318C12">
            <w:pPr>
              <w:pStyle w:val="6"/>
              <w:spacing w:before="24" w:line="227" w:lineRule="auto"/>
              <w:ind w:left="76"/>
              <w:rPr>
                <w:sz w:val="20"/>
                <w:szCs w:val="20"/>
              </w:rPr>
            </w:pPr>
            <w:r>
              <w:rPr>
                <w:spacing w:val="8"/>
                <w:sz w:val="20"/>
                <w:szCs w:val="20"/>
              </w:rPr>
              <w:t>会发展第十四</w:t>
            </w:r>
          </w:p>
          <w:p w14:paraId="58684112">
            <w:pPr>
              <w:pStyle w:val="6"/>
              <w:spacing w:before="27" w:line="228" w:lineRule="auto"/>
              <w:ind w:left="77"/>
              <w:rPr>
                <w:sz w:val="20"/>
                <w:szCs w:val="20"/>
              </w:rPr>
            </w:pPr>
            <w:r>
              <w:rPr>
                <w:spacing w:val="8"/>
                <w:sz w:val="20"/>
                <w:szCs w:val="20"/>
              </w:rPr>
              <w:t>个五年规划和</w:t>
            </w:r>
          </w:p>
          <w:p w14:paraId="316129DA">
            <w:pPr>
              <w:pStyle w:val="6"/>
              <w:spacing w:before="24" w:line="228" w:lineRule="auto"/>
              <w:ind w:left="44"/>
              <w:rPr>
                <w:sz w:val="20"/>
                <w:szCs w:val="20"/>
              </w:rPr>
            </w:pPr>
            <w:r>
              <w:rPr>
                <w:rFonts w:ascii="Times New Roman" w:hAnsi="Times New Roman" w:eastAsia="Times New Roman" w:cs="Times New Roman"/>
                <w:spacing w:val="6"/>
                <w:sz w:val="20"/>
                <w:szCs w:val="20"/>
              </w:rPr>
              <w:t xml:space="preserve">2035 </w:t>
            </w:r>
            <w:r>
              <w:rPr>
                <w:spacing w:val="6"/>
                <w:sz w:val="20"/>
                <w:szCs w:val="20"/>
              </w:rPr>
              <w:t>年远景目</w:t>
            </w:r>
          </w:p>
          <w:p w14:paraId="01FE9E96">
            <w:pPr>
              <w:pStyle w:val="6"/>
              <w:spacing w:before="24" w:line="213" w:lineRule="auto"/>
              <w:ind w:left="392"/>
              <w:rPr>
                <w:sz w:val="20"/>
                <w:szCs w:val="20"/>
              </w:rPr>
            </w:pPr>
            <w:r>
              <w:rPr>
                <w:spacing w:val="6"/>
                <w:sz w:val="20"/>
                <w:szCs w:val="20"/>
              </w:rPr>
              <w:t>标纲要</w:t>
            </w:r>
          </w:p>
        </w:tc>
        <w:tc>
          <w:tcPr>
            <w:tcW w:w="4118" w:type="dxa"/>
            <w:vAlign w:val="top"/>
          </w:tcPr>
          <w:p w14:paraId="6F11DF59">
            <w:pPr>
              <w:pStyle w:val="6"/>
              <w:spacing w:before="172" w:line="252" w:lineRule="auto"/>
              <w:ind w:left="110" w:right="46" w:firstLine="420"/>
              <w:jc w:val="both"/>
              <w:rPr>
                <w:sz w:val="20"/>
                <w:szCs w:val="20"/>
              </w:rPr>
            </w:pPr>
            <w:r>
              <w:rPr>
                <w:spacing w:val="4"/>
                <w:sz w:val="20"/>
                <w:szCs w:val="20"/>
              </w:rPr>
              <w:t>推进能源供应保障升级，完善能源产供</w:t>
            </w:r>
            <w:r>
              <w:rPr>
                <w:spacing w:val="6"/>
                <w:sz w:val="20"/>
                <w:szCs w:val="20"/>
              </w:rPr>
              <w:t>储销体系。</w:t>
            </w:r>
            <w:r>
              <w:rPr>
                <w:b/>
                <w:bCs/>
                <w:spacing w:val="6"/>
                <w:sz w:val="20"/>
                <w:szCs w:val="20"/>
              </w:rPr>
              <w:t>加强鄂尔多斯等重点盆地油气、</w:t>
            </w:r>
            <w:r>
              <w:rPr>
                <w:b/>
                <w:bCs/>
                <w:spacing w:val="3"/>
                <w:sz w:val="20"/>
                <w:szCs w:val="20"/>
              </w:rPr>
              <w:t>鄂尔多斯东缘页岩气勘探开发。</w:t>
            </w:r>
            <w:r>
              <w:rPr>
                <w:spacing w:val="3"/>
                <w:sz w:val="20"/>
                <w:szCs w:val="20"/>
              </w:rPr>
              <w:t>稳妥推进鄂</w:t>
            </w:r>
            <w:r>
              <w:rPr>
                <w:spacing w:val="5"/>
                <w:sz w:val="20"/>
                <w:szCs w:val="20"/>
              </w:rPr>
              <w:t>尔多斯等煤制油气战略基地建设，建立产能</w:t>
            </w:r>
            <w:r>
              <w:rPr>
                <w:spacing w:val="6"/>
                <w:sz w:val="20"/>
                <w:szCs w:val="20"/>
              </w:rPr>
              <w:t>和技术储备。</w:t>
            </w:r>
          </w:p>
        </w:tc>
        <w:tc>
          <w:tcPr>
            <w:tcW w:w="1427" w:type="dxa"/>
            <w:vMerge w:val="restart"/>
            <w:tcBorders>
              <w:bottom w:val="nil"/>
            </w:tcBorders>
            <w:vAlign w:val="top"/>
          </w:tcPr>
          <w:p w14:paraId="5E9A7B9A">
            <w:pPr>
              <w:spacing w:line="245" w:lineRule="auto"/>
              <w:rPr>
                <w:rFonts w:ascii="Arial"/>
                <w:sz w:val="21"/>
              </w:rPr>
            </w:pPr>
          </w:p>
          <w:p w14:paraId="67A701B5">
            <w:pPr>
              <w:spacing w:line="245" w:lineRule="auto"/>
              <w:rPr>
                <w:rFonts w:ascii="Arial"/>
                <w:sz w:val="21"/>
              </w:rPr>
            </w:pPr>
          </w:p>
          <w:p w14:paraId="6CE48725">
            <w:pPr>
              <w:spacing w:line="246" w:lineRule="auto"/>
              <w:rPr>
                <w:rFonts w:ascii="Arial"/>
                <w:sz w:val="21"/>
              </w:rPr>
            </w:pPr>
          </w:p>
          <w:p w14:paraId="40854A24">
            <w:pPr>
              <w:spacing w:line="246" w:lineRule="auto"/>
              <w:rPr>
                <w:rFonts w:ascii="Arial"/>
                <w:sz w:val="21"/>
              </w:rPr>
            </w:pPr>
          </w:p>
          <w:p w14:paraId="7A816F44">
            <w:pPr>
              <w:spacing w:line="246" w:lineRule="auto"/>
              <w:rPr>
                <w:rFonts w:ascii="Arial"/>
                <w:sz w:val="21"/>
              </w:rPr>
            </w:pPr>
          </w:p>
          <w:p w14:paraId="5D488F4E">
            <w:pPr>
              <w:pStyle w:val="6"/>
              <w:spacing w:before="65" w:line="252" w:lineRule="auto"/>
              <w:ind w:left="114" w:right="99" w:firstLine="425"/>
              <w:rPr>
                <w:sz w:val="20"/>
                <w:szCs w:val="20"/>
              </w:rPr>
            </w:pPr>
            <w:r>
              <w:rPr>
                <w:spacing w:val="5"/>
                <w:sz w:val="20"/>
                <w:szCs w:val="20"/>
              </w:rPr>
              <w:t>项目属</w:t>
            </w:r>
            <w:r>
              <w:rPr>
                <w:spacing w:val="8"/>
                <w:sz w:val="20"/>
                <w:szCs w:val="20"/>
              </w:rPr>
              <w:t>于国家战略性矿产资源</w:t>
            </w:r>
            <w:r>
              <w:rPr>
                <w:spacing w:val="1"/>
                <w:sz w:val="20"/>
                <w:szCs w:val="20"/>
              </w:rPr>
              <w:t>勘探，位于巴</w:t>
            </w:r>
            <w:r>
              <w:rPr>
                <w:spacing w:val="8"/>
                <w:sz w:val="20"/>
                <w:szCs w:val="20"/>
              </w:rPr>
              <w:t>彦淖尔市磴</w:t>
            </w:r>
            <w:r>
              <w:rPr>
                <w:spacing w:val="1"/>
                <w:sz w:val="20"/>
                <w:szCs w:val="20"/>
              </w:rPr>
              <w:t>口县，构造位</w:t>
            </w:r>
            <w:r>
              <w:rPr>
                <w:spacing w:val="8"/>
                <w:sz w:val="20"/>
                <w:szCs w:val="20"/>
              </w:rPr>
              <w:t>置为河套盆地临河坳陷</w:t>
            </w:r>
            <w:r>
              <w:rPr>
                <w:spacing w:val="1"/>
                <w:sz w:val="20"/>
                <w:szCs w:val="20"/>
              </w:rPr>
              <w:t>扎格构造，属</w:t>
            </w:r>
            <w:r>
              <w:rPr>
                <w:spacing w:val="8"/>
                <w:sz w:val="20"/>
                <w:szCs w:val="20"/>
              </w:rPr>
              <w:t>于常规油气资源勘探开</w:t>
            </w:r>
            <w:r>
              <w:rPr>
                <w:sz w:val="20"/>
                <w:szCs w:val="20"/>
              </w:rPr>
              <w:t>发，为含油气</w:t>
            </w:r>
            <w:r>
              <w:rPr>
                <w:spacing w:val="8"/>
                <w:sz w:val="20"/>
                <w:szCs w:val="20"/>
              </w:rPr>
              <w:t>盆地的地质</w:t>
            </w:r>
            <w:r>
              <w:rPr>
                <w:spacing w:val="1"/>
                <w:sz w:val="20"/>
                <w:szCs w:val="20"/>
              </w:rPr>
              <w:t>勘查阶段，为</w:t>
            </w:r>
            <w:r>
              <w:rPr>
                <w:spacing w:val="8"/>
                <w:sz w:val="20"/>
                <w:szCs w:val="20"/>
              </w:rPr>
              <w:t>下一步油气资源大力开</w:t>
            </w:r>
            <w:r>
              <w:rPr>
                <w:spacing w:val="1"/>
                <w:sz w:val="20"/>
                <w:szCs w:val="20"/>
              </w:rPr>
              <w:t>发提供依据，</w:t>
            </w:r>
            <w:r>
              <w:rPr>
                <w:spacing w:val="8"/>
                <w:sz w:val="20"/>
                <w:szCs w:val="20"/>
              </w:rPr>
              <w:t>进而稳步推进油气开发</w:t>
            </w:r>
            <w:r>
              <w:rPr>
                <w:spacing w:val="6"/>
                <w:sz w:val="20"/>
                <w:szCs w:val="20"/>
              </w:rPr>
              <w:t>基地建设。</w:t>
            </w:r>
          </w:p>
        </w:tc>
        <w:tc>
          <w:tcPr>
            <w:tcW w:w="530" w:type="dxa"/>
            <w:tcBorders>
              <w:right w:val="single" w:color="000000" w:sz="6" w:space="0"/>
            </w:tcBorders>
            <w:vAlign w:val="top"/>
          </w:tcPr>
          <w:p w14:paraId="4F815A02">
            <w:pPr>
              <w:spacing w:line="289" w:lineRule="auto"/>
              <w:rPr>
                <w:rFonts w:ascii="Arial"/>
                <w:sz w:val="21"/>
              </w:rPr>
            </w:pPr>
          </w:p>
          <w:p w14:paraId="71B6B35A">
            <w:pPr>
              <w:spacing w:line="289" w:lineRule="auto"/>
              <w:rPr>
                <w:rFonts w:ascii="Arial"/>
                <w:sz w:val="21"/>
              </w:rPr>
            </w:pPr>
          </w:p>
          <w:p w14:paraId="5B115A99">
            <w:pPr>
              <w:pStyle w:val="6"/>
              <w:spacing w:before="65" w:line="228" w:lineRule="auto"/>
              <w:ind w:left="59"/>
              <w:rPr>
                <w:sz w:val="20"/>
                <w:szCs w:val="20"/>
              </w:rPr>
            </w:pPr>
            <w:r>
              <w:rPr>
                <w:spacing w:val="3"/>
                <w:sz w:val="20"/>
                <w:szCs w:val="20"/>
              </w:rPr>
              <w:t>符合</w:t>
            </w:r>
          </w:p>
        </w:tc>
      </w:tr>
      <w:tr w14:paraId="411383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99" w:hRule="atLeast"/>
        </w:trPr>
        <w:tc>
          <w:tcPr>
            <w:tcW w:w="1456" w:type="dxa"/>
            <w:vMerge w:val="continue"/>
            <w:tcBorders>
              <w:top w:val="nil"/>
              <w:left w:val="single" w:color="000000" w:sz="6" w:space="0"/>
              <w:bottom w:val="nil"/>
            </w:tcBorders>
            <w:vAlign w:val="top"/>
          </w:tcPr>
          <w:p w14:paraId="6ACA6BD3">
            <w:pPr>
              <w:rPr>
                <w:rFonts w:ascii="Arial"/>
                <w:sz w:val="21"/>
              </w:rPr>
            </w:pPr>
          </w:p>
        </w:tc>
        <w:tc>
          <w:tcPr>
            <w:tcW w:w="1399" w:type="dxa"/>
            <w:vAlign w:val="top"/>
          </w:tcPr>
          <w:p w14:paraId="545200C6">
            <w:pPr>
              <w:spacing w:line="254" w:lineRule="auto"/>
              <w:rPr>
                <w:rFonts w:ascii="Arial"/>
                <w:sz w:val="21"/>
              </w:rPr>
            </w:pPr>
          </w:p>
          <w:p w14:paraId="752730CE">
            <w:pPr>
              <w:spacing w:line="255" w:lineRule="auto"/>
              <w:rPr>
                <w:rFonts w:ascii="Arial"/>
                <w:sz w:val="21"/>
              </w:rPr>
            </w:pPr>
          </w:p>
          <w:p w14:paraId="0CD4634D">
            <w:pPr>
              <w:pStyle w:val="6"/>
              <w:spacing w:before="65" w:line="228" w:lineRule="auto"/>
              <w:ind w:left="102"/>
              <w:rPr>
                <w:sz w:val="20"/>
                <w:szCs w:val="20"/>
              </w:rPr>
            </w:pPr>
            <w:r>
              <w:rPr>
                <w:spacing w:val="4"/>
                <w:sz w:val="20"/>
                <w:szCs w:val="20"/>
              </w:rPr>
              <w:t>内蒙古自治区</w:t>
            </w:r>
          </w:p>
          <w:p w14:paraId="4C68E32E">
            <w:pPr>
              <w:pStyle w:val="6"/>
              <w:spacing w:before="24" w:line="229" w:lineRule="auto"/>
              <w:ind w:left="7"/>
              <w:rPr>
                <w:sz w:val="20"/>
                <w:szCs w:val="20"/>
              </w:rPr>
            </w:pPr>
            <w:r>
              <w:rPr>
                <w:spacing w:val="-8"/>
                <w:sz w:val="20"/>
                <w:szCs w:val="20"/>
              </w:rPr>
              <w:t>“十四五</w:t>
            </w:r>
            <w:r>
              <w:rPr>
                <w:spacing w:val="-66"/>
                <w:sz w:val="20"/>
                <w:szCs w:val="20"/>
              </w:rPr>
              <w:t xml:space="preserve"> </w:t>
            </w:r>
            <w:r>
              <w:rPr>
                <w:spacing w:val="-8"/>
                <w:sz w:val="20"/>
                <w:szCs w:val="20"/>
              </w:rPr>
              <w:t>”能源</w:t>
            </w:r>
          </w:p>
          <w:p w14:paraId="3CC4986A">
            <w:pPr>
              <w:pStyle w:val="6"/>
              <w:spacing w:before="25" w:line="228" w:lineRule="auto"/>
              <w:ind w:left="289"/>
              <w:rPr>
                <w:sz w:val="20"/>
                <w:szCs w:val="20"/>
              </w:rPr>
            </w:pPr>
            <w:r>
              <w:rPr>
                <w:spacing w:val="6"/>
                <w:sz w:val="20"/>
                <w:szCs w:val="20"/>
              </w:rPr>
              <w:t>发展规划</w:t>
            </w:r>
          </w:p>
        </w:tc>
        <w:tc>
          <w:tcPr>
            <w:tcW w:w="4118" w:type="dxa"/>
            <w:vAlign w:val="top"/>
          </w:tcPr>
          <w:p w14:paraId="6935C87A">
            <w:pPr>
              <w:pStyle w:val="6"/>
              <w:spacing w:before="164" w:line="253" w:lineRule="auto"/>
              <w:ind w:left="111" w:right="102" w:firstLine="423"/>
              <w:jc w:val="both"/>
              <w:rPr>
                <w:sz w:val="20"/>
                <w:szCs w:val="20"/>
              </w:rPr>
            </w:pPr>
            <w:r>
              <w:rPr>
                <w:spacing w:val="3"/>
                <w:sz w:val="20"/>
                <w:szCs w:val="20"/>
              </w:rPr>
              <w:t>坚持安全可靠。</w:t>
            </w:r>
            <w:r>
              <w:rPr>
                <w:b/>
                <w:bCs/>
                <w:spacing w:val="3"/>
                <w:sz w:val="20"/>
                <w:szCs w:val="20"/>
              </w:rPr>
              <w:t>巩固国家重要能源和战</w:t>
            </w:r>
            <w:r>
              <w:rPr>
                <w:b/>
                <w:bCs/>
                <w:spacing w:val="2"/>
                <w:sz w:val="20"/>
                <w:szCs w:val="20"/>
              </w:rPr>
              <w:t>略资源基地地位，围绕煤电油气安全稳定供</w:t>
            </w:r>
            <w:r>
              <w:rPr>
                <w:b/>
                <w:bCs/>
                <w:spacing w:val="3"/>
                <w:sz w:val="20"/>
                <w:szCs w:val="20"/>
              </w:rPr>
              <w:t>应，强化能源兜底保障能力，</w:t>
            </w:r>
            <w:r>
              <w:rPr>
                <w:spacing w:val="3"/>
                <w:sz w:val="20"/>
                <w:szCs w:val="20"/>
              </w:rPr>
              <w:t>提升能源供给</w:t>
            </w:r>
            <w:r>
              <w:rPr>
                <w:spacing w:val="5"/>
                <w:sz w:val="20"/>
                <w:szCs w:val="20"/>
              </w:rPr>
              <w:t>质量，稳定能源外送能力，构建安全可靠的能源供应保障体系，夯实全国能源供应保障</w:t>
            </w:r>
            <w:r>
              <w:rPr>
                <w:spacing w:val="7"/>
                <w:sz w:val="20"/>
                <w:szCs w:val="20"/>
              </w:rPr>
              <w:t>的“压舱石</w:t>
            </w:r>
            <w:r>
              <w:rPr>
                <w:spacing w:val="-70"/>
                <w:sz w:val="20"/>
                <w:szCs w:val="20"/>
              </w:rPr>
              <w:t xml:space="preserve"> </w:t>
            </w:r>
            <w:r>
              <w:rPr>
                <w:spacing w:val="7"/>
                <w:sz w:val="20"/>
                <w:szCs w:val="20"/>
              </w:rPr>
              <w:t>”。</w:t>
            </w:r>
          </w:p>
        </w:tc>
        <w:tc>
          <w:tcPr>
            <w:tcW w:w="1427" w:type="dxa"/>
            <w:vMerge w:val="continue"/>
            <w:tcBorders>
              <w:top w:val="nil"/>
              <w:bottom w:val="nil"/>
            </w:tcBorders>
            <w:vAlign w:val="top"/>
          </w:tcPr>
          <w:p w14:paraId="67DDD126">
            <w:pPr>
              <w:rPr>
                <w:rFonts w:ascii="Arial"/>
                <w:sz w:val="21"/>
              </w:rPr>
            </w:pPr>
          </w:p>
        </w:tc>
        <w:tc>
          <w:tcPr>
            <w:tcW w:w="530" w:type="dxa"/>
            <w:tcBorders>
              <w:right w:val="single" w:color="000000" w:sz="6" w:space="0"/>
            </w:tcBorders>
            <w:vAlign w:val="top"/>
          </w:tcPr>
          <w:p w14:paraId="197F3A45">
            <w:pPr>
              <w:spacing w:line="355" w:lineRule="auto"/>
              <w:rPr>
                <w:rFonts w:ascii="Arial"/>
                <w:sz w:val="21"/>
              </w:rPr>
            </w:pPr>
          </w:p>
          <w:p w14:paraId="4A8BEAF5">
            <w:pPr>
              <w:spacing w:line="356" w:lineRule="auto"/>
              <w:rPr>
                <w:rFonts w:ascii="Arial"/>
                <w:sz w:val="21"/>
              </w:rPr>
            </w:pPr>
          </w:p>
          <w:p w14:paraId="14B16DB5">
            <w:pPr>
              <w:pStyle w:val="6"/>
              <w:spacing w:before="65" w:line="228" w:lineRule="auto"/>
              <w:ind w:left="59"/>
              <w:rPr>
                <w:sz w:val="20"/>
                <w:szCs w:val="20"/>
              </w:rPr>
            </w:pPr>
            <w:r>
              <w:rPr>
                <w:spacing w:val="3"/>
                <w:sz w:val="20"/>
                <w:szCs w:val="20"/>
              </w:rPr>
              <w:t>符合</w:t>
            </w:r>
          </w:p>
        </w:tc>
      </w:tr>
      <w:tr w14:paraId="28BD5A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456" w:type="dxa"/>
            <w:vMerge w:val="continue"/>
            <w:tcBorders>
              <w:top w:val="nil"/>
              <w:left w:val="single" w:color="000000" w:sz="6" w:space="0"/>
              <w:bottom w:val="nil"/>
            </w:tcBorders>
            <w:vAlign w:val="top"/>
          </w:tcPr>
          <w:p w14:paraId="2EF1BD29">
            <w:pPr>
              <w:rPr>
                <w:rFonts w:ascii="Arial"/>
                <w:sz w:val="21"/>
              </w:rPr>
            </w:pPr>
          </w:p>
        </w:tc>
        <w:tc>
          <w:tcPr>
            <w:tcW w:w="1399" w:type="dxa"/>
            <w:vAlign w:val="top"/>
          </w:tcPr>
          <w:p w14:paraId="47BE2B52">
            <w:pPr>
              <w:pStyle w:val="6"/>
              <w:spacing w:before="40" w:line="237" w:lineRule="auto"/>
              <w:ind w:left="7" w:right="6" w:firstLine="95"/>
              <w:jc w:val="both"/>
              <w:rPr>
                <w:sz w:val="20"/>
                <w:szCs w:val="20"/>
              </w:rPr>
            </w:pPr>
            <w:r>
              <w:rPr>
                <w:spacing w:val="4"/>
                <w:sz w:val="20"/>
                <w:szCs w:val="20"/>
              </w:rPr>
              <w:t>内蒙古自治区</w:t>
            </w:r>
            <w:r>
              <w:rPr>
                <w:spacing w:val="-8"/>
                <w:sz w:val="20"/>
                <w:szCs w:val="20"/>
              </w:rPr>
              <w:t>“十四五</w:t>
            </w:r>
            <w:r>
              <w:rPr>
                <w:spacing w:val="-66"/>
                <w:sz w:val="20"/>
                <w:szCs w:val="20"/>
              </w:rPr>
              <w:t xml:space="preserve"> </w:t>
            </w:r>
            <w:r>
              <w:rPr>
                <w:spacing w:val="-8"/>
                <w:sz w:val="20"/>
                <w:szCs w:val="20"/>
              </w:rPr>
              <w:t>”生态</w:t>
            </w:r>
            <w:r>
              <w:rPr>
                <w:spacing w:val="19"/>
                <w:sz w:val="20"/>
                <w:szCs w:val="20"/>
              </w:rPr>
              <w:t>环境保护规划</w:t>
            </w:r>
          </w:p>
        </w:tc>
        <w:tc>
          <w:tcPr>
            <w:tcW w:w="4118" w:type="dxa"/>
            <w:vAlign w:val="top"/>
          </w:tcPr>
          <w:p w14:paraId="4D960DDF">
            <w:pPr>
              <w:pStyle w:val="6"/>
              <w:spacing w:before="40" w:line="237" w:lineRule="auto"/>
              <w:ind w:left="112" w:right="102" w:firstLine="419"/>
              <w:jc w:val="both"/>
              <w:rPr>
                <w:sz w:val="20"/>
                <w:szCs w:val="20"/>
              </w:rPr>
            </w:pPr>
            <w:r>
              <w:rPr>
                <w:spacing w:val="4"/>
                <w:sz w:val="20"/>
                <w:szCs w:val="20"/>
              </w:rPr>
              <w:t>推进油气勘查开发和基地建设，加快油</w:t>
            </w:r>
            <w:r>
              <w:rPr>
                <w:spacing w:val="5"/>
                <w:sz w:val="20"/>
                <w:szCs w:val="20"/>
              </w:rPr>
              <w:t>气长输管道建设，完善油气管网，提高供应</w:t>
            </w:r>
            <w:r>
              <w:rPr>
                <w:spacing w:val="2"/>
                <w:sz w:val="20"/>
                <w:szCs w:val="20"/>
              </w:rPr>
              <w:t>保障。</w:t>
            </w:r>
          </w:p>
        </w:tc>
        <w:tc>
          <w:tcPr>
            <w:tcW w:w="1427" w:type="dxa"/>
            <w:vMerge w:val="continue"/>
            <w:tcBorders>
              <w:top w:val="nil"/>
              <w:bottom w:val="nil"/>
            </w:tcBorders>
            <w:vAlign w:val="top"/>
          </w:tcPr>
          <w:p w14:paraId="01E4D52E">
            <w:pPr>
              <w:rPr>
                <w:rFonts w:ascii="Arial"/>
                <w:sz w:val="21"/>
              </w:rPr>
            </w:pPr>
          </w:p>
        </w:tc>
        <w:tc>
          <w:tcPr>
            <w:tcW w:w="530" w:type="dxa"/>
            <w:tcBorders>
              <w:right w:val="single" w:color="000000" w:sz="6" w:space="0"/>
            </w:tcBorders>
            <w:vAlign w:val="top"/>
          </w:tcPr>
          <w:p w14:paraId="52ED487E">
            <w:pPr>
              <w:pStyle w:val="6"/>
              <w:spacing w:before="242" w:line="228" w:lineRule="auto"/>
              <w:ind w:left="59"/>
              <w:rPr>
                <w:sz w:val="20"/>
                <w:szCs w:val="20"/>
              </w:rPr>
            </w:pPr>
            <w:r>
              <w:rPr>
                <w:spacing w:val="3"/>
                <w:sz w:val="20"/>
                <w:szCs w:val="20"/>
              </w:rPr>
              <w:t>符合</w:t>
            </w:r>
          </w:p>
        </w:tc>
      </w:tr>
      <w:tr w14:paraId="4E77EF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5" w:hRule="atLeast"/>
        </w:trPr>
        <w:tc>
          <w:tcPr>
            <w:tcW w:w="1456" w:type="dxa"/>
            <w:vMerge w:val="continue"/>
            <w:tcBorders>
              <w:top w:val="nil"/>
              <w:left w:val="single" w:color="000000" w:sz="6" w:space="0"/>
              <w:bottom w:val="nil"/>
            </w:tcBorders>
            <w:vAlign w:val="top"/>
          </w:tcPr>
          <w:p w14:paraId="52529CA9">
            <w:pPr>
              <w:rPr>
                <w:rFonts w:ascii="Arial"/>
                <w:sz w:val="21"/>
              </w:rPr>
            </w:pPr>
          </w:p>
        </w:tc>
        <w:tc>
          <w:tcPr>
            <w:tcW w:w="1399" w:type="dxa"/>
            <w:vAlign w:val="top"/>
          </w:tcPr>
          <w:p w14:paraId="74F52E68">
            <w:pPr>
              <w:pStyle w:val="6"/>
              <w:spacing w:before="74" w:line="227" w:lineRule="auto"/>
              <w:ind w:left="99"/>
              <w:rPr>
                <w:sz w:val="20"/>
                <w:szCs w:val="20"/>
              </w:rPr>
            </w:pPr>
            <w:r>
              <w:rPr>
                <w:spacing w:val="4"/>
                <w:sz w:val="20"/>
                <w:szCs w:val="20"/>
              </w:rPr>
              <w:t>巴彦淖尔市国</w:t>
            </w:r>
          </w:p>
          <w:p w14:paraId="522A3733">
            <w:pPr>
              <w:pStyle w:val="6"/>
              <w:spacing w:before="25" w:line="227" w:lineRule="auto"/>
              <w:ind w:left="98"/>
              <w:rPr>
                <w:sz w:val="20"/>
                <w:szCs w:val="20"/>
              </w:rPr>
            </w:pPr>
            <w:r>
              <w:rPr>
                <w:spacing w:val="4"/>
                <w:sz w:val="20"/>
                <w:szCs w:val="20"/>
              </w:rPr>
              <w:t>民经济和社会</w:t>
            </w:r>
          </w:p>
          <w:p w14:paraId="1A848A77">
            <w:pPr>
              <w:pStyle w:val="6"/>
              <w:spacing w:before="24" w:line="228" w:lineRule="auto"/>
              <w:ind w:left="80"/>
              <w:rPr>
                <w:sz w:val="20"/>
                <w:szCs w:val="20"/>
              </w:rPr>
            </w:pPr>
            <w:r>
              <w:rPr>
                <w:spacing w:val="7"/>
                <w:sz w:val="20"/>
                <w:szCs w:val="20"/>
              </w:rPr>
              <w:t>发展第十四个</w:t>
            </w:r>
          </w:p>
          <w:p w14:paraId="05F834DF">
            <w:pPr>
              <w:pStyle w:val="6"/>
              <w:spacing w:before="26" w:line="228" w:lineRule="auto"/>
              <w:ind w:left="184"/>
              <w:rPr>
                <w:sz w:val="20"/>
                <w:szCs w:val="20"/>
              </w:rPr>
            </w:pPr>
            <w:r>
              <w:rPr>
                <w:spacing w:val="7"/>
                <w:sz w:val="20"/>
                <w:szCs w:val="20"/>
              </w:rPr>
              <w:t>五年规划和</w:t>
            </w:r>
          </w:p>
          <w:p w14:paraId="43C063B8">
            <w:pPr>
              <w:pStyle w:val="6"/>
              <w:spacing w:before="27" w:line="228" w:lineRule="auto"/>
              <w:ind w:left="44"/>
              <w:rPr>
                <w:sz w:val="20"/>
                <w:szCs w:val="20"/>
              </w:rPr>
            </w:pPr>
            <w:r>
              <w:rPr>
                <w:rFonts w:ascii="Times New Roman" w:hAnsi="Times New Roman" w:eastAsia="Times New Roman" w:cs="Times New Roman"/>
                <w:spacing w:val="6"/>
                <w:sz w:val="20"/>
                <w:szCs w:val="20"/>
              </w:rPr>
              <w:t xml:space="preserve">2035 </w:t>
            </w:r>
            <w:r>
              <w:rPr>
                <w:spacing w:val="6"/>
                <w:sz w:val="20"/>
                <w:szCs w:val="20"/>
              </w:rPr>
              <w:t>年远景目</w:t>
            </w:r>
          </w:p>
          <w:p w14:paraId="106DB80B">
            <w:pPr>
              <w:pStyle w:val="6"/>
              <w:spacing w:before="25" w:line="228" w:lineRule="auto"/>
              <w:ind w:left="392"/>
              <w:rPr>
                <w:sz w:val="20"/>
                <w:szCs w:val="20"/>
              </w:rPr>
            </w:pPr>
            <w:r>
              <w:rPr>
                <w:spacing w:val="6"/>
                <w:sz w:val="20"/>
                <w:szCs w:val="20"/>
              </w:rPr>
              <w:t>标纲要</w:t>
            </w:r>
          </w:p>
        </w:tc>
        <w:tc>
          <w:tcPr>
            <w:tcW w:w="4118" w:type="dxa"/>
            <w:vAlign w:val="top"/>
          </w:tcPr>
          <w:p w14:paraId="7C52DD75">
            <w:pPr>
              <w:pStyle w:val="6"/>
              <w:spacing w:before="211" w:line="252" w:lineRule="auto"/>
              <w:ind w:left="110" w:right="57" w:firstLine="420"/>
              <w:jc w:val="both"/>
              <w:rPr>
                <w:sz w:val="20"/>
                <w:szCs w:val="20"/>
              </w:rPr>
            </w:pPr>
            <w:r>
              <w:rPr>
                <w:spacing w:val="4"/>
                <w:sz w:val="20"/>
                <w:szCs w:val="20"/>
              </w:rPr>
              <w:t>加强矿产资源综合利用。在法律允许开</w:t>
            </w:r>
            <w:r>
              <w:rPr>
                <w:spacing w:val="3"/>
                <w:sz w:val="20"/>
                <w:szCs w:val="20"/>
              </w:rPr>
              <w:t>发区域内，</w:t>
            </w:r>
            <w:r>
              <w:rPr>
                <w:b/>
                <w:bCs/>
                <w:spacing w:val="3"/>
                <w:sz w:val="20"/>
                <w:szCs w:val="20"/>
              </w:rPr>
              <w:t>加大矿产资源的勘查力度，有序</w:t>
            </w:r>
            <w:r>
              <w:rPr>
                <w:b/>
                <w:bCs/>
                <w:spacing w:val="5"/>
                <w:sz w:val="20"/>
                <w:szCs w:val="20"/>
              </w:rPr>
              <w:t>开发矿产资源。加大石油天然气勘探力度，</w:t>
            </w:r>
            <w:r>
              <w:rPr>
                <w:b/>
                <w:bCs/>
                <w:spacing w:val="4"/>
                <w:sz w:val="20"/>
                <w:szCs w:val="20"/>
              </w:rPr>
              <w:t>推动油气开采与战略储备</w:t>
            </w:r>
            <w:r>
              <w:rPr>
                <w:spacing w:val="4"/>
                <w:sz w:val="20"/>
                <w:szCs w:val="20"/>
              </w:rPr>
              <w:t>，实现河套盆地规</w:t>
            </w:r>
            <w:r>
              <w:rPr>
                <w:spacing w:val="5"/>
                <w:sz w:val="20"/>
                <w:szCs w:val="20"/>
              </w:rPr>
              <w:t>模增储。</w:t>
            </w:r>
          </w:p>
        </w:tc>
        <w:tc>
          <w:tcPr>
            <w:tcW w:w="1427" w:type="dxa"/>
            <w:vMerge w:val="continue"/>
            <w:tcBorders>
              <w:top w:val="nil"/>
              <w:bottom w:val="nil"/>
            </w:tcBorders>
            <w:vAlign w:val="top"/>
          </w:tcPr>
          <w:p w14:paraId="5FB2DC94">
            <w:pPr>
              <w:rPr>
                <w:rFonts w:ascii="Arial"/>
                <w:sz w:val="21"/>
              </w:rPr>
            </w:pPr>
          </w:p>
        </w:tc>
        <w:tc>
          <w:tcPr>
            <w:tcW w:w="530" w:type="dxa"/>
            <w:tcBorders>
              <w:right w:val="single" w:color="000000" w:sz="6" w:space="0"/>
            </w:tcBorders>
            <w:vAlign w:val="top"/>
          </w:tcPr>
          <w:p w14:paraId="3F7647F7">
            <w:pPr>
              <w:spacing w:line="308" w:lineRule="auto"/>
              <w:rPr>
                <w:rFonts w:ascii="Arial"/>
                <w:sz w:val="21"/>
              </w:rPr>
            </w:pPr>
          </w:p>
          <w:p w14:paraId="43E3A61B">
            <w:pPr>
              <w:spacing w:line="309" w:lineRule="auto"/>
              <w:rPr>
                <w:rFonts w:ascii="Arial"/>
                <w:sz w:val="21"/>
              </w:rPr>
            </w:pPr>
          </w:p>
          <w:p w14:paraId="7FF871E4">
            <w:pPr>
              <w:pStyle w:val="6"/>
              <w:spacing w:before="65" w:line="228" w:lineRule="auto"/>
              <w:ind w:left="59"/>
              <w:rPr>
                <w:sz w:val="20"/>
                <w:szCs w:val="20"/>
              </w:rPr>
            </w:pPr>
            <w:r>
              <w:rPr>
                <w:spacing w:val="3"/>
                <w:sz w:val="20"/>
                <w:szCs w:val="20"/>
              </w:rPr>
              <w:t>符合</w:t>
            </w:r>
          </w:p>
        </w:tc>
      </w:tr>
      <w:tr w14:paraId="447DF0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1" w:hRule="atLeast"/>
        </w:trPr>
        <w:tc>
          <w:tcPr>
            <w:tcW w:w="1456" w:type="dxa"/>
            <w:vMerge w:val="continue"/>
            <w:tcBorders>
              <w:top w:val="nil"/>
              <w:left w:val="single" w:color="000000" w:sz="6" w:space="0"/>
              <w:bottom w:val="single" w:color="000000" w:sz="6" w:space="0"/>
            </w:tcBorders>
            <w:vAlign w:val="top"/>
          </w:tcPr>
          <w:p w14:paraId="22C8EF59">
            <w:pPr>
              <w:rPr>
                <w:rFonts w:ascii="Arial"/>
                <w:sz w:val="21"/>
              </w:rPr>
            </w:pPr>
          </w:p>
        </w:tc>
        <w:tc>
          <w:tcPr>
            <w:tcW w:w="1399" w:type="dxa"/>
            <w:tcBorders>
              <w:bottom w:val="single" w:color="000000" w:sz="6" w:space="0"/>
            </w:tcBorders>
            <w:vAlign w:val="top"/>
          </w:tcPr>
          <w:p w14:paraId="230926F9">
            <w:pPr>
              <w:spacing w:line="259" w:lineRule="auto"/>
              <w:rPr>
                <w:rFonts w:ascii="Arial"/>
                <w:sz w:val="21"/>
              </w:rPr>
            </w:pPr>
          </w:p>
          <w:p w14:paraId="64CF22FC">
            <w:pPr>
              <w:spacing w:line="259" w:lineRule="auto"/>
              <w:rPr>
                <w:rFonts w:ascii="Arial"/>
                <w:sz w:val="21"/>
              </w:rPr>
            </w:pPr>
          </w:p>
          <w:p w14:paraId="7B87976C">
            <w:pPr>
              <w:pStyle w:val="6"/>
              <w:spacing w:before="65" w:line="227" w:lineRule="auto"/>
              <w:ind w:left="99"/>
              <w:rPr>
                <w:sz w:val="20"/>
                <w:szCs w:val="20"/>
              </w:rPr>
            </w:pPr>
            <w:r>
              <w:rPr>
                <w:spacing w:val="4"/>
                <w:sz w:val="20"/>
                <w:szCs w:val="20"/>
              </w:rPr>
              <w:t>巴彦淖尔市矿</w:t>
            </w:r>
          </w:p>
          <w:p w14:paraId="46F0EB32">
            <w:pPr>
              <w:pStyle w:val="6"/>
              <w:spacing w:before="24" w:line="228" w:lineRule="auto"/>
              <w:ind w:left="77"/>
              <w:rPr>
                <w:sz w:val="20"/>
                <w:szCs w:val="20"/>
              </w:rPr>
            </w:pPr>
            <w:r>
              <w:rPr>
                <w:spacing w:val="8"/>
                <w:sz w:val="20"/>
                <w:szCs w:val="20"/>
              </w:rPr>
              <w:t>产资源总体规</w:t>
            </w:r>
          </w:p>
          <w:p w14:paraId="653A577B">
            <w:pPr>
              <w:pStyle w:val="6"/>
              <w:spacing w:before="26" w:line="230" w:lineRule="auto"/>
              <w:ind w:left="599"/>
              <w:rPr>
                <w:sz w:val="20"/>
                <w:szCs w:val="20"/>
              </w:rPr>
            </w:pPr>
            <w:r>
              <w:rPr>
                <w:spacing w:val="1"/>
                <w:sz w:val="20"/>
                <w:szCs w:val="20"/>
              </w:rPr>
              <w:t>划</w:t>
            </w:r>
          </w:p>
        </w:tc>
        <w:tc>
          <w:tcPr>
            <w:tcW w:w="4118" w:type="dxa"/>
            <w:tcBorders>
              <w:bottom w:val="single" w:color="000000" w:sz="6" w:space="0"/>
            </w:tcBorders>
            <w:vAlign w:val="top"/>
          </w:tcPr>
          <w:p w14:paraId="079BACC5">
            <w:pPr>
              <w:pStyle w:val="6"/>
              <w:spacing w:before="44" w:line="251" w:lineRule="auto"/>
              <w:ind w:left="110" w:right="102" w:firstLine="421"/>
              <w:jc w:val="both"/>
              <w:rPr>
                <w:sz w:val="20"/>
                <w:szCs w:val="20"/>
              </w:rPr>
            </w:pPr>
            <w:r>
              <w:rPr>
                <w:b/>
                <w:bCs/>
                <w:spacing w:val="3"/>
                <w:sz w:val="20"/>
                <w:szCs w:val="20"/>
              </w:rPr>
              <w:t>重点勘查石油</w:t>
            </w:r>
            <w:r>
              <w:rPr>
                <w:spacing w:val="3"/>
                <w:sz w:val="20"/>
                <w:szCs w:val="20"/>
              </w:rPr>
              <w:t>、地热、铁、铜、镍、金</w:t>
            </w:r>
            <w:r>
              <w:rPr>
                <w:spacing w:val="5"/>
                <w:sz w:val="20"/>
                <w:szCs w:val="20"/>
              </w:rPr>
              <w:t>等矿产，兼顾铅、锌、饰面用花岗岩等，提高全市战略性矿产保障力度，保持铅、锌等</w:t>
            </w:r>
            <w:r>
              <w:rPr>
                <w:spacing w:val="7"/>
                <w:sz w:val="20"/>
                <w:szCs w:val="20"/>
              </w:rPr>
              <w:t>矿产资源优势。</w:t>
            </w:r>
          </w:p>
          <w:p w14:paraId="3355D706">
            <w:pPr>
              <w:pStyle w:val="6"/>
              <w:spacing w:line="252" w:lineRule="auto"/>
              <w:ind w:left="110" w:right="102" w:firstLine="421"/>
              <w:jc w:val="both"/>
              <w:rPr>
                <w:sz w:val="20"/>
                <w:szCs w:val="20"/>
              </w:rPr>
            </w:pPr>
            <w:r>
              <w:rPr>
                <w:spacing w:val="4"/>
                <w:sz w:val="20"/>
                <w:szCs w:val="20"/>
              </w:rPr>
              <w:t>重点开采铜、铅、锌多金属、金、铁及优质高效的非金属矿产，</w:t>
            </w:r>
            <w:r>
              <w:rPr>
                <w:b/>
                <w:bCs/>
                <w:spacing w:val="4"/>
                <w:sz w:val="20"/>
                <w:szCs w:val="20"/>
              </w:rPr>
              <w:t>加快推进石油、地</w:t>
            </w:r>
            <w:r>
              <w:rPr>
                <w:b/>
                <w:bCs/>
                <w:spacing w:val="6"/>
                <w:sz w:val="20"/>
                <w:szCs w:val="20"/>
              </w:rPr>
              <w:t>热资源的开采</w:t>
            </w:r>
            <w:r>
              <w:rPr>
                <w:spacing w:val="6"/>
                <w:sz w:val="20"/>
                <w:szCs w:val="20"/>
              </w:rPr>
              <w:t>。</w:t>
            </w:r>
          </w:p>
        </w:tc>
        <w:tc>
          <w:tcPr>
            <w:tcW w:w="1427" w:type="dxa"/>
            <w:vMerge w:val="continue"/>
            <w:tcBorders>
              <w:top w:val="nil"/>
              <w:bottom w:val="single" w:color="000000" w:sz="6" w:space="0"/>
            </w:tcBorders>
            <w:vAlign w:val="top"/>
          </w:tcPr>
          <w:p w14:paraId="4257FC17">
            <w:pPr>
              <w:rPr>
                <w:rFonts w:ascii="Arial"/>
                <w:sz w:val="21"/>
              </w:rPr>
            </w:pPr>
          </w:p>
        </w:tc>
        <w:tc>
          <w:tcPr>
            <w:tcW w:w="530" w:type="dxa"/>
            <w:tcBorders>
              <w:bottom w:val="single" w:color="000000" w:sz="6" w:space="0"/>
              <w:right w:val="single" w:color="000000" w:sz="6" w:space="0"/>
            </w:tcBorders>
            <w:vAlign w:val="top"/>
          </w:tcPr>
          <w:p w14:paraId="2E4FB93B">
            <w:pPr>
              <w:rPr>
                <w:rFonts w:ascii="Arial"/>
                <w:sz w:val="21"/>
              </w:rPr>
            </w:pPr>
          </w:p>
          <w:p w14:paraId="3DF4B964">
            <w:pPr>
              <w:rPr>
                <w:rFonts w:ascii="Arial"/>
                <w:sz w:val="21"/>
              </w:rPr>
            </w:pPr>
          </w:p>
          <w:p w14:paraId="60867A09">
            <w:pPr>
              <w:spacing w:line="241" w:lineRule="auto"/>
              <w:rPr>
                <w:rFonts w:ascii="Arial"/>
                <w:sz w:val="21"/>
              </w:rPr>
            </w:pPr>
          </w:p>
          <w:p w14:paraId="4B0DEAC8">
            <w:pPr>
              <w:pStyle w:val="6"/>
              <w:spacing w:before="65" w:line="228" w:lineRule="auto"/>
              <w:ind w:left="59"/>
              <w:rPr>
                <w:sz w:val="20"/>
                <w:szCs w:val="20"/>
              </w:rPr>
            </w:pPr>
            <w:r>
              <w:rPr>
                <w:spacing w:val="3"/>
                <w:sz w:val="20"/>
                <w:szCs w:val="20"/>
              </w:rPr>
              <w:t>符合</w:t>
            </w:r>
          </w:p>
        </w:tc>
      </w:tr>
    </w:tbl>
    <w:p w14:paraId="500582CB">
      <w:pPr>
        <w:rPr>
          <w:rFonts w:ascii="Arial"/>
          <w:sz w:val="21"/>
        </w:rPr>
      </w:pPr>
    </w:p>
    <w:p w14:paraId="46BFD10B">
      <w:pPr>
        <w:rPr>
          <w:rFonts w:ascii="Arial" w:hAnsi="Arial" w:eastAsia="Arial" w:cs="Arial"/>
          <w:sz w:val="21"/>
          <w:szCs w:val="21"/>
        </w:rPr>
        <w:sectPr>
          <w:footerReference r:id="rId9" w:type="default"/>
          <w:pgSz w:w="11906" w:h="16839"/>
          <w:pgMar w:top="400" w:right="1395" w:bottom="1240" w:left="1565" w:header="0" w:footer="1078" w:gutter="0"/>
          <w:cols w:space="720" w:num="1"/>
        </w:sectPr>
      </w:pPr>
    </w:p>
    <w:p w14:paraId="0A3217CE">
      <w:pPr>
        <w:spacing w:before="56"/>
      </w:pPr>
    </w:p>
    <w:p w14:paraId="3E69A466">
      <w:pPr>
        <w:spacing w:before="56"/>
      </w:pPr>
    </w:p>
    <w:p w14:paraId="46CC647D">
      <w:pPr>
        <w:spacing w:before="55"/>
      </w:pPr>
    </w:p>
    <w:p w14:paraId="41A5D050">
      <w:pPr>
        <w:spacing w:before="55"/>
      </w:pPr>
    </w:p>
    <w:tbl>
      <w:tblPr>
        <w:tblStyle w:val="5"/>
        <w:tblW w:w="8930"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56"/>
        <w:gridCol w:w="1031"/>
        <w:gridCol w:w="2826"/>
        <w:gridCol w:w="3085"/>
        <w:gridCol w:w="532"/>
      </w:tblGrid>
      <w:tr w14:paraId="04FB5B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9" w:hRule="atLeast"/>
        </w:trPr>
        <w:tc>
          <w:tcPr>
            <w:tcW w:w="1456" w:type="dxa"/>
            <w:vMerge w:val="restart"/>
            <w:tcBorders>
              <w:top w:val="single" w:color="000000" w:sz="6" w:space="0"/>
              <w:left w:val="single" w:color="000000" w:sz="6" w:space="0"/>
              <w:bottom w:val="nil"/>
              <w:right w:val="single" w:color="000000" w:sz="2" w:space="0"/>
            </w:tcBorders>
            <w:vAlign w:val="top"/>
          </w:tcPr>
          <w:p w14:paraId="42E3038F">
            <w:pPr>
              <w:rPr>
                <w:rFonts w:ascii="Arial"/>
                <w:sz w:val="21"/>
              </w:rPr>
            </w:pPr>
          </w:p>
        </w:tc>
        <w:tc>
          <w:tcPr>
            <w:tcW w:w="7474" w:type="dxa"/>
            <w:gridSpan w:val="4"/>
            <w:tcBorders>
              <w:top w:val="single" w:color="000000" w:sz="6" w:space="0"/>
              <w:left w:val="single" w:color="000000" w:sz="2" w:space="0"/>
              <w:bottom w:val="single" w:color="000000" w:sz="10" w:space="0"/>
              <w:right w:val="single" w:color="000000" w:sz="6" w:space="0"/>
            </w:tcBorders>
            <w:vAlign w:val="top"/>
          </w:tcPr>
          <w:p w14:paraId="3B1706BF">
            <w:pPr>
              <w:pStyle w:val="6"/>
              <w:spacing w:before="47" w:line="359" w:lineRule="auto"/>
              <w:ind w:left="23" w:right="9" w:firstLine="475"/>
            </w:pPr>
            <w:r>
              <w:rPr>
                <w:rFonts w:ascii="Times New Roman" w:hAnsi="Times New Roman" w:eastAsia="Times New Roman" w:cs="Times New Roman"/>
                <w:spacing w:val="-12"/>
              </w:rPr>
              <w:t>3</w:t>
            </w:r>
            <w:r>
              <w:rPr>
                <w:spacing w:val="-12"/>
              </w:rPr>
              <w:t>、与“关于进一步加强石油天然气行业环境影响评价管理的通知（环</w:t>
            </w:r>
            <w:r>
              <w:rPr>
                <w:spacing w:val="-3"/>
              </w:rPr>
              <w:t>办环评函〔</w:t>
            </w:r>
            <w:r>
              <w:rPr>
                <w:rFonts w:ascii="Times New Roman" w:hAnsi="Times New Roman" w:eastAsia="Times New Roman" w:cs="Times New Roman"/>
                <w:spacing w:val="-3"/>
              </w:rPr>
              <w:t>2019</w:t>
            </w:r>
            <w:r>
              <w:rPr>
                <w:spacing w:val="-3"/>
              </w:rPr>
              <w:t>〕</w:t>
            </w:r>
            <w:r>
              <w:rPr>
                <w:rFonts w:ascii="Times New Roman" w:hAnsi="Times New Roman" w:eastAsia="Times New Roman" w:cs="Times New Roman"/>
                <w:spacing w:val="-3"/>
              </w:rPr>
              <w:t>910</w:t>
            </w:r>
            <w:r>
              <w:rPr>
                <w:rFonts w:ascii="Times New Roman" w:hAnsi="Times New Roman" w:eastAsia="Times New Roman" w:cs="Times New Roman"/>
                <w:spacing w:val="24"/>
                <w:w w:val="101"/>
              </w:rPr>
              <w:t xml:space="preserve"> </w:t>
            </w:r>
            <w:r>
              <w:rPr>
                <w:spacing w:val="-3"/>
              </w:rPr>
              <w:t>号）</w:t>
            </w:r>
            <w:r>
              <w:rPr>
                <w:spacing w:val="-88"/>
              </w:rPr>
              <w:t xml:space="preserve"> </w:t>
            </w:r>
            <w:r>
              <w:rPr>
                <w:spacing w:val="-3"/>
              </w:rPr>
              <w:t>”符合性分析如下。</w:t>
            </w:r>
          </w:p>
          <w:p w14:paraId="3C523C7D">
            <w:pPr>
              <w:spacing w:line="214" w:lineRule="auto"/>
              <w:ind w:left="1244"/>
              <w:rPr>
                <w:rFonts w:ascii="黑体" w:hAnsi="黑体" w:eastAsia="黑体" w:cs="黑体"/>
                <w:sz w:val="24"/>
                <w:szCs w:val="24"/>
              </w:rPr>
            </w:pPr>
            <w:r>
              <w:rPr>
                <w:rFonts w:ascii="黑体" w:hAnsi="黑体" w:eastAsia="黑体" w:cs="黑体"/>
                <w:spacing w:val="-2"/>
                <w:sz w:val="24"/>
                <w:szCs w:val="24"/>
              </w:rPr>
              <w:t>表</w:t>
            </w:r>
            <w:r>
              <w:rPr>
                <w:rFonts w:ascii="黑体" w:hAnsi="黑体" w:eastAsia="黑体" w:cs="黑体"/>
                <w:spacing w:val="-19"/>
                <w:sz w:val="24"/>
                <w:szCs w:val="24"/>
              </w:rPr>
              <w:t xml:space="preserve"> </w:t>
            </w:r>
            <w:r>
              <w:rPr>
                <w:rFonts w:ascii="Times New Roman" w:hAnsi="Times New Roman" w:eastAsia="Times New Roman" w:cs="Times New Roman"/>
                <w:spacing w:val="-2"/>
                <w:sz w:val="24"/>
                <w:szCs w:val="24"/>
              </w:rPr>
              <w:t xml:space="preserve">1-3  </w:t>
            </w:r>
            <w:r>
              <w:rPr>
                <w:rFonts w:ascii="黑体" w:hAnsi="黑体" w:eastAsia="黑体" w:cs="黑体"/>
                <w:spacing w:val="-2"/>
                <w:sz w:val="24"/>
                <w:szCs w:val="24"/>
              </w:rPr>
              <w:t>与环办环评函〔</w:t>
            </w:r>
            <w:r>
              <w:rPr>
                <w:rFonts w:ascii="Times New Roman" w:hAnsi="Times New Roman" w:eastAsia="Times New Roman" w:cs="Times New Roman"/>
                <w:spacing w:val="-2"/>
                <w:sz w:val="24"/>
                <w:szCs w:val="24"/>
              </w:rPr>
              <w:t>2019</w:t>
            </w:r>
            <w:r>
              <w:rPr>
                <w:rFonts w:ascii="黑体" w:hAnsi="黑体" w:eastAsia="黑体" w:cs="黑体"/>
                <w:spacing w:val="-2"/>
                <w:sz w:val="24"/>
                <w:szCs w:val="24"/>
              </w:rPr>
              <w:t>〕</w:t>
            </w:r>
            <w:r>
              <w:rPr>
                <w:rFonts w:ascii="Times New Roman" w:hAnsi="Times New Roman" w:eastAsia="Times New Roman" w:cs="Times New Roman"/>
                <w:spacing w:val="-2"/>
                <w:sz w:val="24"/>
                <w:szCs w:val="24"/>
              </w:rPr>
              <w:t xml:space="preserve">910 </w:t>
            </w:r>
            <w:r>
              <w:rPr>
                <w:rFonts w:ascii="黑体" w:hAnsi="黑体" w:eastAsia="黑体" w:cs="黑体"/>
                <w:spacing w:val="-2"/>
                <w:sz w:val="24"/>
                <w:szCs w:val="24"/>
              </w:rPr>
              <w:t>号符合性分析</w:t>
            </w:r>
          </w:p>
        </w:tc>
      </w:tr>
      <w:tr w14:paraId="6BD5A4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456" w:type="dxa"/>
            <w:vMerge w:val="continue"/>
            <w:tcBorders>
              <w:top w:val="nil"/>
              <w:left w:val="single" w:color="000000" w:sz="6" w:space="0"/>
              <w:bottom w:val="nil"/>
              <w:right w:val="single" w:color="000000" w:sz="2" w:space="0"/>
            </w:tcBorders>
            <w:vAlign w:val="top"/>
          </w:tcPr>
          <w:p w14:paraId="1F8475EE">
            <w:pPr>
              <w:rPr>
                <w:rFonts w:ascii="Arial"/>
                <w:sz w:val="21"/>
              </w:rPr>
            </w:pPr>
          </w:p>
        </w:tc>
        <w:tc>
          <w:tcPr>
            <w:tcW w:w="1031" w:type="dxa"/>
            <w:tcBorders>
              <w:top w:val="single" w:color="000000" w:sz="10" w:space="0"/>
              <w:left w:val="single" w:color="000000" w:sz="2" w:space="0"/>
            </w:tcBorders>
            <w:vAlign w:val="top"/>
          </w:tcPr>
          <w:p w14:paraId="3E7491E8">
            <w:pPr>
              <w:pStyle w:val="6"/>
              <w:spacing w:before="156" w:line="228" w:lineRule="auto"/>
              <w:ind w:left="340"/>
              <w:rPr>
                <w:sz w:val="20"/>
                <w:szCs w:val="20"/>
              </w:rPr>
            </w:pPr>
            <w:r>
              <w:rPr>
                <w:spacing w:val="-8"/>
                <w:sz w:val="20"/>
                <w:szCs w:val="20"/>
              </w:rPr>
              <w:t>内容</w:t>
            </w:r>
          </w:p>
        </w:tc>
        <w:tc>
          <w:tcPr>
            <w:tcW w:w="2826" w:type="dxa"/>
            <w:tcBorders>
              <w:top w:val="single" w:color="000000" w:sz="10" w:space="0"/>
            </w:tcBorders>
            <w:vAlign w:val="top"/>
          </w:tcPr>
          <w:p w14:paraId="5933BA32">
            <w:pPr>
              <w:pStyle w:val="6"/>
              <w:spacing w:before="157" w:line="229" w:lineRule="auto"/>
              <w:ind w:left="995"/>
              <w:rPr>
                <w:sz w:val="20"/>
                <w:szCs w:val="20"/>
              </w:rPr>
            </w:pPr>
            <w:r>
              <w:rPr>
                <w:spacing w:val="7"/>
                <w:sz w:val="20"/>
                <w:szCs w:val="20"/>
              </w:rPr>
              <w:t>通知要求</w:t>
            </w:r>
          </w:p>
        </w:tc>
        <w:tc>
          <w:tcPr>
            <w:tcW w:w="3085" w:type="dxa"/>
            <w:tcBorders>
              <w:top w:val="single" w:color="000000" w:sz="10" w:space="0"/>
            </w:tcBorders>
            <w:vAlign w:val="top"/>
          </w:tcPr>
          <w:p w14:paraId="4331B58D">
            <w:pPr>
              <w:pStyle w:val="6"/>
              <w:spacing w:before="157" w:line="228" w:lineRule="auto"/>
              <w:ind w:left="1134"/>
              <w:rPr>
                <w:sz w:val="20"/>
                <w:szCs w:val="20"/>
              </w:rPr>
            </w:pPr>
            <w:r>
              <w:rPr>
                <w:spacing w:val="6"/>
                <w:sz w:val="20"/>
                <w:szCs w:val="20"/>
              </w:rPr>
              <w:t>项目情况</w:t>
            </w:r>
          </w:p>
        </w:tc>
        <w:tc>
          <w:tcPr>
            <w:tcW w:w="532" w:type="dxa"/>
            <w:tcBorders>
              <w:top w:val="single" w:color="000000" w:sz="10" w:space="0"/>
              <w:right w:val="single" w:color="000000" w:sz="6" w:space="0"/>
            </w:tcBorders>
            <w:vAlign w:val="top"/>
          </w:tcPr>
          <w:p w14:paraId="093DC48C">
            <w:pPr>
              <w:pStyle w:val="6"/>
              <w:spacing w:before="22" w:line="235" w:lineRule="auto"/>
              <w:ind w:left="162" w:right="52" w:hanging="104"/>
              <w:rPr>
                <w:sz w:val="20"/>
                <w:szCs w:val="20"/>
              </w:rPr>
            </w:pPr>
            <w:r>
              <w:rPr>
                <w:spacing w:val="3"/>
                <w:sz w:val="20"/>
                <w:szCs w:val="20"/>
              </w:rPr>
              <w:t>符合</w:t>
            </w:r>
            <w:r>
              <w:rPr>
                <w:sz w:val="20"/>
                <w:szCs w:val="20"/>
              </w:rPr>
              <w:t>性</w:t>
            </w:r>
          </w:p>
        </w:tc>
      </w:tr>
      <w:tr w14:paraId="31EA50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7" w:hRule="atLeast"/>
        </w:trPr>
        <w:tc>
          <w:tcPr>
            <w:tcW w:w="1456" w:type="dxa"/>
            <w:vMerge w:val="continue"/>
            <w:tcBorders>
              <w:top w:val="nil"/>
              <w:left w:val="single" w:color="000000" w:sz="6" w:space="0"/>
              <w:bottom w:val="nil"/>
              <w:right w:val="single" w:color="000000" w:sz="2" w:space="0"/>
            </w:tcBorders>
            <w:vAlign w:val="top"/>
          </w:tcPr>
          <w:p w14:paraId="2507A973">
            <w:pPr>
              <w:rPr>
                <w:rFonts w:ascii="Arial"/>
                <w:sz w:val="21"/>
              </w:rPr>
            </w:pPr>
          </w:p>
        </w:tc>
        <w:tc>
          <w:tcPr>
            <w:tcW w:w="1031" w:type="dxa"/>
            <w:tcBorders>
              <w:left w:val="single" w:color="000000" w:sz="2" w:space="0"/>
            </w:tcBorders>
            <w:vAlign w:val="top"/>
          </w:tcPr>
          <w:p w14:paraId="5885B521">
            <w:pPr>
              <w:spacing w:line="303" w:lineRule="auto"/>
              <w:rPr>
                <w:rFonts w:ascii="Arial"/>
                <w:sz w:val="21"/>
              </w:rPr>
            </w:pPr>
          </w:p>
          <w:p w14:paraId="54D752D5">
            <w:pPr>
              <w:spacing w:line="304" w:lineRule="auto"/>
              <w:rPr>
                <w:rFonts w:ascii="Arial"/>
                <w:sz w:val="21"/>
              </w:rPr>
            </w:pPr>
          </w:p>
          <w:p w14:paraId="5ED2CD1D">
            <w:pPr>
              <w:spacing w:line="304" w:lineRule="auto"/>
              <w:rPr>
                <w:rFonts w:ascii="Arial"/>
                <w:sz w:val="21"/>
              </w:rPr>
            </w:pPr>
          </w:p>
          <w:p w14:paraId="662619FB">
            <w:pPr>
              <w:pStyle w:val="6"/>
              <w:spacing w:before="65" w:line="252" w:lineRule="auto"/>
              <w:ind w:left="124" w:right="109" w:firstLine="4"/>
              <w:jc w:val="both"/>
              <w:rPr>
                <w:sz w:val="20"/>
                <w:szCs w:val="20"/>
              </w:rPr>
            </w:pPr>
            <w:r>
              <w:rPr>
                <w:spacing w:val="-4"/>
                <w:sz w:val="20"/>
                <w:szCs w:val="20"/>
              </w:rPr>
              <w:t>二、深化</w:t>
            </w:r>
            <w:r>
              <w:rPr>
                <w:spacing w:val="35"/>
                <w:sz w:val="20"/>
                <w:szCs w:val="20"/>
              </w:rPr>
              <w:t>项目环</w:t>
            </w:r>
            <w:r>
              <w:rPr>
                <w:spacing w:val="-3"/>
                <w:sz w:val="20"/>
                <w:szCs w:val="20"/>
              </w:rPr>
              <w:t>评“放管</w:t>
            </w:r>
            <w:r>
              <w:rPr>
                <w:spacing w:val="-11"/>
                <w:sz w:val="20"/>
                <w:szCs w:val="20"/>
              </w:rPr>
              <w:t>服</w:t>
            </w:r>
            <w:r>
              <w:rPr>
                <w:spacing w:val="-68"/>
                <w:sz w:val="20"/>
                <w:szCs w:val="20"/>
              </w:rPr>
              <w:t xml:space="preserve"> </w:t>
            </w:r>
            <w:r>
              <w:rPr>
                <w:spacing w:val="-11"/>
                <w:sz w:val="20"/>
                <w:szCs w:val="20"/>
              </w:rPr>
              <w:t>”改革</w:t>
            </w:r>
          </w:p>
        </w:tc>
        <w:tc>
          <w:tcPr>
            <w:tcW w:w="2826" w:type="dxa"/>
            <w:vAlign w:val="top"/>
          </w:tcPr>
          <w:p w14:paraId="7512BAE1">
            <w:pPr>
              <w:spacing w:line="320" w:lineRule="auto"/>
              <w:rPr>
                <w:rFonts w:ascii="Arial"/>
                <w:sz w:val="21"/>
              </w:rPr>
            </w:pPr>
          </w:p>
          <w:p w14:paraId="637A4A5F">
            <w:pPr>
              <w:spacing w:line="321" w:lineRule="auto"/>
              <w:rPr>
                <w:rFonts w:ascii="Arial"/>
                <w:sz w:val="21"/>
              </w:rPr>
            </w:pPr>
          </w:p>
          <w:p w14:paraId="0295DA29">
            <w:pPr>
              <w:pStyle w:val="6"/>
              <w:spacing w:before="65" w:line="252" w:lineRule="auto"/>
              <w:ind w:left="107" w:right="48" w:firstLine="3"/>
              <w:jc w:val="both"/>
              <w:rPr>
                <w:sz w:val="20"/>
                <w:szCs w:val="20"/>
              </w:rPr>
            </w:pPr>
            <w:r>
              <w:rPr>
                <w:spacing w:val="16"/>
                <w:sz w:val="20"/>
                <w:szCs w:val="20"/>
              </w:rPr>
              <w:t>未确定产能建设规模的陆地</w:t>
            </w:r>
            <w:r>
              <w:rPr>
                <w:spacing w:val="17"/>
                <w:sz w:val="20"/>
                <w:szCs w:val="20"/>
              </w:rPr>
              <w:t>油气开采新区块，建设勘探井应当依法编制环境影响报</w:t>
            </w:r>
            <w:r>
              <w:rPr>
                <w:spacing w:val="4"/>
                <w:sz w:val="20"/>
                <w:szCs w:val="20"/>
              </w:rPr>
              <w:t>告表。确定产能建设规模后，</w:t>
            </w:r>
            <w:r>
              <w:rPr>
                <w:spacing w:val="17"/>
                <w:sz w:val="20"/>
                <w:szCs w:val="20"/>
              </w:rPr>
              <w:t>原则上不得以勘探名义继续</w:t>
            </w:r>
            <w:r>
              <w:rPr>
                <w:spacing w:val="7"/>
                <w:sz w:val="20"/>
                <w:szCs w:val="20"/>
              </w:rPr>
              <w:t>开展单井环评。</w:t>
            </w:r>
          </w:p>
        </w:tc>
        <w:tc>
          <w:tcPr>
            <w:tcW w:w="3085" w:type="dxa"/>
            <w:vAlign w:val="top"/>
          </w:tcPr>
          <w:p w14:paraId="45BAA779">
            <w:pPr>
              <w:pStyle w:val="6"/>
              <w:spacing w:before="31" w:line="251" w:lineRule="auto"/>
              <w:ind w:left="112" w:right="96" w:firstLine="424"/>
              <w:jc w:val="both"/>
              <w:rPr>
                <w:sz w:val="20"/>
                <w:szCs w:val="20"/>
              </w:rPr>
            </w:pPr>
            <w:r>
              <w:rPr>
                <w:spacing w:val="21"/>
                <w:sz w:val="20"/>
                <w:szCs w:val="20"/>
              </w:rPr>
              <w:t>项目位于内蒙古河套盆地</w:t>
            </w:r>
            <w:r>
              <w:rPr>
                <w:spacing w:val="4"/>
                <w:sz w:val="20"/>
                <w:szCs w:val="20"/>
              </w:rPr>
              <w:t>吉锦油气勘查探矿权范围内，目</w:t>
            </w:r>
            <w:r>
              <w:rPr>
                <w:spacing w:val="20"/>
                <w:sz w:val="20"/>
                <w:szCs w:val="20"/>
              </w:rPr>
              <w:t>前属于未确定产能建设规模的</w:t>
            </w:r>
            <w:r>
              <w:rPr>
                <w:spacing w:val="4"/>
                <w:sz w:val="20"/>
                <w:szCs w:val="20"/>
              </w:rPr>
              <w:t>陆地油气开采新区块，不在采矿</w:t>
            </w:r>
            <w:r>
              <w:rPr>
                <w:spacing w:val="7"/>
                <w:sz w:val="20"/>
                <w:szCs w:val="20"/>
              </w:rPr>
              <w:t>权的开发范围内。</w:t>
            </w:r>
          </w:p>
          <w:p w14:paraId="72D78FF9">
            <w:pPr>
              <w:pStyle w:val="6"/>
              <w:spacing w:before="3" w:line="245" w:lineRule="auto"/>
              <w:ind w:left="114" w:right="42" w:firstLine="419"/>
              <w:jc w:val="both"/>
              <w:rPr>
                <w:sz w:val="20"/>
                <w:szCs w:val="20"/>
              </w:rPr>
            </w:pPr>
            <w:r>
              <w:rPr>
                <w:spacing w:val="3"/>
                <w:sz w:val="20"/>
                <w:szCs w:val="20"/>
              </w:rPr>
              <w:t>根据《建设项目环境影响评</w:t>
            </w:r>
            <w:r>
              <w:rPr>
                <w:sz w:val="20"/>
                <w:szCs w:val="20"/>
              </w:rPr>
              <w:t>价分类管理目录》（</w:t>
            </w:r>
            <w:r>
              <w:rPr>
                <w:rFonts w:ascii="Times New Roman" w:hAnsi="Times New Roman" w:eastAsia="Times New Roman" w:cs="Times New Roman"/>
                <w:sz w:val="20"/>
                <w:szCs w:val="20"/>
              </w:rPr>
              <w:t xml:space="preserve">2021 </w:t>
            </w:r>
            <w:r>
              <w:rPr>
                <w:sz w:val="20"/>
                <w:szCs w:val="20"/>
              </w:rPr>
              <w:t>年版</w:t>
            </w:r>
            <w:r>
              <w:rPr>
                <w:spacing w:val="-48"/>
                <w:w w:val="90"/>
                <w:sz w:val="20"/>
                <w:szCs w:val="20"/>
              </w:rPr>
              <w:t>），</w:t>
            </w:r>
            <w:r>
              <w:rPr>
                <w:spacing w:val="9"/>
                <w:sz w:val="20"/>
                <w:szCs w:val="20"/>
              </w:rPr>
              <w:t>项目属于“</w:t>
            </w:r>
            <w:r>
              <w:rPr>
                <w:spacing w:val="-64"/>
                <w:sz w:val="20"/>
                <w:szCs w:val="20"/>
              </w:rPr>
              <w:t xml:space="preserve"> </w:t>
            </w:r>
            <w:r>
              <w:rPr>
                <w:spacing w:val="9"/>
                <w:sz w:val="20"/>
                <w:szCs w:val="20"/>
              </w:rPr>
              <w:t>四十六 专业技术服</w:t>
            </w:r>
            <w:r>
              <w:rPr>
                <w:spacing w:val="6"/>
                <w:sz w:val="20"/>
                <w:szCs w:val="20"/>
              </w:rPr>
              <w:t xml:space="preserve">务业 </w:t>
            </w:r>
            <w:r>
              <w:rPr>
                <w:rFonts w:ascii="Times New Roman" w:hAnsi="Times New Roman" w:eastAsia="Times New Roman" w:cs="Times New Roman"/>
                <w:spacing w:val="6"/>
                <w:sz w:val="20"/>
                <w:szCs w:val="20"/>
              </w:rPr>
              <w:t xml:space="preserve">99 </w:t>
            </w:r>
            <w:r>
              <w:rPr>
                <w:spacing w:val="6"/>
                <w:sz w:val="20"/>
                <w:szCs w:val="20"/>
              </w:rPr>
              <w:t>陆地矿产资源地质勘查</w:t>
            </w:r>
            <w:r>
              <w:rPr>
                <w:spacing w:val="4"/>
                <w:sz w:val="20"/>
                <w:szCs w:val="20"/>
              </w:rPr>
              <w:t>（含油气资源勘探）”全部，编</w:t>
            </w:r>
            <w:r>
              <w:rPr>
                <w:spacing w:val="8"/>
                <w:sz w:val="20"/>
                <w:szCs w:val="20"/>
              </w:rPr>
              <w:t>制了环境影响评价报告表。</w:t>
            </w:r>
          </w:p>
        </w:tc>
        <w:tc>
          <w:tcPr>
            <w:tcW w:w="532" w:type="dxa"/>
            <w:tcBorders>
              <w:right w:val="single" w:color="000000" w:sz="6" w:space="0"/>
            </w:tcBorders>
            <w:vAlign w:val="top"/>
          </w:tcPr>
          <w:p w14:paraId="21982AFA">
            <w:pPr>
              <w:spacing w:line="263" w:lineRule="auto"/>
              <w:rPr>
                <w:rFonts w:ascii="Arial"/>
                <w:sz w:val="21"/>
              </w:rPr>
            </w:pPr>
          </w:p>
          <w:p w14:paraId="3A093A39">
            <w:pPr>
              <w:spacing w:line="263" w:lineRule="auto"/>
              <w:rPr>
                <w:rFonts w:ascii="Arial"/>
                <w:sz w:val="21"/>
              </w:rPr>
            </w:pPr>
          </w:p>
          <w:p w14:paraId="1ECC55F1">
            <w:pPr>
              <w:spacing w:line="263" w:lineRule="auto"/>
              <w:rPr>
                <w:rFonts w:ascii="Arial"/>
                <w:sz w:val="21"/>
              </w:rPr>
            </w:pPr>
          </w:p>
          <w:p w14:paraId="26A14345">
            <w:pPr>
              <w:spacing w:line="264" w:lineRule="auto"/>
              <w:rPr>
                <w:rFonts w:ascii="Arial"/>
                <w:sz w:val="21"/>
              </w:rPr>
            </w:pPr>
          </w:p>
          <w:p w14:paraId="37F26BB7">
            <w:pPr>
              <w:spacing w:line="264" w:lineRule="auto"/>
              <w:rPr>
                <w:rFonts w:ascii="Arial"/>
                <w:sz w:val="21"/>
              </w:rPr>
            </w:pPr>
          </w:p>
          <w:p w14:paraId="1D2203E6">
            <w:pPr>
              <w:pStyle w:val="6"/>
              <w:spacing w:before="65" w:line="228" w:lineRule="auto"/>
              <w:ind w:left="58"/>
              <w:rPr>
                <w:sz w:val="20"/>
                <w:szCs w:val="20"/>
              </w:rPr>
            </w:pPr>
            <w:r>
              <w:rPr>
                <w:spacing w:val="3"/>
                <w:sz w:val="20"/>
                <w:szCs w:val="20"/>
              </w:rPr>
              <w:t>符合</w:t>
            </w:r>
          </w:p>
        </w:tc>
      </w:tr>
      <w:tr w14:paraId="440741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0" w:hRule="atLeast"/>
        </w:trPr>
        <w:tc>
          <w:tcPr>
            <w:tcW w:w="1456" w:type="dxa"/>
            <w:vMerge w:val="continue"/>
            <w:tcBorders>
              <w:top w:val="nil"/>
              <w:left w:val="single" w:color="000000" w:sz="6" w:space="0"/>
              <w:bottom w:val="nil"/>
              <w:right w:val="single" w:color="000000" w:sz="2" w:space="0"/>
            </w:tcBorders>
            <w:vAlign w:val="top"/>
          </w:tcPr>
          <w:p w14:paraId="1503E3D8">
            <w:pPr>
              <w:rPr>
                <w:rFonts w:ascii="Arial"/>
                <w:sz w:val="21"/>
              </w:rPr>
            </w:pPr>
          </w:p>
        </w:tc>
        <w:tc>
          <w:tcPr>
            <w:tcW w:w="1031" w:type="dxa"/>
            <w:vMerge w:val="restart"/>
            <w:tcBorders>
              <w:left w:val="single" w:color="000000" w:sz="2" w:space="0"/>
              <w:bottom w:val="nil"/>
            </w:tcBorders>
            <w:vAlign w:val="top"/>
          </w:tcPr>
          <w:p w14:paraId="79F23D1E">
            <w:pPr>
              <w:spacing w:line="258" w:lineRule="auto"/>
              <w:rPr>
                <w:rFonts w:ascii="Arial"/>
                <w:sz w:val="21"/>
              </w:rPr>
            </w:pPr>
          </w:p>
          <w:p w14:paraId="462D7C0E">
            <w:pPr>
              <w:spacing w:line="258" w:lineRule="auto"/>
              <w:rPr>
                <w:rFonts w:ascii="Arial"/>
                <w:sz w:val="21"/>
              </w:rPr>
            </w:pPr>
          </w:p>
          <w:p w14:paraId="34961F40">
            <w:pPr>
              <w:spacing w:line="258" w:lineRule="auto"/>
              <w:rPr>
                <w:rFonts w:ascii="Arial"/>
                <w:sz w:val="21"/>
              </w:rPr>
            </w:pPr>
          </w:p>
          <w:p w14:paraId="52CF263B">
            <w:pPr>
              <w:spacing w:line="258" w:lineRule="auto"/>
              <w:rPr>
                <w:rFonts w:ascii="Arial"/>
                <w:sz w:val="21"/>
              </w:rPr>
            </w:pPr>
          </w:p>
          <w:p w14:paraId="04220686">
            <w:pPr>
              <w:spacing w:line="258" w:lineRule="auto"/>
              <w:rPr>
                <w:rFonts w:ascii="Arial"/>
                <w:sz w:val="21"/>
              </w:rPr>
            </w:pPr>
          </w:p>
          <w:p w14:paraId="59FDF5B0">
            <w:pPr>
              <w:spacing w:line="258" w:lineRule="auto"/>
              <w:rPr>
                <w:rFonts w:ascii="Arial"/>
                <w:sz w:val="21"/>
              </w:rPr>
            </w:pPr>
          </w:p>
          <w:p w14:paraId="78EA65CA">
            <w:pPr>
              <w:spacing w:line="258" w:lineRule="auto"/>
              <w:rPr>
                <w:rFonts w:ascii="Arial"/>
                <w:sz w:val="21"/>
              </w:rPr>
            </w:pPr>
          </w:p>
          <w:p w14:paraId="03AD68DB">
            <w:pPr>
              <w:spacing w:line="258" w:lineRule="auto"/>
              <w:rPr>
                <w:rFonts w:ascii="Arial"/>
                <w:sz w:val="21"/>
              </w:rPr>
            </w:pPr>
          </w:p>
          <w:p w14:paraId="04F6A5C8">
            <w:pPr>
              <w:spacing w:line="259" w:lineRule="auto"/>
              <w:rPr>
                <w:rFonts w:ascii="Arial"/>
                <w:sz w:val="21"/>
              </w:rPr>
            </w:pPr>
          </w:p>
          <w:p w14:paraId="571B96FC">
            <w:pPr>
              <w:spacing w:line="259" w:lineRule="auto"/>
              <w:rPr>
                <w:rFonts w:ascii="Arial"/>
                <w:sz w:val="21"/>
              </w:rPr>
            </w:pPr>
          </w:p>
          <w:p w14:paraId="792151AD">
            <w:pPr>
              <w:spacing w:line="259" w:lineRule="auto"/>
              <w:rPr>
                <w:rFonts w:ascii="Arial"/>
                <w:sz w:val="21"/>
              </w:rPr>
            </w:pPr>
          </w:p>
          <w:p w14:paraId="38E2422C">
            <w:pPr>
              <w:spacing w:line="259" w:lineRule="auto"/>
              <w:rPr>
                <w:rFonts w:ascii="Arial"/>
                <w:sz w:val="21"/>
              </w:rPr>
            </w:pPr>
          </w:p>
          <w:p w14:paraId="6428D9C8">
            <w:pPr>
              <w:spacing w:line="259" w:lineRule="auto"/>
              <w:rPr>
                <w:rFonts w:ascii="Arial"/>
                <w:sz w:val="21"/>
              </w:rPr>
            </w:pPr>
          </w:p>
          <w:p w14:paraId="2D0D8F5F">
            <w:pPr>
              <w:pStyle w:val="6"/>
              <w:spacing w:before="65" w:line="229" w:lineRule="auto"/>
              <w:ind w:left="125"/>
              <w:rPr>
                <w:sz w:val="20"/>
                <w:szCs w:val="20"/>
              </w:rPr>
            </w:pPr>
            <w:r>
              <w:rPr>
                <w:spacing w:val="-3"/>
                <w:sz w:val="20"/>
                <w:szCs w:val="20"/>
              </w:rPr>
              <w:t>三、强化</w:t>
            </w:r>
          </w:p>
          <w:p w14:paraId="2C078426">
            <w:pPr>
              <w:pStyle w:val="6"/>
              <w:spacing w:before="22" w:line="230" w:lineRule="auto"/>
              <w:ind w:left="211"/>
              <w:rPr>
                <w:sz w:val="20"/>
                <w:szCs w:val="20"/>
              </w:rPr>
            </w:pPr>
            <w:r>
              <w:rPr>
                <w:spacing w:val="6"/>
                <w:sz w:val="20"/>
                <w:szCs w:val="20"/>
              </w:rPr>
              <w:t>生态环</w:t>
            </w:r>
          </w:p>
          <w:p w14:paraId="6B97402F">
            <w:pPr>
              <w:pStyle w:val="6"/>
              <w:spacing w:before="25" w:line="228" w:lineRule="auto"/>
              <w:ind w:left="210"/>
              <w:rPr>
                <w:sz w:val="20"/>
                <w:szCs w:val="20"/>
              </w:rPr>
            </w:pPr>
            <w:r>
              <w:rPr>
                <w:spacing w:val="6"/>
                <w:sz w:val="20"/>
                <w:szCs w:val="20"/>
              </w:rPr>
              <w:t>境保护</w:t>
            </w:r>
          </w:p>
          <w:p w14:paraId="7ABEED88">
            <w:pPr>
              <w:pStyle w:val="6"/>
              <w:spacing w:before="24" w:line="228" w:lineRule="auto"/>
              <w:ind w:left="315"/>
              <w:rPr>
                <w:sz w:val="20"/>
                <w:szCs w:val="20"/>
              </w:rPr>
            </w:pPr>
            <w:r>
              <w:rPr>
                <w:spacing w:val="4"/>
                <w:sz w:val="20"/>
                <w:szCs w:val="20"/>
              </w:rPr>
              <w:t>措施</w:t>
            </w:r>
          </w:p>
        </w:tc>
        <w:tc>
          <w:tcPr>
            <w:tcW w:w="2826" w:type="dxa"/>
            <w:vAlign w:val="top"/>
          </w:tcPr>
          <w:p w14:paraId="250ABCAE">
            <w:pPr>
              <w:spacing w:line="258" w:lineRule="auto"/>
              <w:rPr>
                <w:rFonts w:ascii="Arial"/>
                <w:sz w:val="21"/>
              </w:rPr>
            </w:pPr>
          </w:p>
          <w:p w14:paraId="3BB7FFE1">
            <w:pPr>
              <w:spacing w:line="258" w:lineRule="auto"/>
              <w:rPr>
                <w:rFonts w:ascii="Arial"/>
                <w:sz w:val="21"/>
              </w:rPr>
            </w:pPr>
          </w:p>
          <w:p w14:paraId="57418189">
            <w:pPr>
              <w:spacing w:line="259" w:lineRule="auto"/>
              <w:rPr>
                <w:rFonts w:ascii="Arial"/>
                <w:sz w:val="21"/>
              </w:rPr>
            </w:pPr>
          </w:p>
          <w:p w14:paraId="097F13E2">
            <w:pPr>
              <w:pStyle w:val="6"/>
              <w:spacing w:before="65" w:line="252" w:lineRule="auto"/>
              <w:ind w:left="106" w:right="32"/>
              <w:jc w:val="both"/>
              <w:rPr>
                <w:sz w:val="20"/>
                <w:szCs w:val="20"/>
              </w:rPr>
            </w:pPr>
            <w:r>
              <w:rPr>
                <w:spacing w:val="17"/>
                <w:sz w:val="20"/>
                <w:szCs w:val="20"/>
              </w:rPr>
              <w:t>施工期应当尽量减少施工占地、缩短施工时间、选择合理施工方式、落实环境敏感区管控要求以及其他生态环</w:t>
            </w:r>
            <w:r>
              <w:rPr>
                <w:spacing w:val="13"/>
                <w:sz w:val="20"/>
                <w:szCs w:val="20"/>
              </w:rPr>
              <w:t>境保护措施，</w:t>
            </w:r>
            <w:r>
              <w:rPr>
                <w:spacing w:val="-51"/>
                <w:sz w:val="20"/>
                <w:szCs w:val="20"/>
              </w:rPr>
              <w:t xml:space="preserve"> </w:t>
            </w:r>
            <w:r>
              <w:rPr>
                <w:spacing w:val="13"/>
                <w:sz w:val="20"/>
                <w:szCs w:val="20"/>
              </w:rPr>
              <w:t>降低生态环境</w:t>
            </w:r>
            <w:r>
              <w:rPr>
                <w:spacing w:val="17"/>
                <w:sz w:val="20"/>
                <w:szCs w:val="20"/>
              </w:rPr>
              <w:t>影响。钻井和压裂设备应当优先使用网电、高标准清洁燃油，减少废气排放。选用</w:t>
            </w:r>
            <w:r>
              <w:rPr>
                <w:spacing w:val="5"/>
                <w:sz w:val="20"/>
                <w:szCs w:val="20"/>
              </w:rPr>
              <w:t>低噪声设备，避免噪声扰民。</w:t>
            </w:r>
            <w:r>
              <w:rPr>
                <w:spacing w:val="17"/>
                <w:sz w:val="20"/>
                <w:szCs w:val="20"/>
              </w:rPr>
              <w:t>施工结束后，应当及时落实</w:t>
            </w:r>
            <w:r>
              <w:rPr>
                <w:spacing w:val="8"/>
                <w:sz w:val="20"/>
                <w:szCs w:val="20"/>
              </w:rPr>
              <w:t>环评提出的生态保护措施。</w:t>
            </w:r>
          </w:p>
        </w:tc>
        <w:tc>
          <w:tcPr>
            <w:tcW w:w="3085" w:type="dxa"/>
            <w:vAlign w:val="top"/>
          </w:tcPr>
          <w:p w14:paraId="23A6BA0A">
            <w:pPr>
              <w:pStyle w:val="6"/>
              <w:spacing w:before="36" w:line="251" w:lineRule="auto"/>
              <w:ind w:left="112" w:right="83" w:firstLine="420"/>
              <w:jc w:val="both"/>
              <w:rPr>
                <w:sz w:val="20"/>
                <w:szCs w:val="20"/>
              </w:rPr>
            </w:pPr>
            <w:r>
              <w:rPr>
                <w:spacing w:val="4"/>
                <w:sz w:val="20"/>
                <w:szCs w:val="20"/>
              </w:rPr>
              <w:t>施工期设备合理紧凑布置，</w:t>
            </w:r>
            <w:r>
              <w:rPr>
                <w:spacing w:val="9"/>
                <w:sz w:val="20"/>
                <w:szCs w:val="20"/>
              </w:rPr>
              <w:t>减少占地面积；采取</w:t>
            </w:r>
            <w:r>
              <w:rPr>
                <w:spacing w:val="-32"/>
                <w:sz w:val="20"/>
                <w:szCs w:val="20"/>
              </w:rPr>
              <w:t xml:space="preserve"> </w:t>
            </w:r>
            <w:r>
              <w:rPr>
                <w:rFonts w:ascii="Times New Roman" w:hAnsi="Times New Roman" w:eastAsia="Times New Roman" w:cs="Times New Roman"/>
                <w:spacing w:val="9"/>
                <w:sz w:val="20"/>
                <w:szCs w:val="20"/>
              </w:rPr>
              <w:t>24</w:t>
            </w:r>
            <w:r>
              <w:rPr>
                <w:rFonts w:ascii="Times New Roman" w:hAnsi="Times New Roman" w:eastAsia="Times New Roman" w:cs="Times New Roman"/>
                <w:spacing w:val="20"/>
                <w:w w:val="101"/>
                <w:sz w:val="20"/>
                <w:szCs w:val="20"/>
              </w:rPr>
              <w:t xml:space="preserve"> </w:t>
            </w:r>
            <w:r>
              <w:rPr>
                <w:spacing w:val="9"/>
                <w:sz w:val="20"/>
                <w:szCs w:val="20"/>
              </w:rPr>
              <w:t>小时连</w:t>
            </w:r>
            <w:r>
              <w:rPr>
                <w:spacing w:val="4"/>
                <w:sz w:val="20"/>
                <w:szCs w:val="20"/>
              </w:rPr>
              <w:t>续作业方式缩短施工时间；施工</w:t>
            </w:r>
            <w:r>
              <w:rPr>
                <w:spacing w:val="20"/>
                <w:sz w:val="20"/>
                <w:szCs w:val="20"/>
              </w:rPr>
              <w:t>过程中采用泥浆不落地循环系</w:t>
            </w:r>
            <w:r>
              <w:rPr>
                <w:spacing w:val="4"/>
                <w:sz w:val="20"/>
                <w:szCs w:val="20"/>
              </w:rPr>
              <w:t>统装置，钻井泥浆循环使用，固废合理处置；柴油发电机组使用</w:t>
            </w:r>
            <w:r>
              <w:rPr>
                <w:spacing w:val="20"/>
                <w:sz w:val="20"/>
                <w:szCs w:val="20"/>
              </w:rPr>
              <w:t>高标准清洁燃油，减少废气排</w:t>
            </w:r>
            <w:r>
              <w:rPr>
                <w:sz w:val="20"/>
                <w:szCs w:val="20"/>
              </w:rPr>
              <w:t>放。</w:t>
            </w:r>
          </w:p>
          <w:p w14:paraId="494E7763">
            <w:pPr>
              <w:pStyle w:val="6"/>
              <w:spacing w:before="3" w:line="251" w:lineRule="auto"/>
              <w:ind w:left="113" w:right="83" w:firstLine="423"/>
              <w:jc w:val="both"/>
              <w:rPr>
                <w:sz w:val="20"/>
                <w:szCs w:val="20"/>
              </w:rPr>
            </w:pPr>
            <w:r>
              <w:rPr>
                <w:spacing w:val="3"/>
                <w:sz w:val="20"/>
                <w:szCs w:val="20"/>
              </w:rPr>
              <w:t>设备均选用低噪设备，将噪</w:t>
            </w:r>
            <w:r>
              <w:rPr>
                <w:spacing w:val="20"/>
                <w:sz w:val="20"/>
                <w:szCs w:val="20"/>
              </w:rPr>
              <w:t>声值较高的设备布置在离居民</w:t>
            </w:r>
            <w:r>
              <w:rPr>
                <w:spacing w:val="5"/>
                <w:sz w:val="20"/>
                <w:szCs w:val="20"/>
              </w:rPr>
              <w:t>点较远的位置，设置减振基础，</w:t>
            </w:r>
            <w:r>
              <w:rPr>
                <w:spacing w:val="4"/>
                <w:sz w:val="20"/>
                <w:szCs w:val="20"/>
              </w:rPr>
              <w:t>并加强日常维修保养，避免噪声</w:t>
            </w:r>
            <w:r>
              <w:rPr>
                <w:spacing w:val="3"/>
                <w:sz w:val="20"/>
                <w:szCs w:val="20"/>
              </w:rPr>
              <w:t>扰民。</w:t>
            </w:r>
          </w:p>
          <w:p w14:paraId="3CDA9DF2">
            <w:pPr>
              <w:pStyle w:val="6"/>
              <w:spacing w:line="241" w:lineRule="auto"/>
              <w:ind w:left="112" w:right="96" w:firstLine="424"/>
              <w:jc w:val="both"/>
              <w:rPr>
                <w:sz w:val="20"/>
                <w:szCs w:val="20"/>
              </w:rPr>
            </w:pPr>
            <w:r>
              <w:rPr>
                <w:spacing w:val="10"/>
                <w:sz w:val="20"/>
                <w:szCs w:val="20"/>
              </w:rPr>
              <w:t>项</w:t>
            </w:r>
            <w:r>
              <w:rPr>
                <w:spacing w:val="-29"/>
                <w:sz w:val="20"/>
                <w:szCs w:val="20"/>
              </w:rPr>
              <w:t xml:space="preserve"> </w:t>
            </w:r>
            <w:r>
              <w:rPr>
                <w:spacing w:val="10"/>
                <w:sz w:val="20"/>
                <w:szCs w:val="20"/>
              </w:rPr>
              <w:t>目</w:t>
            </w:r>
            <w:r>
              <w:rPr>
                <w:spacing w:val="-41"/>
                <w:sz w:val="20"/>
                <w:szCs w:val="20"/>
              </w:rPr>
              <w:t xml:space="preserve"> </w:t>
            </w:r>
            <w:r>
              <w:rPr>
                <w:spacing w:val="10"/>
                <w:sz w:val="20"/>
                <w:szCs w:val="20"/>
              </w:rPr>
              <w:t>占地前对耕作层进行</w:t>
            </w:r>
            <w:r>
              <w:rPr>
                <w:spacing w:val="4"/>
                <w:sz w:val="20"/>
                <w:szCs w:val="20"/>
              </w:rPr>
              <w:t>表土剥离并堆存，后期进行地表清理，表土回覆、翻耕等措施对</w:t>
            </w:r>
            <w:r>
              <w:rPr>
                <w:spacing w:val="7"/>
                <w:sz w:val="20"/>
                <w:szCs w:val="20"/>
              </w:rPr>
              <w:t>农田及时复垦。</w:t>
            </w:r>
          </w:p>
        </w:tc>
        <w:tc>
          <w:tcPr>
            <w:tcW w:w="532" w:type="dxa"/>
            <w:tcBorders>
              <w:right w:val="single" w:color="000000" w:sz="6" w:space="0"/>
            </w:tcBorders>
            <w:vAlign w:val="top"/>
          </w:tcPr>
          <w:p w14:paraId="44EE6D79">
            <w:pPr>
              <w:spacing w:line="266" w:lineRule="auto"/>
              <w:rPr>
                <w:rFonts w:ascii="Arial"/>
                <w:sz w:val="21"/>
              </w:rPr>
            </w:pPr>
          </w:p>
          <w:p w14:paraId="171EABEF">
            <w:pPr>
              <w:spacing w:line="266" w:lineRule="auto"/>
              <w:rPr>
                <w:rFonts w:ascii="Arial"/>
                <w:sz w:val="21"/>
              </w:rPr>
            </w:pPr>
          </w:p>
          <w:p w14:paraId="6B1A9410">
            <w:pPr>
              <w:spacing w:line="266" w:lineRule="auto"/>
              <w:rPr>
                <w:rFonts w:ascii="Arial"/>
                <w:sz w:val="21"/>
              </w:rPr>
            </w:pPr>
          </w:p>
          <w:p w14:paraId="06DF73BB">
            <w:pPr>
              <w:spacing w:line="267" w:lineRule="auto"/>
              <w:rPr>
                <w:rFonts w:ascii="Arial"/>
                <w:sz w:val="21"/>
              </w:rPr>
            </w:pPr>
          </w:p>
          <w:p w14:paraId="599C21C3">
            <w:pPr>
              <w:spacing w:line="267" w:lineRule="auto"/>
              <w:rPr>
                <w:rFonts w:ascii="Arial"/>
                <w:sz w:val="21"/>
              </w:rPr>
            </w:pPr>
          </w:p>
          <w:p w14:paraId="2FB2F20A">
            <w:pPr>
              <w:spacing w:line="267" w:lineRule="auto"/>
              <w:rPr>
                <w:rFonts w:ascii="Arial"/>
                <w:sz w:val="21"/>
              </w:rPr>
            </w:pPr>
          </w:p>
          <w:p w14:paraId="2806DA10">
            <w:pPr>
              <w:spacing w:line="267" w:lineRule="auto"/>
              <w:rPr>
                <w:rFonts w:ascii="Arial"/>
                <w:sz w:val="21"/>
              </w:rPr>
            </w:pPr>
          </w:p>
          <w:p w14:paraId="655D9945">
            <w:pPr>
              <w:spacing w:line="267" w:lineRule="auto"/>
              <w:rPr>
                <w:rFonts w:ascii="Arial"/>
                <w:sz w:val="21"/>
              </w:rPr>
            </w:pPr>
          </w:p>
          <w:p w14:paraId="2D927878">
            <w:pPr>
              <w:pStyle w:val="6"/>
              <w:spacing w:before="65" w:line="228" w:lineRule="auto"/>
              <w:ind w:left="58"/>
              <w:rPr>
                <w:sz w:val="20"/>
                <w:szCs w:val="20"/>
              </w:rPr>
            </w:pPr>
            <w:r>
              <w:rPr>
                <w:spacing w:val="3"/>
                <w:sz w:val="20"/>
                <w:szCs w:val="20"/>
              </w:rPr>
              <w:t>符合</w:t>
            </w:r>
          </w:p>
        </w:tc>
      </w:tr>
      <w:tr w14:paraId="620AFD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9" w:hRule="atLeast"/>
        </w:trPr>
        <w:tc>
          <w:tcPr>
            <w:tcW w:w="1456" w:type="dxa"/>
            <w:vMerge w:val="continue"/>
            <w:tcBorders>
              <w:top w:val="nil"/>
              <w:left w:val="single" w:color="000000" w:sz="6" w:space="0"/>
              <w:bottom w:val="nil"/>
              <w:right w:val="single" w:color="000000" w:sz="2" w:space="0"/>
            </w:tcBorders>
            <w:vAlign w:val="top"/>
          </w:tcPr>
          <w:p w14:paraId="466B08F4">
            <w:pPr>
              <w:rPr>
                <w:rFonts w:ascii="Arial"/>
                <w:sz w:val="21"/>
              </w:rPr>
            </w:pPr>
          </w:p>
        </w:tc>
        <w:tc>
          <w:tcPr>
            <w:tcW w:w="1031" w:type="dxa"/>
            <w:vMerge w:val="continue"/>
            <w:tcBorders>
              <w:top w:val="nil"/>
              <w:left w:val="single" w:color="000000" w:sz="2" w:space="0"/>
            </w:tcBorders>
            <w:vAlign w:val="top"/>
          </w:tcPr>
          <w:p w14:paraId="70CA8272">
            <w:pPr>
              <w:rPr>
                <w:rFonts w:ascii="Arial"/>
                <w:sz w:val="21"/>
              </w:rPr>
            </w:pPr>
          </w:p>
        </w:tc>
        <w:tc>
          <w:tcPr>
            <w:tcW w:w="2826" w:type="dxa"/>
            <w:vAlign w:val="top"/>
          </w:tcPr>
          <w:p w14:paraId="7EE719FF">
            <w:pPr>
              <w:spacing w:line="261" w:lineRule="auto"/>
              <w:rPr>
                <w:rFonts w:ascii="Arial"/>
                <w:sz w:val="21"/>
              </w:rPr>
            </w:pPr>
          </w:p>
          <w:p w14:paraId="73DD54B2">
            <w:pPr>
              <w:spacing w:line="261" w:lineRule="auto"/>
              <w:rPr>
                <w:rFonts w:ascii="Arial"/>
                <w:sz w:val="21"/>
              </w:rPr>
            </w:pPr>
          </w:p>
          <w:p w14:paraId="7CF110DB">
            <w:pPr>
              <w:spacing w:line="261" w:lineRule="auto"/>
              <w:rPr>
                <w:rFonts w:ascii="Arial"/>
                <w:sz w:val="21"/>
              </w:rPr>
            </w:pPr>
          </w:p>
          <w:p w14:paraId="5BEDEC9D">
            <w:pPr>
              <w:pStyle w:val="6"/>
              <w:spacing w:before="65" w:line="252" w:lineRule="auto"/>
              <w:ind w:left="107" w:right="103" w:firstLine="3"/>
              <w:jc w:val="both"/>
              <w:rPr>
                <w:sz w:val="20"/>
                <w:szCs w:val="20"/>
              </w:rPr>
            </w:pPr>
            <w:r>
              <w:rPr>
                <w:spacing w:val="16"/>
                <w:sz w:val="20"/>
                <w:szCs w:val="20"/>
              </w:rPr>
              <w:t>油气开采产生的废弃油基泥</w:t>
            </w:r>
            <w:r>
              <w:rPr>
                <w:spacing w:val="17"/>
                <w:sz w:val="20"/>
                <w:szCs w:val="20"/>
              </w:rPr>
              <w:t>浆、含油钻屑及其他固体废物，应当遵循减量化、资源化、无害化原则，按照国家和地方有关固体废物的管理</w:t>
            </w:r>
            <w:r>
              <w:rPr>
                <w:spacing w:val="7"/>
                <w:sz w:val="20"/>
                <w:szCs w:val="20"/>
              </w:rPr>
              <w:t>规定进行处置。</w:t>
            </w:r>
          </w:p>
        </w:tc>
        <w:tc>
          <w:tcPr>
            <w:tcW w:w="3085" w:type="dxa"/>
            <w:vAlign w:val="top"/>
          </w:tcPr>
          <w:p w14:paraId="78752D6B">
            <w:pPr>
              <w:pStyle w:val="6"/>
              <w:spacing w:before="35" w:line="248" w:lineRule="auto"/>
              <w:ind w:left="112" w:right="66" w:firstLine="424"/>
              <w:jc w:val="both"/>
              <w:rPr>
                <w:sz w:val="20"/>
                <w:szCs w:val="20"/>
              </w:rPr>
            </w:pPr>
            <w:r>
              <w:rPr>
                <w:spacing w:val="21"/>
                <w:sz w:val="20"/>
                <w:szCs w:val="20"/>
              </w:rPr>
              <w:t>项目施工过程中使用无害</w:t>
            </w:r>
            <w:r>
              <w:rPr>
                <w:spacing w:val="6"/>
                <w:sz w:val="20"/>
                <w:szCs w:val="20"/>
              </w:rPr>
              <w:t>化水基泥浆，无废弃油基泥浆。</w:t>
            </w:r>
            <w:r>
              <w:rPr>
                <w:spacing w:val="20"/>
                <w:sz w:val="20"/>
                <w:szCs w:val="20"/>
              </w:rPr>
              <w:t>项目施工过程采用泥浆不落地循环系统装置，产生的废弃泥</w:t>
            </w:r>
            <w:r>
              <w:rPr>
                <w:spacing w:val="4"/>
                <w:sz w:val="20"/>
                <w:szCs w:val="20"/>
              </w:rPr>
              <w:t>浆、钻井岩屑暂存废水罐，定期</w:t>
            </w:r>
            <w:r>
              <w:rPr>
                <w:spacing w:val="20"/>
                <w:sz w:val="20"/>
                <w:szCs w:val="20"/>
              </w:rPr>
              <w:t>拉运至内蒙古众宁环保科技有限公司油气田废弃物集中处理</w:t>
            </w:r>
            <w:r>
              <w:rPr>
                <w:spacing w:val="1"/>
                <w:sz w:val="20"/>
                <w:szCs w:val="20"/>
              </w:rPr>
              <w:t>厂处理。</w:t>
            </w:r>
            <w:r>
              <w:rPr>
                <w:spacing w:val="-40"/>
                <w:sz w:val="20"/>
                <w:szCs w:val="20"/>
              </w:rPr>
              <w:t xml:space="preserve"> </w:t>
            </w:r>
            <w:r>
              <w:rPr>
                <w:spacing w:val="1"/>
                <w:sz w:val="20"/>
                <w:szCs w:val="20"/>
              </w:rPr>
              <w:t>目前，众宁公司油气田</w:t>
            </w:r>
            <w:r>
              <w:rPr>
                <w:spacing w:val="5"/>
                <w:sz w:val="20"/>
                <w:szCs w:val="20"/>
              </w:rPr>
              <w:t>废弃物集中处理厂建设项目环保</w:t>
            </w:r>
            <w:r>
              <w:rPr>
                <w:spacing w:val="-9"/>
                <w:sz w:val="20"/>
                <w:szCs w:val="20"/>
              </w:rPr>
              <w:t>手续齐全，企业已与众宁签订了协议，协议承诺能处理我公司产生的</w:t>
            </w:r>
            <w:r>
              <w:rPr>
                <w:spacing w:val="-2"/>
                <w:sz w:val="20"/>
                <w:szCs w:val="20"/>
              </w:rPr>
              <w:t>废弃泥浆、岩屑。</w:t>
            </w:r>
          </w:p>
        </w:tc>
        <w:tc>
          <w:tcPr>
            <w:tcW w:w="532" w:type="dxa"/>
            <w:tcBorders>
              <w:right w:val="single" w:color="000000" w:sz="6" w:space="0"/>
            </w:tcBorders>
            <w:vAlign w:val="top"/>
          </w:tcPr>
          <w:p w14:paraId="3AA57F55">
            <w:pPr>
              <w:spacing w:line="243" w:lineRule="auto"/>
              <w:rPr>
                <w:rFonts w:ascii="Arial"/>
                <w:sz w:val="21"/>
              </w:rPr>
            </w:pPr>
          </w:p>
          <w:p w14:paraId="450AA4A7">
            <w:pPr>
              <w:spacing w:line="243" w:lineRule="auto"/>
              <w:rPr>
                <w:rFonts w:ascii="Arial"/>
                <w:sz w:val="21"/>
              </w:rPr>
            </w:pPr>
          </w:p>
          <w:p w14:paraId="69568D88">
            <w:pPr>
              <w:spacing w:line="244" w:lineRule="auto"/>
              <w:rPr>
                <w:rFonts w:ascii="Arial"/>
                <w:sz w:val="21"/>
              </w:rPr>
            </w:pPr>
          </w:p>
          <w:p w14:paraId="1B95111E">
            <w:pPr>
              <w:spacing w:line="244" w:lineRule="auto"/>
              <w:rPr>
                <w:rFonts w:ascii="Arial"/>
                <w:sz w:val="21"/>
              </w:rPr>
            </w:pPr>
          </w:p>
          <w:p w14:paraId="2825803A">
            <w:pPr>
              <w:spacing w:line="244" w:lineRule="auto"/>
              <w:rPr>
                <w:rFonts w:ascii="Arial"/>
                <w:sz w:val="21"/>
              </w:rPr>
            </w:pPr>
          </w:p>
          <w:p w14:paraId="74CDA624">
            <w:pPr>
              <w:spacing w:line="244" w:lineRule="auto"/>
              <w:rPr>
                <w:rFonts w:ascii="Arial"/>
                <w:sz w:val="21"/>
              </w:rPr>
            </w:pPr>
          </w:p>
          <w:p w14:paraId="7BE0FC93">
            <w:pPr>
              <w:pStyle w:val="6"/>
              <w:spacing w:before="65" w:line="228" w:lineRule="auto"/>
              <w:ind w:left="58"/>
              <w:rPr>
                <w:sz w:val="20"/>
                <w:szCs w:val="20"/>
              </w:rPr>
            </w:pPr>
            <w:r>
              <w:rPr>
                <w:spacing w:val="3"/>
                <w:sz w:val="20"/>
                <w:szCs w:val="20"/>
              </w:rPr>
              <w:t>符合</w:t>
            </w:r>
          </w:p>
        </w:tc>
      </w:tr>
      <w:tr w14:paraId="752C8C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1" w:hRule="atLeast"/>
        </w:trPr>
        <w:tc>
          <w:tcPr>
            <w:tcW w:w="1456" w:type="dxa"/>
            <w:vMerge w:val="continue"/>
            <w:tcBorders>
              <w:top w:val="nil"/>
              <w:left w:val="single" w:color="000000" w:sz="6" w:space="0"/>
              <w:bottom w:val="single" w:color="000000" w:sz="6" w:space="0"/>
              <w:right w:val="single" w:color="000000" w:sz="2" w:space="0"/>
            </w:tcBorders>
            <w:vAlign w:val="top"/>
          </w:tcPr>
          <w:p w14:paraId="643D0B49">
            <w:pPr>
              <w:rPr>
                <w:rFonts w:ascii="Arial"/>
                <w:sz w:val="21"/>
              </w:rPr>
            </w:pPr>
          </w:p>
        </w:tc>
        <w:tc>
          <w:tcPr>
            <w:tcW w:w="1031" w:type="dxa"/>
            <w:tcBorders>
              <w:left w:val="single" w:color="000000" w:sz="2" w:space="0"/>
              <w:bottom w:val="single" w:color="000000" w:sz="6" w:space="0"/>
            </w:tcBorders>
            <w:vAlign w:val="top"/>
          </w:tcPr>
          <w:p w14:paraId="4DD02008">
            <w:pPr>
              <w:pStyle w:val="6"/>
              <w:spacing w:before="44" w:line="252" w:lineRule="auto"/>
              <w:ind w:left="125" w:right="106" w:firstLine="19"/>
              <w:jc w:val="both"/>
              <w:rPr>
                <w:sz w:val="20"/>
                <w:szCs w:val="20"/>
              </w:rPr>
            </w:pPr>
            <w:r>
              <w:rPr>
                <w:spacing w:val="-8"/>
                <w:sz w:val="20"/>
                <w:szCs w:val="20"/>
              </w:rPr>
              <w:t>四、加强</w:t>
            </w:r>
            <w:r>
              <w:rPr>
                <w:spacing w:val="-6"/>
                <w:sz w:val="20"/>
                <w:szCs w:val="20"/>
              </w:rPr>
              <w:t>事</w:t>
            </w:r>
            <w:r>
              <w:rPr>
                <w:spacing w:val="14"/>
                <w:sz w:val="20"/>
                <w:szCs w:val="20"/>
              </w:rPr>
              <w:t xml:space="preserve"> </w:t>
            </w:r>
            <w:r>
              <w:rPr>
                <w:spacing w:val="-6"/>
                <w:sz w:val="20"/>
                <w:szCs w:val="20"/>
              </w:rPr>
              <w:t>中 事</w:t>
            </w:r>
            <w:r>
              <w:rPr>
                <w:spacing w:val="6"/>
                <w:sz w:val="20"/>
                <w:szCs w:val="20"/>
              </w:rPr>
              <w:t>后监管</w:t>
            </w:r>
          </w:p>
        </w:tc>
        <w:tc>
          <w:tcPr>
            <w:tcW w:w="2826" w:type="dxa"/>
            <w:tcBorders>
              <w:bottom w:val="single" w:color="000000" w:sz="6" w:space="0"/>
            </w:tcBorders>
            <w:vAlign w:val="top"/>
          </w:tcPr>
          <w:p w14:paraId="6AA23D11">
            <w:pPr>
              <w:pStyle w:val="6"/>
              <w:spacing w:before="43" w:line="252" w:lineRule="auto"/>
              <w:ind w:left="6" w:right="2" w:firstLine="2"/>
              <w:jc w:val="both"/>
              <w:rPr>
                <w:sz w:val="20"/>
                <w:szCs w:val="20"/>
              </w:rPr>
            </w:pPr>
            <w:r>
              <w:rPr>
                <w:spacing w:val="15"/>
                <w:sz w:val="20"/>
                <w:szCs w:val="20"/>
              </w:rPr>
              <w:t>工程设施退役，建设单位或生</w:t>
            </w:r>
            <w:r>
              <w:rPr>
                <w:spacing w:val="33"/>
                <w:sz w:val="20"/>
                <w:szCs w:val="20"/>
              </w:rPr>
              <w:t>产经营单位应当按照相关要</w:t>
            </w:r>
            <w:r>
              <w:rPr>
                <w:spacing w:val="15"/>
                <w:sz w:val="20"/>
                <w:szCs w:val="20"/>
              </w:rPr>
              <w:t>求，采取有效生态环境保护措</w:t>
            </w:r>
          </w:p>
        </w:tc>
        <w:tc>
          <w:tcPr>
            <w:tcW w:w="3085" w:type="dxa"/>
            <w:tcBorders>
              <w:bottom w:val="single" w:color="000000" w:sz="6" w:space="0"/>
            </w:tcBorders>
            <w:vAlign w:val="top"/>
          </w:tcPr>
          <w:p w14:paraId="18AE2FEF">
            <w:pPr>
              <w:pStyle w:val="6"/>
              <w:spacing w:before="44" w:line="252" w:lineRule="auto"/>
              <w:ind w:left="114" w:right="96" w:firstLine="422"/>
              <w:jc w:val="both"/>
              <w:rPr>
                <w:sz w:val="20"/>
                <w:szCs w:val="20"/>
              </w:rPr>
            </w:pPr>
            <w:r>
              <w:rPr>
                <w:spacing w:val="3"/>
                <w:sz w:val="20"/>
                <w:szCs w:val="20"/>
              </w:rPr>
              <w:t>项目勘探结束后，若探井无</w:t>
            </w:r>
            <w:r>
              <w:rPr>
                <w:spacing w:val="20"/>
                <w:sz w:val="20"/>
                <w:szCs w:val="20"/>
              </w:rPr>
              <w:t>利用价值则按相关技术规范进</w:t>
            </w:r>
            <w:r>
              <w:rPr>
                <w:spacing w:val="4"/>
                <w:sz w:val="20"/>
                <w:szCs w:val="20"/>
              </w:rPr>
              <w:t>行永久封井处理，随后进行地表</w:t>
            </w:r>
          </w:p>
        </w:tc>
        <w:tc>
          <w:tcPr>
            <w:tcW w:w="532" w:type="dxa"/>
            <w:tcBorders>
              <w:bottom w:val="single" w:color="000000" w:sz="6" w:space="0"/>
              <w:right w:val="single" w:color="000000" w:sz="6" w:space="0"/>
            </w:tcBorders>
            <w:vAlign w:val="top"/>
          </w:tcPr>
          <w:p w14:paraId="79506B1E">
            <w:pPr>
              <w:spacing w:line="247" w:lineRule="auto"/>
              <w:rPr>
                <w:rFonts w:ascii="Arial"/>
                <w:sz w:val="21"/>
              </w:rPr>
            </w:pPr>
          </w:p>
          <w:p w14:paraId="06F17847">
            <w:pPr>
              <w:pStyle w:val="6"/>
              <w:spacing w:before="65" w:line="228" w:lineRule="auto"/>
              <w:ind w:left="58"/>
              <w:rPr>
                <w:sz w:val="20"/>
                <w:szCs w:val="20"/>
              </w:rPr>
            </w:pPr>
            <w:r>
              <w:rPr>
                <w:spacing w:val="3"/>
                <w:sz w:val="20"/>
                <w:szCs w:val="20"/>
              </w:rPr>
              <w:t>符合</w:t>
            </w:r>
          </w:p>
        </w:tc>
      </w:tr>
    </w:tbl>
    <w:p w14:paraId="0713AAB3">
      <w:pPr>
        <w:rPr>
          <w:rFonts w:ascii="Arial"/>
          <w:sz w:val="21"/>
        </w:rPr>
      </w:pPr>
    </w:p>
    <w:p w14:paraId="2E11996B">
      <w:pPr>
        <w:rPr>
          <w:rFonts w:ascii="Arial" w:hAnsi="Arial" w:eastAsia="Arial" w:cs="Arial"/>
          <w:sz w:val="21"/>
          <w:szCs w:val="21"/>
        </w:rPr>
        <w:sectPr>
          <w:footerReference r:id="rId10" w:type="default"/>
          <w:pgSz w:w="11906" w:h="16839"/>
          <w:pgMar w:top="400" w:right="1395" w:bottom="1240" w:left="1565" w:header="0" w:footer="1078" w:gutter="0"/>
          <w:cols w:space="720" w:num="1"/>
        </w:sectPr>
      </w:pPr>
    </w:p>
    <w:p w14:paraId="2E7BC4AB">
      <w:pPr>
        <w:spacing w:before="56"/>
      </w:pPr>
    </w:p>
    <w:p w14:paraId="291E72C7">
      <w:pPr>
        <w:spacing w:before="56"/>
      </w:pPr>
    </w:p>
    <w:p w14:paraId="5FF32435">
      <w:pPr>
        <w:spacing w:before="55"/>
      </w:pPr>
    </w:p>
    <w:p w14:paraId="4A15A45B">
      <w:pPr>
        <w:spacing w:before="55"/>
      </w:pPr>
    </w:p>
    <w:tbl>
      <w:tblPr>
        <w:tblStyle w:val="5"/>
        <w:tblW w:w="8930"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56"/>
        <w:gridCol w:w="1031"/>
        <w:gridCol w:w="2497"/>
        <w:gridCol w:w="329"/>
        <w:gridCol w:w="3086"/>
        <w:gridCol w:w="531"/>
      </w:tblGrid>
      <w:tr w14:paraId="3EA616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9" w:hRule="atLeast"/>
        </w:trPr>
        <w:tc>
          <w:tcPr>
            <w:tcW w:w="1456" w:type="dxa"/>
            <w:vMerge w:val="restart"/>
            <w:tcBorders>
              <w:top w:val="single" w:color="000000" w:sz="6" w:space="0"/>
              <w:left w:val="single" w:color="000000" w:sz="6" w:space="0"/>
              <w:bottom w:val="nil"/>
              <w:right w:val="single" w:color="000000" w:sz="2" w:space="0"/>
            </w:tcBorders>
            <w:vAlign w:val="top"/>
          </w:tcPr>
          <w:p w14:paraId="5C58072C">
            <w:pPr>
              <w:rPr>
                <w:rFonts w:ascii="Arial"/>
                <w:sz w:val="21"/>
              </w:rPr>
            </w:pPr>
          </w:p>
        </w:tc>
        <w:tc>
          <w:tcPr>
            <w:tcW w:w="1031" w:type="dxa"/>
            <w:tcBorders>
              <w:top w:val="single" w:color="000000" w:sz="6" w:space="0"/>
              <w:left w:val="single" w:color="000000" w:sz="2" w:space="0"/>
              <w:bottom w:val="single" w:color="000000" w:sz="10" w:space="0"/>
            </w:tcBorders>
            <w:vAlign w:val="top"/>
          </w:tcPr>
          <w:p w14:paraId="3788FE12">
            <w:pPr>
              <w:rPr>
                <w:rFonts w:ascii="Arial"/>
                <w:sz w:val="21"/>
              </w:rPr>
            </w:pPr>
          </w:p>
        </w:tc>
        <w:tc>
          <w:tcPr>
            <w:tcW w:w="2826" w:type="dxa"/>
            <w:gridSpan w:val="2"/>
            <w:tcBorders>
              <w:top w:val="single" w:color="000000" w:sz="6" w:space="0"/>
              <w:bottom w:val="single" w:color="000000" w:sz="10" w:space="0"/>
            </w:tcBorders>
            <w:vAlign w:val="top"/>
          </w:tcPr>
          <w:p w14:paraId="640E113F">
            <w:pPr>
              <w:pStyle w:val="6"/>
              <w:spacing w:before="61" w:line="248" w:lineRule="auto"/>
              <w:ind w:left="5"/>
              <w:jc w:val="both"/>
              <w:rPr>
                <w:sz w:val="20"/>
                <w:szCs w:val="20"/>
              </w:rPr>
            </w:pPr>
            <w:r>
              <w:rPr>
                <w:spacing w:val="10"/>
                <w:sz w:val="20"/>
                <w:szCs w:val="20"/>
              </w:rPr>
              <w:t>施。同时，按照《中华人民共</w:t>
            </w:r>
            <w:r>
              <w:rPr>
                <w:spacing w:val="9"/>
                <w:sz w:val="20"/>
                <w:szCs w:val="20"/>
              </w:rPr>
              <w:t>和国土壤污染防治法》</w:t>
            </w:r>
            <w:r>
              <w:rPr>
                <w:spacing w:val="-78"/>
                <w:sz w:val="20"/>
                <w:szCs w:val="20"/>
              </w:rPr>
              <w:t xml:space="preserve"> </w:t>
            </w:r>
            <w:r>
              <w:rPr>
                <w:spacing w:val="9"/>
                <w:sz w:val="20"/>
                <w:szCs w:val="20"/>
              </w:rPr>
              <w:t>《土壤</w:t>
            </w:r>
            <w:r>
              <w:rPr>
                <w:spacing w:val="10"/>
                <w:sz w:val="20"/>
                <w:szCs w:val="20"/>
              </w:rPr>
              <w:t>环境质量建设用地土壤污染风</w:t>
            </w:r>
            <w:r>
              <w:rPr>
                <w:spacing w:val="-7"/>
                <w:sz w:val="20"/>
                <w:szCs w:val="20"/>
              </w:rPr>
              <w:t>险 管</w:t>
            </w:r>
            <w:r>
              <w:rPr>
                <w:spacing w:val="-8"/>
                <w:sz w:val="20"/>
                <w:szCs w:val="20"/>
              </w:rPr>
              <w:t xml:space="preserve"> </w:t>
            </w:r>
            <w:r>
              <w:rPr>
                <w:spacing w:val="-7"/>
                <w:sz w:val="20"/>
                <w:szCs w:val="20"/>
              </w:rPr>
              <w:t>控 标</w:t>
            </w:r>
            <w:r>
              <w:rPr>
                <w:spacing w:val="-11"/>
                <w:sz w:val="20"/>
                <w:szCs w:val="20"/>
              </w:rPr>
              <w:t xml:space="preserve"> </w:t>
            </w:r>
            <w:r>
              <w:rPr>
                <w:spacing w:val="-7"/>
                <w:sz w:val="20"/>
                <w:szCs w:val="20"/>
              </w:rPr>
              <w:t>准</w:t>
            </w:r>
            <w:r>
              <w:rPr>
                <w:spacing w:val="-20"/>
                <w:sz w:val="20"/>
                <w:szCs w:val="20"/>
              </w:rPr>
              <w:t xml:space="preserve"> </w:t>
            </w:r>
            <w:r>
              <w:rPr>
                <w:spacing w:val="-7"/>
                <w:sz w:val="20"/>
                <w:szCs w:val="20"/>
              </w:rPr>
              <w:t>（ 试 行 ）</w:t>
            </w:r>
            <w:r>
              <w:rPr>
                <w:spacing w:val="-2"/>
                <w:sz w:val="20"/>
                <w:szCs w:val="20"/>
              </w:rPr>
              <w:t xml:space="preserve"> </w:t>
            </w:r>
            <w:r>
              <w:rPr>
                <w:spacing w:val="-7"/>
                <w:sz w:val="20"/>
                <w:szCs w:val="20"/>
              </w:rPr>
              <w:t>》</w:t>
            </w:r>
            <w:r>
              <w:rPr>
                <w:sz w:val="20"/>
                <w:szCs w:val="20"/>
              </w:rPr>
              <w:t xml:space="preserve"> </w:t>
            </w:r>
            <w:r>
              <w:rPr>
                <w:spacing w:val="3"/>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36600-2018</w:t>
            </w:r>
            <w:r>
              <w:rPr>
                <w:spacing w:val="3"/>
                <w:sz w:val="20"/>
                <w:szCs w:val="20"/>
              </w:rPr>
              <w:t>）</w:t>
            </w:r>
            <w:r>
              <w:rPr>
                <w:spacing w:val="-56"/>
                <w:sz w:val="20"/>
                <w:szCs w:val="20"/>
              </w:rPr>
              <w:t xml:space="preserve"> </w:t>
            </w:r>
            <w:r>
              <w:rPr>
                <w:spacing w:val="3"/>
                <w:sz w:val="20"/>
                <w:szCs w:val="20"/>
              </w:rPr>
              <w:t>的要求，对</w:t>
            </w:r>
            <w:r>
              <w:rPr>
                <w:spacing w:val="10"/>
                <w:sz w:val="20"/>
                <w:szCs w:val="20"/>
              </w:rPr>
              <w:t>永久停用、拆除或弃置的各类</w:t>
            </w:r>
            <w:r>
              <w:rPr>
                <w:sz w:val="20"/>
                <w:szCs w:val="20"/>
              </w:rPr>
              <w:t>井、管道等工程设施落实封堵、</w:t>
            </w:r>
            <w:r>
              <w:rPr>
                <w:spacing w:val="10"/>
                <w:sz w:val="20"/>
                <w:szCs w:val="20"/>
              </w:rPr>
              <w:t>土壤及地下水修复、生态修复</w:t>
            </w:r>
            <w:r>
              <w:rPr>
                <w:spacing w:val="1"/>
                <w:sz w:val="20"/>
                <w:szCs w:val="20"/>
              </w:rPr>
              <w:t>等措施。</w:t>
            </w:r>
          </w:p>
        </w:tc>
        <w:tc>
          <w:tcPr>
            <w:tcW w:w="3086" w:type="dxa"/>
            <w:tcBorders>
              <w:top w:val="single" w:color="000000" w:sz="6" w:space="0"/>
              <w:bottom w:val="single" w:color="000000" w:sz="10" w:space="0"/>
            </w:tcBorders>
            <w:vAlign w:val="top"/>
          </w:tcPr>
          <w:p w14:paraId="7856E547">
            <w:pPr>
              <w:pStyle w:val="6"/>
              <w:spacing w:before="58" w:line="252" w:lineRule="auto"/>
              <w:ind w:left="113" w:right="97"/>
              <w:jc w:val="both"/>
              <w:rPr>
                <w:sz w:val="20"/>
                <w:szCs w:val="20"/>
              </w:rPr>
            </w:pPr>
            <w:r>
              <w:rPr>
                <w:spacing w:val="4"/>
                <w:sz w:val="20"/>
                <w:szCs w:val="20"/>
              </w:rPr>
              <w:t>清理，翻耕、表土回覆等措施对农田及时复垦，使项目占地范围</w:t>
            </w:r>
            <w:r>
              <w:rPr>
                <w:spacing w:val="8"/>
                <w:sz w:val="20"/>
                <w:szCs w:val="20"/>
              </w:rPr>
              <w:t>内的农田恢复到原有水平。</w:t>
            </w:r>
          </w:p>
        </w:tc>
        <w:tc>
          <w:tcPr>
            <w:tcW w:w="531" w:type="dxa"/>
            <w:tcBorders>
              <w:top w:val="single" w:color="000000" w:sz="6" w:space="0"/>
              <w:bottom w:val="single" w:color="000000" w:sz="10" w:space="0"/>
              <w:right w:val="single" w:color="000000" w:sz="6" w:space="0"/>
            </w:tcBorders>
            <w:vAlign w:val="top"/>
          </w:tcPr>
          <w:p w14:paraId="6CFD92C3">
            <w:pPr>
              <w:rPr>
                <w:rFonts w:ascii="Arial"/>
                <w:sz w:val="21"/>
              </w:rPr>
            </w:pPr>
          </w:p>
        </w:tc>
      </w:tr>
      <w:tr w14:paraId="3C0420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9" w:hRule="atLeast"/>
        </w:trPr>
        <w:tc>
          <w:tcPr>
            <w:tcW w:w="1456" w:type="dxa"/>
            <w:vMerge w:val="continue"/>
            <w:tcBorders>
              <w:top w:val="nil"/>
              <w:left w:val="single" w:color="000000" w:sz="6" w:space="0"/>
              <w:bottom w:val="nil"/>
              <w:right w:val="single" w:color="000000" w:sz="2" w:space="0"/>
            </w:tcBorders>
            <w:vAlign w:val="top"/>
          </w:tcPr>
          <w:p w14:paraId="7F2F001A">
            <w:pPr>
              <w:rPr>
                <w:rFonts w:ascii="Arial"/>
                <w:sz w:val="21"/>
              </w:rPr>
            </w:pPr>
          </w:p>
        </w:tc>
        <w:tc>
          <w:tcPr>
            <w:tcW w:w="7474" w:type="dxa"/>
            <w:gridSpan w:val="5"/>
            <w:tcBorders>
              <w:top w:val="single" w:color="000000" w:sz="10" w:space="0"/>
              <w:left w:val="single" w:color="000000" w:sz="2" w:space="0"/>
              <w:bottom w:val="single" w:color="000000" w:sz="10" w:space="0"/>
              <w:right w:val="single" w:color="000000" w:sz="6" w:space="0"/>
            </w:tcBorders>
            <w:vAlign w:val="top"/>
          </w:tcPr>
          <w:p w14:paraId="5A1D41DD">
            <w:pPr>
              <w:pStyle w:val="6"/>
              <w:spacing w:before="29" w:line="359" w:lineRule="auto"/>
              <w:ind w:left="24" w:right="9" w:firstLine="468"/>
            </w:pPr>
            <w:r>
              <w:rPr>
                <w:rFonts w:ascii="Times New Roman" w:hAnsi="Times New Roman" w:eastAsia="Times New Roman" w:cs="Times New Roman"/>
                <w:spacing w:val="-4"/>
              </w:rPr>
              <w:t>4</w:t>
            </w:r>
            <w:r>
              <w:rPr>
                <w:rFonts w:ascii="Times New Roman" w:hAnsi="Times New Roman" w:eastAsia="Times New Roman" w:cs="Times New Roman"/>
                <w:spacing w:val="-22"/>
              </w:rPr>
              <w:t xml:space="preserve"> </w:t>
            </w:r>
            <w:r>
              <w:rPr>
                <w:spacing w:val="-4"/>
              </w:rPr>
              <w:t>、与《石油天然气开采业污染防治技术政策》（公告</w:t>
            </w:r>
            <w:r>
              <w:rPr>
                <w:spacing w:val="-55"/>
              </w:rPr>
              <w:t xml:space="preserve"> </w:t>
            </w:r>
            <w:r>
              <w:rPr>
                <w:rFonts w:ascii="Times New Roman" w:hAnsi="Times New Roman" w:eastAsia="Times New Roman" w:cs="Times New Roman"/>
                <w:spacing w:val="-4"/>
              </w:rPr>
              <w:t xml:space="preserve">2012 </w:t>
            </w:r>
            <w:r>
              <w:rPr>
                <w:spacing w:val="-4"/>
              </w:rPr>
              <w:t>年第</w:t>
            </w:r>
            <w:r>
              <w:rPr>
                <w:spacing w:val="-32"/>
              </w:rPr>
              <w:t xml:space="preserve"> </w:t>
            </w:r>
            <w:r>
              <w:rPr>
                <w:rFonts w:ascii="Times New Roman" w:hAnsi="Times New Roman" w:eastAsia="Times New Roman" w:cs="Times New Roman"/>
                <w:spacing w:val="-4"/>
              </w:rPr>
              <w:t>18</w:t>
            </w:r>
            <w:r>
              <w:rPr>
                <w:spacing w:val="-2"/>
              </w:rPr>
              <w:t>号）符合性分析如下。</w:t>
            </w:r>
          </w:p>
          <w:p w14:paraId="21E6BE32">
            <w:pPr>
              <w:spacing w:line="212" w:lineRule="auto"/>
              <w:ind w:left="492"/>
              <w:rPr>
                <w:rFonts w:ascii="黑体" w:hAnsi="黑体" w:eastAsia="黑体" w:cs="黑体"/>
                <w:sz w:val="24"/>
                <w:szCs w:val="24"/>
              </w:rPr>
            </w:pPr>
            <w:r>
              <w:rPr>
                <w:rFonts w:ascii="黑体" w:hAnsi="黑体" w:eastAsia="黑体" w:cs="黑体"/>
                <w:spacing w:val="-2"/>
                <w:sz w:val="24"/>
                <w:szCs w:val="24"/>
              </w:rPr>
              <w:t>表</w:t>
            </w:r>
            <w:r>
              <w:rPr>
                <w:rFonts w:ascii="黑体" w:hAnsi="黑体" w:eastAsia="黑体" w:cs="黑体"/>
                <w:spacing w:val="-15"/>
                <w:sz w:val="24"/>
                <w:szCs w:val="24"/>
              </w:rPr>
              <w:t xml:space="preserve"> </w:t>
            </w:r>
            <w:r>
              <w:rPr>
                <w:rFonts w:ascii="Times New Roman" w:hAnsi="Times New Roman" w:eastAsia="Times New Roman" w:cs="Times New Roman"/>
                <w:spacing w:val="-2"/>
                <w:sz w:val="24"/>
                <w:szCs w:val="24"/>
              </w:rPr>
              <w:t xml:space="preserve">1-4  </w:t>
            </w:r>
            <w:r>
              <w:rPr>
                <w:rFonts w:ascii="黑体" w:hAnsi="黑体" w:eastAsia="黑体" w:cs="黑体"/>
                <w:spacing w:val="-2"/>
                <w:sz w:val="24"/>
                <w:szCs w:val="24"/>
              </w:rPr>
              <w:t>与《石油天然气开采业污染防治技术政策》符合性分析</w:t>
            </w:r>
          </w:p>
        </w:tc>
      </w:tr>
      <w:tr w14:paraId="349E9F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456" w:type="dxa"/>
            <w:vMerge w:val="continue"/>
            <w:tcBorders>
              <w:top w:val="nil"/>
              <w:left w:val="single" w:color="000000" w:sz="6" w:space="0"/>
              <w:bottom w:val="nil"/>
              <w:right w:val="single" w:color="000000" w:sz="2" w:space="0"/>
            </w:tcBorders>
            <w:vAlign w:val="top"/>
          </w:tcPr>
          <w:p w14:paraId="5A2310FF">
            <w:pPr>
              <w:rPr>
                <w:rFonts w:ascii="Arial"/>
                <w:sz w:val="21"/>
              </w:rPr>
            </w:pPr>
          </w:p>
        </w:tc>
        <w:tc>
          <w:tcPr>
            <w:tcW w:w="3528" w:type="dxa"/>
            <w:gridSpan w:val="2"/>
            <w:tcBorders>
              <w:top w:val="single" w:color="000000" w:sz="10" w:space="0"/>
              <w:left w:val="single" w:color="000000" w:sz="2" w:space="0"/>
            </w:tcBorders>
            <w:vAlign w:val="top"/>
          </w:tcPr>
          <w:p w14:paraId="2C877E26">
            <w:pPr>
              <w:pStyle w:val="6"/>
              <w:spacing w:before="158" w:line="228" w:lineRule="auto"/>
              <w:ind w:left="1146"/>
              <w:rPr>
                <w:sz w:val="20"/>
                <w:szCs w:val="20"/>
              </w:rPr>
            </w:pPr>
            <w:r>
              <w:rPr>
                <w:spacing w:val="8"/>
                <w:sz w:val="20"/>
                <w:szCs w:val="20"/>
              </w:rPr>
              <w:t>技术政策要求</w:t>
            </w:r>
          </w:p>
        </w:tc>
        <w:tc>
          <w:tcPr>
            <w:tcW w:w="3415" w:type="dxa"/>
            <w:gridSpan w:val="2"/>
            <w:tcBorders>
              <w:top w:val="single" w:color="000000" w:sz="10" w:space="0"/>
            </w:tcBorders>
            <w:vAlign w:val="top"/>
          </w:tcPr>
          <w:p w14:paraId="4DEBA2DC">
            <w:pPr>
              <w:pStyle w:val="6"/>
              <w:spacing w:before="159" w:line="228" w:lineRule="auto"/>
              <w:ind w:left="1297"/>
              <w:rPr>
                <w:sz w:val="20"/>
                <w:szCs w:val="20"/>
              </w:rPr>
            </w:pPr>
            <w:r>
              <w:rPr>
                <w:spacing w:val="6"/>
                <w:sz w:val="20"/>
                <w:szCs w:val="20"/>
              </w:rPr>
              <w:t>项目情况</w:t>
            </w:r>
          </w:p>
        </w:tc>
        <w:tc>
          <w:tcPr>
            <w:tcW w:w="531" w:type="dxa"/>
            <w:tcBorders>
              <w:top w:val="single" w:color="000000" w:sz="10" w:space="0"/>
              <w:right w:val="single" w:color="000000" w:sz="6" w:space="0"/>
            </w:tcBorders>
            <w:vAlign w:val="top"/>
          </w:tcPr>
          <w:p w14:paraId="0E4039E6">
            <w:pPr>
              <w:pStyle w:val="6"/>
              <w:spacing w:before="24" w:line="228" w:lineRule="auto"/>
              <w:ind w:left="57"/>
              <w:rPr>
                <w:sz w:val="20"/>
                <w:szCs w:val="20"/>
              </w:rPr>
            </w:pPr>
            <w:r>
              <w:rPr>
                <w:spacing w:val="3"/>
                <w:sz w:val="20"/>
                <w:szCs w:val="20"/>
              </w:rPr>
              <w:t>符合</w:t>
            </w:r>
          </w:p>
          <w:p w14:paraId="1DCDC743">
            <w:pPr>
              <w:pStyle w:val="6"/>
              <w:spacing w:before="26" w:line="216" w:lineRule="auto"/>
              <w:ind w:left="56"/>
              <w:rPr>
                <w:sz w:val="20"/>
                <w:szCs w:val="20"/>
              </w:rPr>
            </w:pPr>
            <w:r>
              <w:rPr>
                <w:spacing w:val="4"/>
                <w:sz w:val="20"/>
                <w:szCs w:val="20"/>
              </w:rPr>
              <w:t>情况</w:t>
            </w:r>
          </w:p>
        </w:tc>
      </w:tr>
      <w:tr w14:paraId="45D174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456" w:type="dxa"/>
            <w:vMerge w:val="continue"/>
            <w:tcBorders>
              <w:top w:val="nil"/>
              <w:left w:val="single" w:color="000000" w:sz="6" w:space="0"/>
              <w:bottom w:val="nil"/>
              <w:right w:val="single" w:color="000000" w:sz="2" w:space="0"/>
            </w:tcBorders>
            <w:vAlign w:val="top"/>
          </w:tcPr>
          <w:p w14:paraId="1BB120D6">
            <w:pPr>
              <w:rPr>
                <w:rFonts w:ascii="Arial"/>
                <w:sz w:val="21"/>
              </w:rPr>
            </w:pPr>
          </w:p>
        </w:tc>
        <w:tc>
          <w:tcPr>
            <w:tcW w:w="3528" w:type="dxa"/>
            <w:gridSpan w:val="2"/>
            <w:tcBorders>
              <w:left w:val="single" w:color="000000" w:sz="2" w:space="0"/>
            </w:tcBorders>
            <w:vAlign w:val="top"/>
          </w:tcPr>
          <w:p w14:paraId="7CE6A260">
            <w:pPr>
              <w:pStyle w:val="6"/>
              <w:spacing w:before="94" w:line="228" w:lineRule="auto"/>
              <w:ind w:left="1360"/>
              <w:rPr>
                <w:sz w:val="20"/>
                <w:szCs w:val="20"/>
              </w:rPr>
            </w:pPr>
            <w:r>
              <w:rPr>
                <w:spacing w:val="6"/>
                <w:sz w:val="20"/>
                <w:szCs w:val="20"/>
              </w:rPr>
              <w:t>一、总则</w:t>
            </w:r>
          </w:p>
        </w:tc>
        <w:tc>
          <w:tcPr>
            <w:tcW w:w="3415" w:type="dxa"/>
            <w:gridSpan w:val="2"/>
            <w:vAlign w:val="top"/>
          </w:tcPr>
          <w:p w14:paraId="002532CA">
            <w:pPr>
              <w:rPr>
                <w:rFonts w:ascii="Arial"/>
                <w:sz w:val="21"/>
              </w:rPr>
            </w:pPr>
          </w:p>
        </w:tc>
        <w:tc>
          <w:tcPr>
            <w:tcW w:w="531" w:type="dxa"/>
            <w:tcBorders>
              <w:right w:val="single" w:color="000000" w:sz="6" w:space="0"/>
            </w:tcBorders>
            <w:vAlign w:val="top"/>
          </w:tcPr>
          <w:p w14:paraId="70C4D660">
            <w:pPr>
              <w:rPr>
                <w:rFonts w:ascii="Arial"/>
                <w:sz w:val="21"/>
              </w:rPr>
            </w:pPr>
          </w:p>
        </w:tc>
      </w:tr>
      <w:tr w14:paraId="099F1E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4" w:hRule="atLeast"/>
        </w:trPr>
        <w:tc>
          <w:tcPr>
            <w:tcW w:w="1456" w:type="dxa"/>
            <w:vMerge w:val="continue"/>
            <w:tcBorders>
              <w:top w:val="nil"/>
              <w:left w:val="single" w:color="000000" w:sz="6" w:space="0"/>
              <w:bottom w:val="nil"/>
              <w:right w:val="single" w:color="000000" w:sz="2" w:space="0"/>
            </w:tcBorders>
            <w:vAlign w:val="top"/>
          </w:tcPr>
          <w:p w14:paraId="7FB7A904">
            <w:pPr>
              <w:rPr>
                <w:rFonts w:ascii="Arial"/>
                <w:sz w:val="21"/>
              </w:rPr>
            </w:pPr>
          </w:p>
        </w:tc>
        <w:tc>
          <w:tcPr>
            <w:tcW w:w="3528" w:type="dxa"/>
            <w:gridSpan w:val="2"/>
            <w:tcBorders>
              <w:left w:val="single" w:color="000000" w:sz="2" w:space="0"/>
            </w:tcBorders>
            <w:vAlign w:val="top"/>
          </w:tcPr>
          <w:p w14:paraId="77246D24">
            <w:pPr>
              <w:spacing w:line="304" w:lineRule="auto"/>
              <w:rPr>
                <w:rFonts w:ascii="Arial"/>
                <w:sz w:val="21"/>
              </w:rPr>
            </w:pPr>
          </w:p>
          <w:p w14:paraId="6B35945B">
            <w:pPr>
              <w:spacing w:line="304" w:lineRule="auto"/>
              <w:rPr>
                <w:rFonts w:ascii="Arial"/>
                <w:sz w:val="21"/>
              </w:rPr>
            </w:pPr>
          </w:p>
          <w:p w14:paraId="104048B4">
            <w:pPr>
              <w:spacing w:line="305" w:lineRule="auto"/>
              <w:rPr>
                <w:rFonts w:ascii="Arial"/>
                <w:sz w:val="21"/>
              </w:rPr>
            </w:pPr>
          </w:p>
          <w:p w14:paraId="0A103B0D">
            <w:pPr>
              <w:pStyle w:val="6"/>
              <w:spacing w:before="65" w:line="252" w:lineRule="auto"/>
              <w:ind w:left="125" w:right="79" w:firstLine="10"/>
              <w:rPr>
                <w:sz w:val="20"/>
                <w:szCs w:val="20"/>
              </w:rPr>
            </w:pPr>
            <w:r>
              <w:rPr>
                <w:spacing w:val="7"/>
                <w:sz w:val="20"/>
                <w:szCs w:val="20"/>
              </w:rPr>
              <w:t>（三）到</w:t>
            </w:r>
            <w:r>
              <w:rPr>
                <w:spacing w:val="-30"/>
                <w:sz w:val="20"/>
                <w:szCs w:val="20"/>
              </w:rPr>
              <w:t xml:space="preserve"> </w:t>
            </w:r>
            <w:r>
              <w:rPr>
                <w:rFonts w:ascii="Times New Roman" w:hAnsi="Times New Roman" w:eastAsia="Times New Roman" w:cs="Times New Roman"/>
                <w:spacing w:val="7"/>
                <w:sz w:val="20"/>
                <w:szCs w:val="20"/>
              </w:rPr>
              <w:t xml:space="preserve">2015 </w:t>
            </w:r>
            <w:r>
              <w:rPr>
                <w:spacing w:val="7"/>
                <w:sz w:val="20"/>
                <w:szCs w:val="20"/>
              </w:rPr>
              <w:t>年末，行业新、改、</w:t>
            </w:r>
            <w:r>
              <w:rPr>
                <w:spacing w:val="9"/>
                <w:sz w:val="20"/>
                <w:szCs w:val="20"/>
              </w:rPr>
              <w:t>扩建项目均使用清洁生产工艺和技</w:t>
            </w:r>
            <w:r>
              <w:rPr>
                <w:spacing w:val="8"/>
                <w:sz w:val="20"/>
                <w:szCs w:val="20"/>
              </w:rPr>
              <w:t>术，工业废水回用率达到</w:t>
            </w:r>
            <w:r>
              <w:rPr>
                <w:rFonts w:ascii="Times New Roman" w:hAnsi="Times New Roman" w:eastAsia="Times New Roman" w:cs="Times New Roman"/>
                <w:spacing w:val="8"/>
                <w:sz w:val="20"/>
                <w:szCs w:val="20"/>
              </w:rPr>
              <w:t>90%</w:t>
            </w:r>
            <w:r>
              <w:rPr>
                <w:spacing w:val="8"/>
                <w:sz w:val="20"/>
                <w:szCs w:val="20"/>
              </w:rPr>
              <w:t>以上，</w:t>
            </w:r>
            <w:r>
              <w:rPr>
                <w:spacing w:val="9"/>
                <w:sz w:val="20"/>
                <w:szCs w:val="20"/>
              </w:rPr>
              <w:t>工业固体废物资源化及无害化处理</w:t>
            </w:r>
            <w:r>
              <w:rPr>
                <w:spacing w:val="5"/>
                <w:sz w:val="20"/>
                <w:szCs w:val="20"/>
              </w:rPr>
              <w:t>处置率达到</w:t>
            </w:r>
            <w:r>
              <w:rPr>
                <w:spacing w:val="-20"/>
                <w:sz w:val="20"/>
                <w:szCs w:val="20"/>
              </w:rPr>
              <w:t xml:space="preserve"> </w:t>
            </w:r>
            <w:r>
              <w:rPr>
                <w:rFonts w:ascii="Times New Roman" w:hAnsi="Times New Roman" w:eastAsia="Times New Roman" w:cs="Times New Roman"/>
                <w:spacing w:val="5"/>
                <w:sz w:val="20"/>
                <w:szCs w:val="20"/>
              </w:rPr>
              <w:t>100%</w:t>
            </w:r>
            <w:r>
              <w:rPr>
                <w:rFonts w:ascii="Times New Roman" w:hAnsi="Times New Roman" w:eastAsia="Times New Roman" w:cs="Times New Roman"/>
                <w:spacing w:val="-22"/>
                <w:sz w:val="20"/>
                <w:szCs w:val="20"/>
              </w:rPr>
              <w:t xml:space="preserve"> </w:t>
            </w:r>
            <w:r>
              <w:rPr>
                <w:spacing w:val="5"/>
                <w:sz w:val="20"/>
                <w:szCs w:val="20"/>
              </w:rPr>
              <w:t>。要遏制重大、杜</w:t>
            </w:r>
            <w:r>
              <w:rPr>
                <w:spacing w:val="9"/>
                <w:sz w:val="20"/>
                <w:szCs w:val="20"/>
              </w:rPr>
              <w:t>绝特别重大环境污染和生态破坏事</w:t>
            </w:r>
            <w:r>
              <w:rPr>
                <w:spacing w:val="5"/>
                <w:sz w:val="20"/>
                <w:szCs w:val="20"/>
              </w:rPr>
              <w:t>故的发生。</w:t>
            </w:r>
          </w:p>
        </w:tc>
        <w:tc>
          <w:tcPr>
            <w:tcW w:w="3415" w:type="dxa"/>
            <w:gridSpan w:val="2"/>
            <w:vAlign w:val="top"/>
          </w:tcPr>
          <w:p w14:paraId="4430191A">
            <w:pPr>
              <w:pStyle w:val="6"/>
              <w:spacing w:before="27" w:line="249" w:lineRule="auto"/>
              <w:ind w:left="109" w:right="93" w:firstLine="417"/>
              <w:jc w:val="both"/>
              <w:rPr>
                <w:sz w:val="20"/>
                <w:szCs w:val="20"/>
              </w:rPr>
            </w:pPr>
            <w:r>
              <w:rPr>
                <w:spacing w:val="14"/>
                <w:sz w:val="20"/>
                <w:szCs w:val="20"/>
              </w:rPr>
              <w:t>项目采用泥浆不落地循环系统</w:t>
            </w:r>
            <w:r>
              <w:rPr>
                <w:spacing w:val="13"/>
                <w:sz w:val="20"/>
                <w:szCs w:val="20"/>
              </w:rPr>
              <w:t>装置，利用防渗泥浆罐代替原泥浆</w:t>
            </w:r>
            <w:r>
              <w:rPr>
                <w:sz w:val="20"/>
                <w:szCs w:val="20"/>
              </w:rPr>
              <w:t>池，符合清洁生产要求，有效减少了</w:t>
            </w:r>
            <w:r>
              <w:rPr>
                <w:spacing w:val="13"/>
                <w:sz w:val="20"/>
                <w:szCs w:val="20"/>
              </w:rPr>
              <w:t>工程开挖带来的环境风险。钻井过程中采用水基钻井泥浆，钻井泥浆循环使用，废弃泥浆、钻井岩屑拉运至内蒙古众宁环保科技有限公司油气田废弃物集中处理厂处理，众宁公司油气田废弃物集中处理厂环</w:t>
            </w:r>
            <w:r>
              <w:rPr>
                <w:sz w:val="20"/>
                <w:szCs w:val="20"/>
              </w:rPr>
              <w:t>保手续齐全，企业已与众宁签订了协议，协议承诺能处理我公司产生的废</w:t>
            </w:r>
            <w:r>
              <w:rPr>
                <w:spacing w:val="13"/>
                <w:sz w:val="20"/>
                <w:szCs w:val="20"/>
              </w:rPr>
              <w:t>弃泥浆、岩屑。固体废物合理化处</w:t>
            </w:r>
            <w:r>
              <w:rPr>
                <w:spacing w:val="3"/>
                <w:sz w:val="20"/>
                <w:szCs w:val="20"/>
              </w:rPr>
              <w:t>置。非正常工况下的落地油</w:t>
            </w:r>
            <w:r>
              <w:rPr>
                <w:spacing w:val="-21"/>
                <w:sz w:val="20"/>
                <w:szCs w:val="20"/>
              </w:rPr>
              <w:t xml:space="preserve"> </w:t>
            </w:r>
            <w:r>
              <w:rPr>
                <w:rFonts w:ascii="Times New Roman" w:hAnsi="Times New Roman" w:eastAsia="Times New Roman" w:cs="Times New Roman"/>
                <w:spacing w:val="3"/>
                <w:sz w:val="20"/>
                <w:szCs w:val="20"/>
              </w:rPr>
              <w:t>100%</w:t>
            </w:r>
            <w:r>
              <w:rPr>
                <w:spacing w:val="3"/>
                <w:sz w:val="20"/>
                <w:szCs w:val="20"/>
              </w:rPr>
              <w:t>进</w:t>
            </w:r>
            <w:r>
              <w:rPr>
                <w:spacing w:val="8"/>
                <w:sz w:val="20"/>
                <w:szCs w:val="20"/>
              </w:rPr>
              <w:t>行回收，交有资质单位处置。</w:t>
            </w:r>
          </w:p>
        </w:tc>
        <w:tc>
          <w:tcPr>
            <w:tcW w:w="531" w:type="dxa"/>
            <w:tcBorders>
              <w:right w:val="single" w:color="000000" w:sz="6" w:space="0"/>
            </w:tcBorders>
            <w:vAlign w:val="top"/>
          </w:tcPr>
          <w:p w14:paraId="7C816642">
            <w:pPr>
              <w:spacing w:line="246" w:lineRule="auto"/>
              <w:rPr>
                <w:rFonts w:ascii="Arial"/>
                <w:sz w:val="21"/>
              </w:rPr>
            </w:pPr>
          </w:p>
          <w:p w14:paraId="3BF0F67B">
            <w:pPr>
              <w:spacing w:line="246" w:lineRule="auto"/>
              <w:rPr>
                <w:rFonts w:ascii="Arial"/>
                <w:sz w:val="21"/>
              </w:rPr>
            </w:pPr>
          </w:p>
          <w:p w14:paraId="72F87500">
            <w:pPr>
              <w:spacing w:line="246" w:lineRule="auto"/>
              <w:rPr>
                <w:rFonts w:ascii="Arial"/>
                <w:sz w:val="21"/>
              </w:rPr>
            </w:pPr>
          </w:p>
          <w:p w14:paraId="2C906687">
            <w:pPr>
              <w:spacing w:line="247" w:lineRule="auto"/>
              <w:rPr>
                <w:rFonts w:ascii="Arial"/>
                <w:sz w:val="21"/>
              </w:rPr>
            </w:pPr>
          </w:p>
          <w:p w14:paraId="6033E831">
            <w:pPr>
              <w:spacing w:line="247" w:lineRule="auto"/>
              <w:rPr>
                <w:rFonts w:ascii="Arial"/>
                <w:sz w:val="21"/>
              </w:rPr>
            </w:pPr>
          </w:p>
          <w:p w14:paraId="0CD8789F">
            <w:pPr>
              <w:spacing w:line="247" w:lineRule="auto"/>
              <w:rPr>
                <w:rFonts w:ascii="Arial"/>
                <w:sz w:val="21"/>
              </w:rPr>
            </w:pPr>
          </w:p>
          <w:p w14:paraId="6867B4E9">
            <w:pPr>
              <w:spacing w:line="247" w:lineRule="auto"/>
              <w:rPr>
                <w:rFonts w:ascii="Arial"/>
                <w:sz w:val="21"/>
              </w:rPr>
            </w:pPr>
          </w:p>
          <w:p w14:paraId="3D0A49FF">
            <w:pPr>
              <w:pStyle w:val="6"/>
              <w:spacing w:before="65" w:line="228" w:lineRule="auto"/>
              <w:ind w:left="57"/>
              <w:rPr>
                <w:sz w:val="20"/>
                <w:szCs w:val="20"/>
              </w:rPr>
            </w:pPr>
            <w:r>
              <w:rPr>
                <w:spacing w:val="3"/>
                <w:sz w:val="20"/>
                <w:szCs w:val="20"/>
              </w:rPr>
              <w:t>符合</w:t>
            </w:r>
          </w:p>
        </w:tc>
      </w:tr>
      <w:tr w14:paraId="4CB39F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1" w:hRule="atLeast"/>
        </w:trPr>
        <w:tc>
          <w:tcPr>
            <w:tcW w:w="1456" w:type="dxa"/>
            <w:vMerge w:val="continue"/>
            <w:tcBorders>
              <w:top w:val="nil"/>
              <w:left w:val="single" w:color="000000" w:sz="6" w:space="0"/>
              <w:bottom w:val="nil"/>
              <w:right w:val="single" w:color="000000" w:sz="2" w:space="0"/>
            </w:tcBorders>
            <w:vAlign w:val="top"/>
          </w:tcPr>
          <w:p w14:paraId="355C8392">
            <w:pPr>
              <w:rPr>
                <w:rFonts w:ascii="Arial"/>
                <w:sz w:val="21"/>
              </w:rPr>
            </w:pPr>
          </w:p>
        </w:tc>
        <w:tc>
          <w:tcPr>
            <w:tcW w:w="3528" w:type="dxa"/>
            <w:gridSpan w:val="2"/>
            <w:tcBorders>
              <w:left w:val="single" w:color="000000" w:sz="2" w:space="0"/>
            </w:tcBorders>
            <w:vAlign w:val="top"/>
          </w:tcPr>
          <w:p w14:paraId="3E319D8A">
            <w:pPr>
              <w:spacing w:line="263" w:lineRule="auto"/>
              <w:rPr>
                <w:rFonts w:ascii="Arial"/>
                <w:sz w:val="21"/>
              </w:rPr>
            </w:pPr>
          </w:p>
          <w:p w14:paraId="58127114">
            <w:pPr>
              <w:spacing w:line="263" w:lineRule="auto"/>
              <w:rPr>
                <w:rFonts w:ascii="Arial"/>
                <w:sz w:val="21"/>
              </w:rPr>
            </w:pPr>
          </w:p>
          <w:p w14:paraId="0DD4C40C">
            <w:pPr>
              <w:spacing w:line="263" w:lineRule="auto"/>
              <w:rPr>
                <w:rFonts w:ascii="Arial"/>
                <w:sz w:val="21"/>
              </w:rPr>
            </w:pPr>
          </w:p>
          <w:p w14:paraId="4A2718C4">
            <w:pPr>
              <w:spacing w:line="264" w:lineRule="auto"/>
              <w:rPr>
                <w:rFonts w:ascii="Arial"/>
                <w:sz w:val="21"/>
              </w:rPr>
            </w:pPr>
          </w:p>
          <w:p w14:paraId="661EE733">
            <w:pPr>
              <w:pStyle w:val="6"/>
              <w:spacing w:before="65" w:line="252" w:lineRule="auto"/>
              <w:ind w:left="16" w:right="2" w:firstLine="10"/>
              <w:rPr>
                <w:sz w:val="20"/>
                <w:szCs w:val="20"/>
              </w:rPr>
            </w:pPr>
            <w:r>
              <w:rPr>
                <w:spacing w:val="5"/>
                <w:sz w:val="20"/>
                <w:szCs w:val="20"/>
              </w:rPr>
              <w:t>（五）在环境敏感区进行石油天然气勘探、开采的，要在开发前对生态、环境影响进行充分论证，并严格执行环境影</w:t>
            </w:r>
            <w:r>
              <w:rPr>
                <w:spacing w:val="9"/>
                <w:sz w:val="20"/>
                <w:szCs w:val="20"/>
              </w:rPr>
              <w:t>响评价文件的要求，积极采取缓解生</w:t>
            </w:r>
            <w:r>
              <w:rPr>
                <w:spacing w:val="8"/>
                <w:sz w:val="20"/>
                <w:szCs w:val="20"/>
              </w:rPr>
              <w:t>态、环境破坏的措施。</w:t>
            </w:r>
          </w:p>
        </w:tc>
        <w:tc>
          <w:tcPr>
            <w:tcW w:w="3415" w:type="dxa"/>
            <w:gridSpan w:val="2"/>
            <w:vAlign w:val="top"/>
          </w:tcPr>
          <w:p w14:paraId="32BB6075">
            <w:pPr>
              <w:pStyle w:val="6"/>
              <w:spacing w:before="38" w:line="248" w:lineRule="auto"/>
              <w:ind w:left="107" w:right="27" w:firstLine="423"/>
              <w:rPr>
                <w:sz w:val="20"/>
                <w:szCs w:val="20"/>
              </w:rPr>
            </w:pPr>
            <w:r>
              <w:rPr>
                <w:spacing w:val="9"/>
                <w:sz w:val="20"/>
                <w:szCs w:val="20"/>
              </w:rPr>
              <w:t>根据项目土地勘测定界技术报</w:t>
            </w:r>
            <w:r>
              <w:rPr>
                <w:spacing w:val="3"/>
                <w:sz w:val="20"/>
                <w:szCs w:val="20"/>
              </w:rPr>
              <w:t>告书，临时占用基本农田</w:t>
            </w:r>
            <w:r>
              <w:rPr>
                <w:spacing w:val="-8"/>
                <w:sz w:val="20"/>
                <w:szCs w:val="20"/>
              </w:rPr>
              <w:t xml:space="preserve"> </w:t>
            </w:r>
            <w:r>
              <w:rPr>
                <w:rFonts w:ascii="Times New Roman" w:hAnsi="Times New Roman" w:eastAsia="Times New Roman" w:cs="Times New Roman"/>
                <w:spacing w:val="3"/>
                <w:sz w:val="20"/>
                <w:szCs w:val="20"/>
              </w:rPr>
              <w:t>12987m</w:t>
            </w:r>
            <w:r>
              <w:rPr>
                <w:rFonts w:ascii="Times New Roman" w:hAnsi="Times New Roman" w:eastAsia="Times New Roman" w:cs="Times New Roman"/>
                <w:spacing w:val="3"/>
                <w:position w:val="6"/>
                <w:sz w:val="13"/>
                <w:szCs w:val="13"/>
              </w:rPr>
              <w:t>2</w:t>
            </w:r>
            <w:r>
              <w:rPr>
                <w:spacing w:val="3"/>
                <w:sz w:val="20"/>
                <w:szCs w:val="20"/>
              </w:rPr>
              <w:t>，</w:t>
            </w:r>
            <w:r>
              <w:rPr>
                <w:sz w:val="20"/>
                <w:szCs w:val="20"/>
              </w:rPr>
              <w:t xml:space="preserve"> </w:t>
            </w:r>
            <w:r>
              <w:rPr>
                <w:rFonts w:ascii="Times New Roman" w:hAnsi="Times New Roman" w:eastAsia="Times New Roman" w:cs="Times New Roman"/>
                <w:spacing w:val="1"/>
                <w:sz w:val="20"/>
                <w:szCs w:val="20"/>
              </w:rPr>
              <w:t>2026</w:t>
            </w:r>
            <w:r>
              <w:rPr>
                <w:rFonts w:ascii="Times New Roman" w:hAnsi="Times New Roman" w:eastAsia="Times New Roman" w:cs="Times New Roman"/>
                <w:spacing w:val="2"/>
                <w:sz w:val="20"/>
                <w:szCs w:val="20"/>
              </w:rPr>
              <w:t xml:space="preserve"> </w:t>
            </w:r>
            <w:r>
              <w:rPr>
                <w:spacing w:val="1"/>
                <w:sz w:val="20"/>
                <w:szCs w:val="20"/>
              </w:rPr>
              <w:t>年</w:t>
            </w:r>
            <w:r>
              <w:rPr>
                <w:spacing w:val="-57"/>
                <w:sz w:val="20"/>
                <w:szCs w:val="20"/>
              </w:rPr>
              <w:t xml:space="preserve"> </w:t>
            </w:r>
            <w:r>
              <w:rPr>
                <w:rFonts w:ascii="Times New Roman" w:hAnsi="Times New Roman" w:eastAsia="Times New Roman" w:cs="Times New Roman"/>
                <w:spacing w:val="1"/>
                <w:sz w:val="20"/>
                <w:szCs w:val="20"/>
              </w:rPr>
              <w:t xml:space="preserve">5 </w:t>
            </w:r>
            <w:r>
              <w:rPr>
                <w:spacing w:val="1"/>
                <w:sz w:val="20"/>
                <w:szCs w:val="20"/>
              </w:rPr>
              <w:t>月</w:t>
            </w:r>
            <w:r>
              <w:rPr>
                <w:spacing w:val="-42"/>
                <w:sz w:val="20"/>
                <w:szCs w:val="20"/>
              </w:rPr>
              <w:t xml:space="preserve"> </w:t>
            </w:r>
            <w:r>
              <w:rPr>
                <w:rFonts w:ascii="Times New Roman" w:hAnsi="Times New Roman" w:eastAsia="Times New Roman" w:cs="Times New Roman"/>
                <w:spacing w:val="1"/>
                <w:sz w:val="20"/>
                <w:szCs w:val="20"/>
              </w:rPr>
              <w:t>19</w:t>
            </w:r>
            <w:r>
              <w:rPr>
                <w:rFonts w:ascii="Times New Roman" w:hAnsi="Times New Roman" w:eastAsia="Times New Roman" w:cs="Times New Roman"/>
                <w:spacing w:val="26"/>
                <w:w w:val="101"/>
                <w:sz w:val="20"/>
                <w:szCs w:val="20"/>
              </w:rPr>
              <w:t xml:space="preserve"> </w:t>
            </w:r>
            <w:r>
              <w:rPr>
                <w:spacing w:val="1"/>
                <w:sz w:val="20"/>
                <w:szCs w:val="20"/>
              </w:rPr>
              <w:t>日巴彦淖尔市自然资</w:t>
            </w:r>
            <w:r>
              <w:rPr>
                <w:spacing w:val="9"/>
                <w:sz w:val="20"/>
                <w:szCs w:val="20"/>
              </w:rPr>
              <w:t>源局出具《关于中国石油天然气股份有限公司华北油田巴彦勘探开发</w:t>
            </w:r>
            <w:r>
              <w:rPr>
                <w:spacing w:val="7"/>
                <w:sz w:val="20"/>
                <w:szCs w:val="20"/>
              </w:rPr>
              <w:t>分公司扎格</w:t>
            </w:r>
            <w:r>
              <w:rPr>
                <w:spacing w:val="-23"/>
                <w:sz w:val="20"/>
                <w:szCs w:val="20"/>
              </w:rPr>
              <w:t xml:space="preserve"> </w:t>
            </w:r>
            <w:r>
              <w:rPr>
                <w:rFonts w:ascii="Times New Roman" w:hAnsi="Times New Roman" w:eastAsia="Times New Roman" w:cs="Times New Roman"/>
                <w:spacing w:val="7"/>
                <w:sz w:val="20"/>
                <w:szCs w:val="20"/>
              </w:rPr>
              <w:t xml:space="preserve">9X </w:t>
            </w:r>
            <w:r>
              <w:rPr>
                <w:spacing w:val="7"/>
                <w:sz w:val="20"/>
                <w:szCs w:val="20"/>
              </w:rPr>
              <w:t>井油气勘探开发项</w:t>
            </w:r>
            <w:r>
              <w:rPr>
                <w:spacing w:val="9"/>
                <w:sz w:val="20"/>
                <w:szCs w:val="20"/>
              </w:rPr>
              <w:t>目临时用地的批复》同意项目用地申请，项目涉及占用永久基本农田</w:t>
            </w:r>
            <w:r>
              <w:rPr>
                <w:spacing w:val="4"/>
                <w:sz w:val="20"/>
                <w:szCs w:val="20"/>
              </w:rPr>
              <w:t xml:space="preserve"> </w:t>
            </w:r>
            <w:r>
              <w:rPr>
                <w:rFonts w:ascii="Times New Roman" w:hAnsi="Times New Roman" w:eastAsia="Times New Roman" w:cs="Times New Roman"/>
                <w:spacing w:val="2"/>
                <w:sz w:val="20"/>
                <w:szCs w:val="20"/>
              </w:rPr>
              <w:t>1.2987</w:t>
            </w:r>
            <w:r>
              <w:rPr>
                <w:rFonts w:ascii="Times New Roman" w:hAnsi="Times New Roman" w:eastAsia="Times New Roman" w:cs="Times New Roman"/>
                <w:spacing w:val="31"/>
                <w:w w:val="101"/>
                <w:sz w:val="20"/>
                <w:szCs w:val="20"/>
              </w:rPr>
              <w:t xml:space="preserve"> </w:t>
            </w:r>
            <w:r>
              <w:rPr>
                <w:spacing w:val="2"/>
                <w:sz w:val="20"/>
                <w:szCs w:val="20"/>
              </w:rPr>
              <w:t>公顷。已编制土地复垦方案。</w:t>
            </w:r>
            <w:r>
              <w:rPr>
                <w:spacing w:val="9"/>
                <w:sz w:val="20"/>
                <w:szCs w:val="20"/>
              </w:rPr>
              <w:t>项目开工前对表层土进行剥离并收集暂存，勘探结束后按照要求进行复垦，确保项目完成后恢复到原有</w:t>
            </w:r>
            <w:r>
              <w:rPr>
                <w:spacing w:val="4"/>
                <w:sz w:val="20"/>
                <w:szCs w:val="20"/>
              </w:rPr>
              <w:t>状态。</w:t>
            </w:r>
          </w:p>
        </w:tc>
        <w:tc>
          <w:tcPr>
            <w:tcW w:w="531" w:type="dxa"/>
            <w:tcBorders>
              <w:right w:val="single" w:color="000000" w:sz="6" w:space="0"/>
            </w:tcBorders>
            <w:vAlign w:val="top"/>
          </w:tcPr>
          <w:p w14:paraId="09E84E69">
            <w:pPr>
              <w:spacing w:line="265" w:lineRule="auto"/>
              <w:rPr>
                <w:rFonts w:ascii="Arial"/>
                <w:sz w:val="21"/>
              </w:rPr>
            </w:pPr>
          </w:p>
          <w:p w14:paraId="16DFFDDE">
            <w:pPr>
              <w:spacing w:line="265" w:lineRule="auto"/>
              <w:rPr>
                <w:rFonts w:ascii="Arial"/>
                <w:sz w:val="21"/>
              </w:rPr>
            </w:pPr>
          </w:p>
          <w:p w14:paraId="22062DB0">
            <w:pPr>
              <w:spacing w:line="266" w:lineRule="auto"/>
              <w:rPr>
                <w:rFonts w:ascii="Arial"/>
                <w:sz w:val="21"/>
              </w:rPr>
            </w:pPr>
          </w:p>
          <w:p w14:paraId="03A12265">
            <w:pPr>
              <w:spacing w:line="266" w:lineRule="auto"/>
              <w:rPr>
                <w:rFonts w:ascii="Arial"/>
                <w:sz w:val="21"/>
              </w:rPr>
            </w:pPr>
          </w:p>
          <w:p w14:paraId="0E3F04F6">
            <w:pPr>
              <w:spacing w:line="266" w:lineRule="auto"/>
              <w:rPr>
                <w:rFonts w:ascii="Arial"/>
                <w:sz w:val="21"/>
              </w:rPr>
            </w:pPr>
          </w:p>
          <w:p w14:paraId="740E1502">
            <w:pPr>
              <w:spacing w:line="266" w:lineRule="auto"/>
              <w:rPr>
                <w:rFonts w:ascii="Arial"/>
                <w:sz w:val="21"/>
              </w:rPr>
            </w:pPr>
          </w:p>
          <w:p w14:paraId="045AB5D1">
            <w:pPr>
              <w:pStyle w:val="6"/>
              <w:spacing w:before="65" w:line="228" w:lineRule="auto"/>
              <w:ind w:left="57"/>
              <w:rPr>
                <w:sz w:val="20"/>
                <w:szCs w:val="20"/>
              </w:rPr>
            </w:pPr>
            <w:r>
              <w:rPr>
                <w:spacing w:val="3"/>
                <w:sz w:val="20"/>
                <w:szCs w:val="20"/>
              </w:rPr>
              <w:t>符合</w:t>
            </w:r>
          </w:p>
        </w:tc>
      </w:tr>
      <w:tr w14:paraId="6792B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456" w:type="dxa"/>
            <w:vMerge w:val="continue"/>
            <w:tcBorders>
              <w:top w:val="nil"/>
              <w:left w:val="single" w:color="000000" w:sz="6" w:space="0"/>
              <w:bottom w:val="nil"/>
              <w:right w:val="single" w:color="000000" w:sz="2" w:space="0"/>
            </w:tcBorders>
            <w:vAlign w:val="top"/>
          </w:tcPr>
          <w:p w14:paraId="6AD08A72">
            <w:pPr>
              <w:rPr>
                <w:rFonts w:ascii="Arial"/>
                <w:sz w:val="21"/>
              </w:rPr>
            </w:pPr>
          </w:p>
        </w:tc>
        <w:tc>
          <w:tcPr>
            <w:tcW w:w="3528" w:type="dxa"/>
            <w:gridSpan w:val="2"/>
            <w:tcBorders>
              <w:left w:val="single" w:color="000000" w:sz="2" w:space="0"/>
            </w:tcBorders>
            <w:vAlign w:val="top"/>
          </w:tcPr>
          <w:p w14:paraId="5BDC16B9">
            <w:pPr>
              <w:pStyle w:val="6"/>
              <w:spacing w:before="103" w:line="228" w:lineRule="auto"/>
              <w:ind w:left="1148"/>
              <w:rPr>
                <w:sz w:val="20"/>
                <w:szCs w:val="20"/>
              </w:rPr>
            </w:pPr>
            <w:r>
              <w:rPr>
                <w:spacing w:val="7"/>
                <w:sz w:val="20"/>
                <w:szCs w:val="20"/>
              </w:rPr>
              <w:t>二、清洁生产</w:t>
            </w:r>
          </w:p>
        </w:tc>
        <w:tc>
          <w:tcPr>
            <w:tcW w:w="3415" w:type="dxa"/>
            <w:gridSpan w:val="2"/>
            <w:vAlign w:val="top"/>
          </w:tcPr>
          <w:p w14:paraId="5D7E5CD7">
            <w:pPr>
              <w:rPr>
                <w:rFonts w:ascii="Arial"/>
                <w:sz w:val="21"/>
              </w:rPr>
            </w:pPr>
          </w:p>
        </w:tc>
        <w:tc>
          <w:tcPr>
            <w:tcW w:w="531" w:type="dxa"/>
            <w:tcBorders>
              <w:right w:val="single" w:color="000000" w:sz="6" w:space="0"/>
            </w:tcBorders>
            <w:vAlign w:val="top"/>
          </w:tcPr>
          <w:p w14:paraId="497B2D80">
            <w:pPr>
              <w:rPr>
                <w:rFonts w:ascii="Arial"/>
                <w:sz w:val="21"/>
              </w:rPr>
            </w:pPr>
          </w:p>
        </w:tc>
      </w:tr>
      <w:tr w14:paraId="5B8E8E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3" w:hRule="atLeast"/>
        </w:trPr>
        <w:tc>
          <w:tcPr>
            <w:tcW w:w="1456" w:type="dxa"/>
            <w:vMerge w:val="continue"/>
            <w:tcBorders>
              <w:top w:val="nil"/>
              <w:left w:val="single" w:color="000000" w:sz="6" w:space="0"/>
              <w:bottom w:val="single" w:color="000000" w:sz="6" w:space="0"/>
              <w:right w:val="single" w:color="000000" w:sz="2" w:space="0"/>
            </w:tcBorders>
            <w:vAlign w:val="top"/>
          </w:tcPr>
          <w:p w14:paraId="01866828">
            <w:pPr>
              <w:rPr>
                <w:rFonts w:ascii="Arial"/>
                <w:sz w:val="21"/>
              </w:rPr>
            </w:pPr>
          </w:p>
        </w:tc>
        <w:tc>
          <w:tcPr>
            <w:tcW w:w="3528" w:type="dxa"/>
            <w:gridSpan w:val="2"/>
            <w:tcBorders>
              <w:left w:val="single" w:color="000000" w:sz="2" w:space="0"/>
              <w:bottom w:val="single" w:color="000000" w:sz="6" w:space="0"/>
            </w:tcBorders>
            <w:vAlign w:val="top"/>
          </w:tcPr>
          <w:p w14:paraId="49B0B32C">
            <w:pPr>
              <w:pStyle w:val="6"/>
              <w:spacing w:before="42" w:line="247" w:lineRule="auto"/>
              <w:ind w:left="19" w:right="2" w:firstLine="8"/>
              <w:jc w:val="both"/>
              <w:rPr>
                <w:sz w:val="20"/>
                <w:szCs w:val="20"/>
              </w:rPr>
            </w:pPr>
            <w:r>
              <w:rPr>
                <w:spacing w:val="5"/>
                <w:sz w:val="20"/>
                <w:szCs w:val="20"/>
              </w:rPr>
              <w:t>（二）油气田开发不得使用含有国际公约禁用化学物质的油气田化学剂，逐步淘汰微毒及以上油气田化学剂，鼓励使</w:t>
            </w:r>
            <w:r>
              <w:rPr>
                <w:spacing w:val="7"/>
                <w:sz w:val="20"/>
                <w:szCs w:val="20"/>
              </w:rPr>
              <w:t>用无毒油气田化学剂。</w:t>
            </w:r>
          </w:p>
        </w:tc>
        <w:tc>
          <w:tcPr>
            <w:tcW w:w="3415" w:type="dxa"/>
            <w:gridSpan w:val="2"/>
            <w:tcBorders>
              <w:bottom w:val="single" w:color="000000" w:sz="6" w:space="0"/>
            </w:tcBorders>
            <w:vAlign w:val="top"/>
          </w:tcPr>
          <w:p w14:paraId="3BCBDAF7">
            <w:pPr>
              <w:pStyle w:val="6"/>
              <w:spacing w:before="177" w:line="252" w:lineRule="auto"/>
              <w:ind w:left="8" w:firstLine="424"/>
              <w:jc w:val="both"/>
              <w:rPr>
                <w:sz w:val="20"/>
                <w:szCs w:val="20"/>
              </w:rPr>
            </w:pPr>
            <w:r>
              <w:rPr>
                <w:spacing w:val="12"/>
                <w:sz w:val="20"/>
                <w:szCs w:val="20"/>
              </w:rPr>
              <w:t>项目使用水基泥浆，水基泥浆配置所需原辅材料不含国际公约禁用化</w:t>
            </w:r>
            <w:r>
              <w:rPr>
                <w:spacing w:val="8"/>
                <w:sz w:val="20"/>
                <w:szCs w:val="20"/>
              </w:rPr>
              <w:t>学物质的油气田化学剂。</w:t>
            </w:r>
          </w:p>
        </w:tc>
        <w:tc>
          <w:tcPr>
            <w:tcW w:w="531" w:type="dxa"/>
            <w:tcBorders>
              <w:bottom w:val="single" w:color="000000" w:sz="6" w:space="0"/>
              <w:right w:val="single" w:color="000000" w:sz="6" w:space="0"/>
            </w:tcBorders>
            <w:vAlign w:val="top"/>
          </w:tcPr>
          <w:p w14:paraId="728423FE">
            <w:pPr>
              <w:spacing w:line="383" w:lineRule="auto"/>
              <w:rPr>
                <w:rFonts w:ascii="Arial"/>
                <w:sz w:val="21"/>
              </w:rPr>
            </w:pPr>
          </w:p>
          <w:p w14:paraId="7A3AF26D">
            <w:pPr>
              <w:pStyle w:val="6"/>
              <w:spacing w:before="65" w:line="228" w:lineRule="auto"/>
              <w:ind w:left="57"/>
              <w:rPr>
                <w:sz w:val="20"/>
                <w:szCs w:val="20"/>
              </w:rPr>
            </w:pPr>
            <w:r>
              <w:rPr>
                <w:spacing w:val="3"/>
                <w:sz w:val="20"/>
                <w:szCs w:val="20"/>
              </w:rPr>
              <w:t>符合</w:t>
            </w:r>
          </w:p>
        </w:tc>
      </w:tr>
    </w:tbl>
    <w:p w14:paraId="2BC61038">
      <w:pPr>
        <w:rPr>
          <w:rFonts w:ascii="Arial"/>
          <w:sz w:val="21"/>
        </w:rPr>
      </w:pPr>
    </w:p>
    <w:p w14:paraId="5A04BF3E">
      <w:pPr>
        <w:rPr>
          <w:rFonts w:ascii="Arial" w:hAnsi="Arial" w:eastAsia="Arial" w:cs="Arial"/>
          <w:sz w:val="21"/>
          <w:szCs w:val="21"/>
        </w:rPr>
        <w:sectPr>
          <w:footerReference r:id="rId11" w:type="default"/>
          <w:pgSz w:w="11906" w:h="16839"/>
          <w:pgMar w:top="400" w:right="1395" w:bottom="1237" w:left="1565" w:header="0" w:footer="1078" w:gutter="0"/>
          <w:cols w:space="720" w:num="1"/>
        </w:sectPr>
      </w:pPr>
    </w:p>
    <w:p w14:paraId="41F55D3B">
      <w:pPr>
        <w:spacing w:before="56"/>
      </w:pPr>
    </w:p>
    <w:p w14:paraId="4B499378">
      <w:pPr>
        <w:spacing w:before="56"/>
      </w:pPr>
    </w:p>
    <w:p w14:paraId="3FD0DB9B">
      <w:pPr>
        <w:spacing w:before="55"/>
      </w:pPr>
    </w:p>
    <w:p w14:paraId="6B35D083">
      <w:pPr>
        <w:spacing w:before="55"/>
      </w:pPr>
    </w:p>
    <w:tbl>
      <w:tblPr>
        <w:tblStyle w:val="5"/>
        <w:tblW w:w="8930"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56"/>
        <w:gridCol w:w="3528"/>
        <w:gridCol w:w="91"/>
        <w:gridCol w:w="3123"/>
        <w:gridCol w:w="201"/>
        <w:gridCol w:w="531"/>
      </w:tblGrid>
      <w:tr w14:paraId="785FBD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9" w:hRule="atLeast"/>
        </w:trPr>
        <w:tc>
          <w:tcPr>
            <w:tcW w:w="1456" w:type="dxa"/>
            <w:vMerge w:val="restart"/>
            <w:tcBorders>
              <w:top w:val="single" w:color="000000" w:sz="6" w:space="0"/>
              <w:left w:val="single" w:color="000000" w:sz="6" w:space="0"/>
              <w:bottom w:val="nil"/>
              <w:right w:val="single" w:color="000000" w:sz="2" w:space="0"/>
            </w:tcBorders>
            <w:vAlign w:val="top"/>
          </w:tcPr>
          <w:p w14:paraId="46CDD3EC">
            <w:pPr>
              <w:rPr>
                <w:rFonts w:ascii="Arial"/>
                <w:sz w:val="21"/>
              </w:rPr>
            </w:pPr>
          </w:p>
        </w:tc>
        <w:tc>
          <w:tcPr>
            <w:tcW w:w="3528" w:type="dxa"/>
            <w:tcBorders>
              <w:top w:val="single" w:color="000000" w:sz="6" w:space="0"/>
              <w:left w:val="single" w:color="000000" w:sz="2" w:space="0"/>
            </w:tcBorders>
            <w:vAlign w:val="top"/>
          </w:tcPr>
          <w:p w14:paraId="5667CB27">
            <w:pPr>
              <w:pStyle w:val="6"/>
              <w:spacing w:before="69" w:line="253" w:lineRule="auto"/>
              <w:ind w:left="127" w:right="102" w:firstLine="8"/>
              <w:rPr>
                <w:sz w:val="20"/>
                <w:szCs w:val="20"/>
              </w:rPr>
            </w:pPr>
            <w:r>
              <w:rPr>
                <w:spacing w:val="4"/>
                <w:sz w:val="20"/>
                <w:szCs w:val="20"/>
              </w:rPr>
              <w:t>（三）在勘探开发过程中，应防止产</w:t>
            </w:r>
            <w:r>
              <w:rPr>
                <w:spacing w:val="5"/>
                <w:sz w:val="20"/>
                <w:szCs w:val="20"/>
              </w:rPr>
              <w:t>生落地原油。其中井下作业过程中配备泄油器、刮油器等。落地原油应及</w:t>
            </w:r>
            <w:r>
              <w:rPr>
                <w:spacing w:val="9"/>
                <w:sz w:val="20"/>
                <w:szCs w:val="20"/>
              </w:rPr>
              <w:t>时回收，落地原油回收率应达到</w:t>
            </w:r>
          </w:p>
          <w:p w14:paraId="24A168DE">
            <w:pPr>
              <w:pStyle w:val="6"/>
              <w:spacing w:before="31" w:line="186" w:lineRule="auto"/>
              <w:ind w:left="141"/>
              <w:rPr>
                <w:sz w:val="20"/>
                <w:szCs w:val="20"/>
              </w:rPr>
            </w:pPr>
            <w:r>
              <w:rPr>
                <w:rFonts w:ascii="Times New Roman" w:hAnsi="Times New Roman" w:eastAsia="Times New Roman" w:cs="Times New Roman"/>
                <w:spacing w:val="-1"/>
                <w:sz w:val="20"/>
                <w:szCs w:val="20"/>
              </w:rPr>
              <w:t>100%</w:t>
            </w:r>
            <w:r>
              <w:rPr>
                <w:spacing w:val="-1"/>
                <w:sz w:val="20"/>
                <w:szCs w:val="20"/>
              </w:rPr>
              <w:t>。</w:t>
            </w:r>
          </w:p>
        </w:tc>
        <w:tc>
          <w:tcPr>
            <w:tcW w:w="3415" w:type="dxa"/>
            <w:gridSpan w:val="3"/>
            <w:tcBorders>
              <w:top w:val="single" w:color="000000" w:sz="6" w:space="0"/>
            </w:tcBorders>
            <w:vAlign w:val="top"/>
          </w:tcPr>
          <w:p w14:paraId="7CD9C02B">
            <w:pPr>
              <w:pStyle w:val="6"/>
              <w:spacing w:before="71" w:line="245" w:lineRule="auto"/>
              <w:ind w:left="111" w:right="97" w:firstLine="421"/>
              <w:jc w:val="both"/>
              <w:rPr>
                <w:sz w:val="20"/>
                <w:szCs w:val="20"/>
              </w:rPr>
            </w:pPr>
            <w:r>
              <w:rPr>
                <w:spacing w:val="13"/>
                <w:sz w:val="20"/>
                <w:szCs w:val="20"/>
              </w:rPr>
              <w:t>现场铺设防渗膜，防止原油对土壤环境造成影响。非正常工况下产生的落地油，及时将落地油连同</w:t>
            </w:r>
            <w:r>
              <w:rPr>
                <w:spacing w:val="3"/>
                <w:sz w:val="20"/>
                <w:szCs w:val="20"/>
              </w:rPr>
              <w:t>周边污染土壤铲除，落地油</w:t>
            </w:r>
            <w:r>
              <w:rPr>
                <w:spacing w:val="-23"/>
                <w:sz w:val="20"/>
                <w:szCs w:val="20"/>
              </w:rPr>
              <w:t xml:space="preserve"> </w:t>
            </w:r>
            <w:r>
              <w:rPr>
                <w:rFonts w:ascii="Times New Roman" w:hAnsi="Times New Roman" w:eastAsia="Times New Roman" w:cs="Times New Roman"/>
                <w:spacing w:val="3"/>
                <w:sz w:val="20"/>
                <w:szCs w:val="20"/>
              </w:rPr>
              <w:t>100%</w:t>
            </w:r>
            <w:r>
              <w:rPr>
                <w:spacing w:val="3"/>
                <w:sz w:val="20"/>
                <w:szCs w:val="20"/>
              </w:rPr>
              <w:t>进</w:t>
            </w:r>
            <w:r>
              <w:rPr>
                <w:spacing w:val="8"/>
                <w:sz w:val="20"/>
                <w:szCs w:val="20"/>
              </w:rPr>
              <w:t>行回收，交有资质单位处置。</w:t>
            </w:r>
          </w:p>
        </w:tc>
        <w:tc>
          <w:tcPr>
            <w:tcW w:w="531" w:type="dxa"/>
            <w:tcBorders>
              <w:top w:val="single" w:color="000000" w:sz="6" w:space="0"/>
              <w:right w:val="single" w:color="000000" w:sz="6" w:space="0"/>
            </w:tcBorders>
            <w:vAlign w:val="top"/>
          </w:tcPr>
          <w:p w14:paraId="099F2A1D">
            <w:pPr>
              <w:spacing w:line="273" w:lineRule="auto"/>
              <w:rPr>
                <w:rFonts w:ascii="Arial"/>
                <w:sz w:val="21"/>
              </w:rPr>
            </w:pPr>
          </w:p>
          <w:p w14:paraId="4A6C4B1F">
            <w:pPr>
              <w:spacing w:line="274" w:lineRule="auto"/>
              <w:rPr>
                <w:rFonts w:ascii="Arial"/>
                <w:sz w:val="21"/>
              </w:rPr>
            </w:pPr>
          </w:p>
          <w:p w14:paraId="2AC1EA9D">
            <w:pPr>
              <w:pStyle w:val="6"/>
              <w:spacing w:before="65" w:line="228" w:lineRule="auto"/>
              <w:ind w:left="57"/>
              <w:rPr>
                <w:sz w:val="20"/>
                <w:szCs w:val="20"/>
              </w:rPr>
            </w:pPr>
            <w:r>
              <w:rPr>
                <w:spacing w:val="3"/>
                <w:sz w:val="20"/>
                <w:szCs w:val="20"/>
              </w:rPr>
              <w:t>符合</w:t>
            </w:r>
          </w:p>
        </w:tc>
      </w:tr>
      <w:tr w14:paraId="469C2E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5" w:hRule="atLeast"/>
        </w:trPr>
        <w:tc>
          <w:tcPr>
            <w:tcW w:w="1456" w:type="dxa"/>
            <w:vMerge w:val="continue"/>
            <w:tcBorders>
              <w:top w:val="nil"/>
              <w:left w:val="single" w:color="000000" w:sz="6" w:space="0"/>
              <w:bottom w:val="nil"/>
              <w:right w:val="single" w:color="000000" w:sz="2" w:space="0"/>
            </w:tcBorders>
            <w:vAlign w:val="top"/>
          </w:tcPr>
          <w:p w14:paraId="742DEC77">
            <w:pPr>
              <w:rPr>
                <w:rFonts w:ascii="Arial"/>
                <w:sz w:val="21"/>
              </w:rPr>
            </w:pPr>
          </w:p>
        </w:tc>
        <w:tc>
          <w:tcPr>
            <w:tcW w:w="3528" w:type="dxa"/>
            <w:tcBorders>
              <w:left w:val="single" w:color="000000" w:sz="2" w:space="0"/>
            </w:tcBorders>
            <w:vAlign w:val="top"/>
          </w:tcPr>
          <w:p w14:paraId="4F4EF2E1">
            <w:pPr>
              <w:spacing w:line="258" w:lineRule="auto"/>
              <w:rPr>
                <w:rFonts w:ascii="Arial"/>
                <w:sz w:val="21"/>
              </w:rPr>
            </w:pPr>
          </w:p>
          <w:p w14:paraId="14353831">
            <w:pPr>
              <w:spacing w:line="258" w:lineRule="auto"/>
              <w:rPr>
                <w:rFonts w:ascii="Arial"/>
                <w:sz w:val="21"/>
              </w:rPr>
            </w:pPr>
          </w:p>
          <w:p w14:paraId="3DEC84B5">
            <w:pPr>
              <w:spacing w:line="259" w:lineRule="auto"/>
              <w:rPr>
                <w:rFonts w:ascii="Arial"/>
                <w:sz w:val="21"/>
              </w:rPr>
            </w:pPr>
          </w:p>
          <w:p w14:paraId="10AC6EDE">
            <w:pPr>
              <w:pStyle w:val="6"/>
              <w:spacing w:before="65" w:line="252" w:lineRule="auto"/>
              <w:ind w:left="17" w:right="2" w:firstLine="10"/>
              <w:rPr>
                <w:sz w:val="20"/>
                <w:szCs w:val="20"/>
              </w:rPr>
            </w:pPr>
            <w:r>
              <w:rPr>
                <w:spacing w:val="5"/>
                <w:sz w:val="20"/>
                <w:szCs w:val="20"/>
              </w:rPr>
              <w:t>（五）在钻井过程中，鼓励采用环境友</w:t>
            </w:r>
            <w:r>
              <w:rPr>
                <w:spacing w:val="9"/>
                <w:sz w:val="20"/>
                <w:szCs w:val="20"/>
              </w:rPr>
              <w:t>好的钻井液体系；配备完善的固控设</w:t>
            </w:r>
            <w:r>
              <w:rPr>
                <w:spacing w:val="3"/>
                <w:sz w:val="20"/>
                <w:szCs w:val="20"/>
              </w:rPr>
              <w:t>备，钻井液循环率达到</w:t>
            </w:r>
            <w:r>
              <w:rPr>
                <w:spacing w:val="-21"/>
                <w:sz w:val="20"/>
                <w:szCs w:val="20"/>
              </w:rPr>
              <w:t xml:space="preserve"> </w:t>
            </w:r>
            <w:r>
              <w:rPr>
                <w:rFonts w:ascii="Times New Roman" w:hAnsi="Times New Roman" w:eastAsia="Times New Roman" w:cs="Times New Roman"/>
                <w:spacing w:val="3"/>
                <w:sz w:val="20"/>
                <w:szCs w:val="20"/>
              </w:rPr>
              <w:t>95%</w:t>
            </w:r>
            <w:r>
              <w:rPr>
                <w:spacing w:val="3"/>
                <w:sz w:val="20"/>
                <w:szCs w:val="20"/>
              </w:rPr>
              <w:t>以上；钻井</w:t>
            </w:r>
            <w:r>
              <w:rPr>
                <w:spacing w:val="8"/>
                <w:sz w:val="20"/>
                <w:szCs w:val="20"/>
              </w:rPr>
              <w:t>过程产生的废水应回用。</w:t>
            </w:r>
          </w:p>
        </w:tc>
        <w:tc>
          <w:tcPr>
            <w:tcW w:w="3415" w:type="dxa"/>
            <w:gridSpan w:val="3"/>
            <w:vAlign w:val="top"/>
          </w:tcPr>
          <w:p w14:paraId="02919A1B">
            <w:pPr>
              <w:pStyle w:val="6"/>
              <w:spacing w:before="28" w:line="248" w:lineRule="auto"/>
              <w:ind w:left="60" w:right="33" w:firstLine="423"/>
              <w:jc w:val="both"/>
              <w:rPr>
                <w:sz w:val="20"/>
                <w:szCs w:val="20"/>
              </w:rPr>
            </w:pPr>
            <w:r>
              <w:rPr>
                <w:spacing w:val="5"/>
                <w:sz w:val="20"/>
                <w:szCs w:val="20"/>
              </w:rPr>
              <w:t>项目钻井泥浆使用水基泥浆，并</w:t>
            </w:r>
            <w:r>
              <w:rPr>
                <w:spacing w:val="6"/>
                <w:sz w:val="20"/>
                <w:szCs w:val="20"/>
              </w:rPr>
              <w:t>配备完善的固控设备，钻井泥浆循环</w:t>
            </w:r>
            <w:r>
              <w:rPr>
                <w:spacing w:val="4"/>
                <w:sz w:val="20"/>
                <w:szCs w:val="20"/>
              </w:rPr>
              <w:t>率</w:t>
            </w:r>
            <w:r>
              <w:rPr>
                <w:spacing w:val="-39"/>
                <w:sz w:val="20"/>
                <w:szCs w:val="20"/>
              </w:rPr>
              <w:t xml:space="preserve"> </w:t>
            </w:r>
            <w:r>
              <w:rPr>
                <w:rFonts w:ascii="Times New Roman" w:hAnsi="Times New Roman" w:eastAsia="Times New Roman" w:cs="Times New Roman"/>
                <w:spacing w:val="4"/>
                <w:sz w:val="20"/>
                <w:szCs w:val="20"/>
              </w:rPr>
              <w:t>95%</w:t>
            </w:r>
            <w:r>
              <w:rPr>
                <w:spacing w:val="4"/>
                <w:sz w:val="20"/>
                <w:szCs w:val="20"/>
              </w:rPr>
              <w:t>，最终含水的废弃泥浆、岩屑</w:t>
            </w:r>
            <w:r>
              <w:rPr>
                <w:spacing w:val="6"/>
                <w:sz w:val="20"/>
                <w:szCs w:val="20"/>
              </w:rPr>
              <w:t>暂存可移动废水罐，定期拉运至内蒙古众宁环保科技有限公司油气田废弃物集中处理厂集中处理。众宁公司油</w:t>
            </w:r>
            <w:r>
              <w:rPr>
                <w:spacing w:val="20"/>
                <w:sz w:val="20"/>
                <w:szCs w:val="20"/>
              </w:rPr>
              <w:t>气田废弃物集中处理厂环保手续齐</w:t>
            </w:r>
            <w:r>
              <w:rPr>
                <w:spacing w:val="-6"/>
                <w:sz w:val="20"/>
                <w:szCs w:val="20"/>
              </w:rPr>
              <w:t>全，企业已与众宁签订了协议，协议承</w:t>
            </w:r>
            <w:r>
              <w:rPr>
                <w:spacing w:val="6"/>
                <w:sz w:val="20"/>
                <w:szCs w:val="20"/>
              </w:rPr>
              <w:t>诺能处理我公司产生的废弃泥浆、岩</w:t>
            </w:r>
            <w:r>
              <w:rPr>
                <w:sz w:val="20"/>
                <w:szCs w:val="20"/>
              </w:rPr>
              <w:t>屑。</w:t>
            </w:r>
          </w:p>
        </w:tc>
        <w:tc>
          <w:tcPr>
            <w:tcW w:w="531" w:type="dxa"/>
            <w:tcBorders>
              <w:right w:val="single" w:color="000000" w:sz="6" w:space="0"/>
            </w:tcBorders>
            <w:vAlign w:val="top"/>
          </w:tcPr>
          <w:p w14:paraId="62056E2C">
            <w:pPr>
              <w:spacing w:line="295" w:lineRule="auto"/>
              <w:rPr>
                <w:rFonts w:ascii="Arial"/>
                <w:sz w:val="21"/>
              </w:rPr>
            </w:pPr>
          </w:p>
          <w:p w14:paraId="5D06FA4C">
            <w:pPr>
              <w:spacing w:line="295" w:lineRule="auto"/>
              <w:rPr>
                <w:rFonts w:ascii="Arial"/>
                <w:sz w:val="21"/>
              </w:rPr>
            </w:pPr>
          </w:p>
          <w:p w14:paraId="500F2E41">
            <w:pPr>
              <w:spacing w:line="295" w:lineRule="auto"/>
              <w:rPr>
                <w:rFonts w:ascii="Arial"/>
                <w:sz w:val="21"/>
              </w:rPr>
            </w:pPr>
          </w:p>
          <w:p w14:paraId="13052D36">
            <w:pPr>
              <w:spacing w:line="296" w:lineRule="auto"/>
              <w:rPr>
                <w:rFonts w:ascii="Arial"/>
                <w:sz w:val="21"/>
              </w:rPr>
            </w:pPr>
          </w:p>
          <w:p w14:paraId="5A9750E5">
            <w:pPr>
              <w:pStyle w:val="6"/>
              <w:spacing w:before="65" w:line="228" w:lineRule="auto"/>
              <w:ind w:left="57"/>
              <w:rPr>
                <w:sz w:val="20"/>
                <w:szCs w:val="20"/>
              </w:rPr>
            </w:pPr>
            <w:r>
              <w:rPr>
                <w:spacing w:val="3"/>
                <w:sz w:val="20"/>
                <w:szCs w:val="20"/>
              </w:rPr>
              <w:t>符合</w:t>
            </w:r>
          </w:p>
        </w:tc>
      </w:tr>
      <w:tr w14:paraId="50B2F1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456" w:type="dxa"/>
            <w:vMerge w:val="continue"/>
            <w:tcBorders>
              <w:top w:val="nil"/>
              <w:left w:val="single" w:color="000000" w:sz="6" w:space="0"/>
              <w:bottom w:val="nil"/>
              <w:right w:val="single" w:color="000000" w:sz="2" w:space="0"/>
            </w:tcBorders>
            <w:vAlign w:val="top"/>
          </w:tcPr>
          <w:p w14:paraId="6213F153">
            <w:pPr>
              <w:rPr>
                <w:rFonts w:ascii="Arial"/>
                <w:sz w:val="21"/>
              </w:rPr>
            </w:pPr>
          </w:p>
        </w:tc>
        <w:tc>
          <w:tcPr>
            <w:tcW w:w="3528" w:type="dxa"/>
            <w:tcBorders>
              <w:left w:val="single" w:color="000000" w:sz="2" w:space="0"/>
            </w:tcBorders>
            <w:vAlign w:val="top"/>
          </w:tcPr>
          <w:p w14:paraId="3E258D8D">
            <w:pPr>
              <w:pStyle w:val="6"/>
              <w:spacing w:before="96" w:line="228" w:lineRule="auto"/>
              <w:ind w:left="1165"/>
              <w:rPr>
                <w:sz w:val="20"/>
                <w:szCs w:val="20"/>
              </w:rPr>
            </w:pPr>
            <w:r>
              <w:rPr>
                <w:spacing w:val="4"/>
                <w:sz w:val="20"/>
                <w:szCs w:val="20"/>
              </w:rPr>
              <w:t>四、污染治理</w:t>
            </w:r>
          </w:p>
        </w:tc>
        <w:tc>
          <w:tcPr>
            <w:tcW w:w="3415" w:type="dxa"/>
            <w:gridSpan w:val="3"/>
            <w:vAlign w:val="top"/>
          </w:tcPr>
          <w:p w14:paraId="69218E54">
            <w:pPr>
              <w:rPr>
                <w:rFonts w:ascii="Arial"/>
                <w:sz w:val="21"/>
              </w:rPr>
            </w:pPr>
          </w:p>
        </w:tc>
        <w:tc>
          <w:tcPr>
            <w:tcW w:w="531" w:type="dxa"/>
            <w:tcBorders>
              <w:right w:val="single" w:color="000000" w:sz="6" w:space="0"/>
            </w:tcBorders>
            <w:vAlign w:val="top"/>
          </w:tcPr>
          <w:p w14:paraId="4F6C81E0">
            <w:pPr>
              <w:rPr>
                <w:rFonts w:ascii="Arial"/>
                <w:sz w:val="21"/>
              </w:rPr>
            </w:pPr>
          </w:p>
        </w:tc>
      </w:tr>
      <w:tr w14:paraId="65511B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7" w:hRule="atLeast"/>
        </w:trPr>
        <w:tc>
          <w:tcPr>
            <w:tcW w:w="1456" w:type="dxa"/>
            <w:vMerge w:val="continue"/>
            <w:tcBorders>
              <w:top w:val="nil"/>
              <w:left w:val="single" w:color="000000" w:sz="6" w:space="0"/>
              <w:bottom w:val="nil"/>
              <w:right w:val="single" w:color="000000" w:sz="2" w:space="0"/>
            </w:tcBorders>
            <w:vAlign w:val="top"/>
          </w:tcPr>
          <w:p w14:paraId="1DBE502B">
            <w:pPr>
              <w:rPr>
                <w:rFonts w:ascii="Arial"/>
                <w:sz w:val="21"/>
              </w:rPr>
            </w:pPr>
          </w:p>
        </w:tc>
        <w:tc>
          <w:tcPr>
            <w:tcW w:w="3528" w:type="dxa"/>
            <w:tcBorders>
              <w:left w:val="single" w:color="000000" w:sz="2" w:space="0"/>
            </w:tcBorders>
            <w:vAlign w:val="top"/>
          </w:tcPr>
          <w:p w14:paraId="50F1E983">
            <w:pPr>
              <w:pStyle w:val="6"/>
              <w:spacing w:before="305" w:line="252" w:lineRule="auto"/>
              <w:ind w:left="123" w:right="102" w:firstLine="11"/>
              <w:rPr>
                <w:sz w:val="20"/>
                <w:szCs w:val="20"/>
              </w:rPr>
            </w:pPr>
            <w:r>
              <w:rPr>
                <w:spacing w:val="5"/>
                <w:sz w:val="20"/>
                <w:szCs w:val="20"/>
              </w:rPr>
              <w:t>（三）固体废物收集、贮存、处理处</w:t>
            </w:r>
            <w:r>
              <w:rPr>
                <w:spacing w:val="9"/>
                <w:sz w:val="20"/>
                <w:szCs w:val="20"/>
              </w:rPr>
              <w:t>置设施应按照标准要求采取防渗措</w:t>
            </w:r>
            <w:r>
              <w:rPr>
                <w:spacing w:val="5"/>
                <w:sz w:val="20"/>
                <w:szCs w:val="20"/>
              </w:rPr>
              <w:t>施。试油（气）后应立即封闭废弃钻</w:t>
            </w:r>
            <w:r>
              <w:rPr>
                <w:spacing w:val="6"/>
                <w:sz w:val="20"/>
                <w:szCs w:val="20"/>
              </w:rPr>
              <w:t>井液贮池。</w:t>
            </w:r>
          </w:p>
        </w:tc>
        <w:tc>
          <w:tcPr>
            <w:tcW w:w="3415" w:type="dxa"/>
            <w:gridSpan w:val="3"/>
            <w:vAlign w:val="top"/>
          </w:tcPr>
          <w:p w14:paraId="021433A2">
            <w:pPr>
              <w:pStyle w:val="6"/>
              <w:spacing w:before="34" w:line="245" w:lineRule="auto"/>
              <w:ind w:left="109" w:right="97" w:firstLine="425"/>
              <w:jc w:val="both"/>
              <w:rPr>
                <w:sz w:val="20"/>
                <w:szCs w:val="20"/>
              </w:rPr>
            </w:pPr>
            <w:r>
              <w:rPr>
                <w:spacing w:val="13"/>
                <w:sz w:val="20"/>
                <w:szCs w:val="20"/>
              </w:rPr>
              <w:t>项目按照要求采取防渗措施，</w:t>
            </w:r>
            <w:r>
              <w:rPr>
                <w:spacing w:val="28"/>
                <w:sz w:val="20"/>
                <w:szCs w:val="20"/>
              </w:rPr>
              <w:t>现场采用泥浆不落地循环系统装</w:t>
            </w:r>
            <w:r>
              <w:rPr>
                <w:spacing w:val="13"/>
                <w:sz w:val="20"/>
                <w:szCs w:val="20"/>
              </w:rPr>
              <w:t>置，不建泥浆池。废弃泥浆、钻井岩屑拉运至内蒙古众宁环保科技有限公司油气田废弃物集中处理厂处</w:t>
            </w:r>
            <w:r>
              <w:rPr>
                <w:spacing w:val="1"/>
                <w:sz w:val="20"/>
                <w:szCs w:val="20"/>
              </w:rPr>
              <w:t>理。</w:t>
            </w:r>
          </w:p>
        </w:tc>
        <w:tc>
          <w:tcPr>
            <w:tcW w:w="531" w:type="dxa"/>
            <w:tcBorders>
              <w:right w:val="single" w:color="000000" w:sz="6" w:space="0"/>
            </w:tcBorders>
            <w:vAlign w:val="top"/>
          </w:tcPr>
          <w:p w14:paraId="0603252D">
            <w:pPr>
              <w:spacing w:line="321" w:lineRule="auto"/>
              <w:rPr>
                <w:rFonts w:ascii="Arial"/>
                <w:sz w:val="21"/>
              </w:rPr>
            </w:pPr>
          </w:p>
          <w:p w14:paraId="61CC36CD">
            <w:pPr>
              <w:spacing w:line="322" w:lineRule="auto"/>
              <w:rPr>
                <w:rFonts w:ascii="Arial"/>
                <w:sz w:val="21"/>
              </w:rPr>
            </w:pPr>
          </w:p>
          <w:p w14:paraId="33901919">
            <w:pPr>
              <w:pStyle w:val="6"/>
              <w:spacing w:before="65" w:line="228" w:lineRule="auto"/>
              <w:ind w:left="57"/>
              <w:rPr>
                <w:sz w:val="20"/>
                <w:szCs w:val="20"/>
              </w:rPr>
            </w:pPr>
            <w:r>
              <w:rPr>
                <w:spacing w:val="3"/>
                <w:sz w:val="20"/>
                <w:szCs w:val="20"/>
              </w:rPr>
              <w:t>符合</w:t>
            </w:r>
          </w:p>
        </w:tc>
      </w:tr>
      <w:tr w14:paraId="4AE0CF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0" w:hRule="atLeast"/>
        </w:trPr>
        <w:tc>
          <w:tcPr>
            <w:tcW w:w="1456" w:type="dxa"/>
            <w:vMerge w:val="continue"/>
            <w:tcBorders>
              <w:top w:val="nil"/>
              <w:left w:val="single" w:color="000000" w:sz="6" w:space="0"/>
              <w:bottom w:val="nil"/>
              <w:right w:val="single" w:color="000000" w:sz="2" w:space="0"/>
            </w:tcBorders>
            <w:vAlign w:val="top"/>
          </w:tcPr>
          <w:p w14:paraId="2E624039">
            <w:pPr>
              <w:rPr>
                <w:rFonts w:ascii="Arial"/>
                <w:sz w:val="21"/>
              </w:rPr>
            </w:pPr>
          </w:p>
        </w:tc>
        <w:tc>
          <w:tcPr>
            <w:tcW w:w="3528" w:type="dxa"/>
            <w:tcBorders>
              <w:left w:val="single" w:color="000000" w:sz="2" w:space="0"/>
            </w:tcBorders>
            <w:vAlign w:val="top"/>
          </w:tcPr>
          <w:p w14:paraId="7BF2D1A0">
            <w:pPr>
              <w:pStyle w:val="6"/>
              <w:spacing w:before="34" w:line="246" w:lineRule="auto"/>
              <w:ind w:left="16" w:firstLine="10"/>
              <w:rPr>
                <w:sz w:val="20"/>
                <w:szCs w:val="20"/>
              </w:rPr>
            </w:pPr>
            <w:r>
              <w:rPr>
                <w:spacing w:val="-6"/>
                <w:sz w:val="20"/>
                <w:szCs w:val="20"/>
              </w:rPr>
              <w:t>（四）应回收落地原油，以及原油处理、</w:t>
            </w:r>
            <w:r>
              <w:rPr>
                <w:spacing w:val="2"/>
                <w:sz w:val="20"/>
                <w:szCs w:val="20"/>
              </w:rPr>
              <w:t>废水处理产生的油泥（砂）等中的油类</w:t>
            </w:r>
            <w:r>
              <w:rPr>
                <w:spacing w:val="5"/>
                <w:sz w:val="20"/>
                <w:szCs w:val="20"/>
              </w:rPr>
              <w:t>物质，含油污泥资源化利用率应达到</w:t>
            </w:r>
            <w:r>
              <w:rPr>
                <w:spacing w:val="1"/>
                <w:sz w:val="20"/>
                <w:szCs w:val="20"/>
              </w:rPr>
              <w:t xml:space="preserve">  </w:t>
            </w:r>
            <w:r>
              <w:rPr>
                <w:rFonts w:ascii="Times New Roman" w:hAnsi="Times New Roman" w:eastAsia="Times New Roman" w:cs="Times New Roman"/>
                <w:spacing w:val="3"/>
                <w:sz w:val="20"/>
                <w:szCs w:val="20"/>
              </w:rPr>
              <w:t>90%</w:t>
            </w:r>
            <w:r>
              <w:rPr>
                <w:spacing w:val="3"/>
                <w:sz w:val="20"/>
                <w:szCs w:val="20"/>
              </w:rPr>
              <w:t>以上，残余固体废物应按照《国家</w:t>
            </w:r>
            <w:r>
              <w:rPr>
                <w:spacing w:val="2"/>
                <w:sz w:val="20"/>
                <w:szCs w:val="20"/>
              </w:rPr>
              <w:t>危险废物名录》和危险废物鉴别标准识别，根据识别结果资源化利用或无害化</w:t>
            </w:r>
            <w:r>
              <w:rPr>
                <w:sz w:val="20"/>
                <w:szCs w:val="20"/>
              </w:rPr>
              <w:t>处理。</w:t>
            </w:r>
          </w:p>
        </w:tc>
        <w:tc>
          <w:tcPr>
            <w:tcW w:w="3415" w:type="dxa"/>
            <w:gridSpan w:val="3"/>
            <w:vAlign w:val="top"/>
          </w:tcPr>
          <w:p w14:paraId="4774F846">
            <w:pPr>
              <w:rPr>
                <w:rFonts w:ascii="Arial"/>
                <w:sz w:val="21"/>
              </w:rPr>
            </w:pPr>
          </w:p>
          <w:p w14:paraId="59915D4D">
            <w:pPr>
              <w:pStyle w:val="6"/>
              <w:spacing w:before="65" w:line="252" w:lineRule="auto"/>
              <w:ind w:left="110" w:right="97" w:firstLine="424"/>
              <w:jc w:val="both"/>
              <w:rPr>
                <w:sz w:val="20"/>
                <w:szCs w:val="20"/>
              </w:rPr>
            </w:pPr>
            <w:r>
              <w:rPr>
                <w:spacing w:val="24"/>
                <w:sz w:val="20"/>
                <w:szCs w:val="20"/>
              </w:rPr>
              <w:t>项</w:t>
            </w:r>
            <w:r>
              <w:rPr>
                <w:spacing w:val="-17"/>
                <w:sz w:val="20"/>
                <w:szCs w:val="20"/>
              </w:rPr>
              <w:t xml:space="preserve"> </w:t>
            </w:r>
            <w:r>
              <w:rPr>
                <w:spacing w:val="24"/>
                <w:sz w:val="20"/>
                <w:szCs w:val="20"/>
              </w:rPr>
              <w:t>目正常工况不会产生落地</w:t>
            </w:r>
            <w:r>
              <w:rPr>
                <w:spacing w:val="13"/>
                <w:sz w:val="20"/>
                <w:szCs w:val="20"/>
              </w:rPr>
              <w:t>油、含油污泥。非正常工况下产生的落地油，会及时将落地油连同周</w:t>
            </w:r>
            <w:r>
              <w:rPr>
                <w:spacing w:val="2"/>
                <w:sz w:val="20"/>
                <w:szCs w:val="20"/>
              </w:rPr>
              <w:t>边污染土壤铲除，落地油</w:t>
            </w:r>
            <w:r>
              <w:rPr>
                <w:spacing w:val="-5"/>
                <w:sz w:val="20"/>
                <w:szCs w:val="20"/>
              </w:rPr>
              <w:t xml:space="preserve"> </w:t>
            </w:r>
            <w:r>
              <w:rPr>
                <w:rFonts w:ascii="Times New Roman" w:hAnsi="Times New Roman" w:eastAsia="Times New Roman" w:cs="Times New Roman"/>
                <w:spacing w:val="2"/>
                <w:sz w:val="20"/>
                <w:szCs w:val="20"/>
              </w:rPr>
              <w:t>100%</w:t>
            </w:r>
            <w:r>
              <w:rPr>
                <w:spacing w:val="2"/>
                <w:sz w:val="20"/>
                <w:szCs w:val="20"/>
              </w:rPr>
              <w:t>进行</w:t>
            </w:r>
            <w:r>
              <w:rPr>
                <w:spacing w:val="8"/>
                <w:sz w:val="20"/>
                <w:szCs w:val="20"/>
              </w:rPr>
              <w:t>回收后，交有资质单位拉运处置。</w:t>
            </w:r>
          </w:p>
        </w:tc>
        <w:tc>
          <w:tcPr>
            <w:tcW w:w="531" w:type="dxa"/>
            <w:tcBorders>
              <w:right w:val="single" w:color="000000" w:sz="6" w:space="0"/>
            </w:tcBorders>
            <w:vAlign w:val="top"/>
          </w:tcPr>
          <w:p w14:paraId="4847C1F6">
            <w:pPr>
              <w:spacing w:line="260" w:lineRule="auto"/>
              <w:rPr>
                <w:rFonts w:ascii="Arial"/>
                <w:sz w:val="21"/>
              </w:rPr>
            </w:pPr>
          </w:p>
          <w:p w14:paraId="727A11BF">
            <w:pPr>
              <w:spacing w:line="260" w:lineRule="auto"/>
              <w:rPr>
                <w:rFonts w:ascii="Arial"/>
                <w:sz w:val="21"/>
              </w:rPr>
            </w:pPr>
          </w:p>
          <w:p w14:paraId="392E36C2">
            <w:pPr>
              <w:spacing w:line="261" w:lineRule="auto"/>
              <w:rPr>
                <w:rFonts w:ascii="Arial"/>
                <w:sz w:val="21"/>
              </w:rPr>
            </w:pPr>
          </w:p>
          <w:p w14:paraId="534076B5">
            <w:pPr>
              <w:pStyle w:val="6"/>
              <w:spacing w:before="65" w:line="228" w:lineRule="auto"/>
              <w:ind w:left="57"/>
              <w:rPr>
                <w:sz w:val="20"/>
                <w:szCs w:val="20"/>
              </w:rPr>
            </w:pPr>
            <w:r>
              <w:rPr>
                <w:spacing w:val="3"/>
                <w:sz w:val="20"/>
                <w:szCs w:val="20"/>
              </w:rPr>
              <w:t>符合</w:t>
            </w:r>
          </w:p>
        </w:tc>
      </w:tr>
      <w:tr w14:paraId="15A18C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456" w:type="dxa"/>
            <w:vMerge w:val="continue"/>
            <w:tcBorders>
              <w:top w:val="nil"/>
              <w:left w:val="single" w:color="000000" w:sz="6" w:space="0"/>
              <w:bottom w:val="nil"/>
              <w:right w:val="single" w:color="000000" w:sz="2" w:space="0"/>
            </w:tcBorders>
            <w:vAlign w:val="top"/>
          </w:tcPr>
          <w:p w14:paraId="74115091">
            <w:pPr>
              <w:rPr>
                <w:rFonts w:ascii="Arial"/>
                <w:sz w:val="21"/>
              </w:rPr>
            </w:pPr>
          </w:p>
        </w:tc>
        <w:tc>
          <w:tcPr>
            <w:tcW w:w="3528" w:type="dxa"/>
            <w:tcBorders>
              <w:left w:val="single" w:color="000000" w:sz="2" w:space="0"/>
            </w:tcBorders>
            <w:vAlign w:val="top"/>
          </w:tcPr>
          <w:p w14:paraId="6632C419">
            <w:pPr>
              <w:pStyle w:val="6"/>
              <w:spacing w:before="97" w:line="228" w:lineRule="auto"/>
              <w:ind w:left="621"/>
              <w:rPr>
                <w:sz w:val="20"/>
                <w:szCs w:val="20"/>
              </w:rPr>
            </w:pPr>
            <w:r>
              <w:rPr>
                <w:spacing w:val="9"/>
                <w:sz w:val="20"/>
                <w:szCs w:val="20"/>
              </w:rPr>
              <w:t>六、运行管理与风险防范</w:t>
            </w:r>
          </w:p>
        </w:tc>
        <w:tc>
          <w:tcPr>
            <w:tcW w:w="3415" w:type="dxa"/>
            <w:gridSpan w:val="3"/>
            <w:vAlign w:val="top"/>
          </w:tcPr>
          <w:p w14:paraId="641009E6">
            <w:pPr>
              <w:rPr>
                <w:rFonts w:ascii="Arial"/>
                <w:sz w:val="21"/>
              </w:rPr>
            </w:pPr>
          </w:p>
        </w:tc>
        <w:tc>
          <w:tcPr>
            <w:tcW w:w="531" w:type="dxa"/>
            <w:tcBorders>
              <w:right w:val="single" w:color="000000" w:sz="6" w:space="0"/>
            </w:tcBorders>
            <w:vAlign w:val="top"/>
          </w:tcPr>
          <w:p w14:paraId="668047D8">
            <w:pPr>
              <w:rPr>
                <w:rFonts w:ascii="Arial"/>
                <w:sz w:val="21"/>
              </w:rPr>
            </w:pPr>
          </w:p>
        </w:tc>
      </w:tr>
      <w:tr w14:paraId="26E5DB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1" w:hRule="atLeast"/>
        </w:trPr>
        <w:tc>
          <w:tcPr>
            <w:tcW w:w="1456" w:type="dxa"/>
            <w:vMerge w:val="continue"/>
            <w:tcBorders>
              <w:top w:val="nil"/>
              <w:left w:val="single" w:color="000000" w:sz="6" w:space="0"/>
              <w:bottom w:val="nil"/>
              <w:right w:val="single" w:color="000000" w:sz="2" w:space="0"/>
            </w:tcBorders>
            <w:vAlign w:val="top"/>
          </w:tcPr>
          <w:p w14:paraId="32901B25">
            <w:pPr>
              <w:rPr>
                <w:rFonts w:ascii="Arial"/>
                <w:sz w:val="21"/>
              </w:rPr>
            </w:pPr>
          </w:p>
        </w:tc>
        <w:tc>
          <w:tcPr>
            <w:tcW w:w="3528" w:type="dxa"/>
            <w:tcBorders>
              <w:left w:val="single" w:color="000000" w:sz="2" w:space="0"/>
            </w:tcBorders>
            <w:vAlign w:val="top"/>
          </w:tcPr>
          <w:p w14:paraId="32697ECD">
            <w:pPr>
              <w:pStyle w:val="6"/>
              <w:spacing w:before="37" w:line="238" w:lineRule="auto"/>
              <w:ind w:left="126" w:right="102" w:firstLine="9"/>
              <w:jc w:val="both"/>
              <w:rPr>
                <w:sz w:val="20"/>
                <w:szCs w:val="20"/>
              </w:rPr>
            </w:pPr>
            <w:r>
              <w:rPr>
                <w:spacing w:val="5"/>
                <w:sz w:val="20"/>
                <w:szCs w:val="20"/>
              </w:rPr>
              <w:t>（一）油气田企业应制定环境保护管理规定，建立并运行健康、安全与环</w:t>
            </w:r>
            <w:r>
              <w:rPr>
                <w:spacing w:val="6"/>
                <w:sz w:val="20"/>
                <w:szCs w:val="20"/>
              </w:rPr>
              <w:t>境管理体系。</w:t>
            </w:r>
          </w:p>
        </w:tc>
        <w:tc>
          <w:tcPr>
            <w:tcW w:w="3415" w:type="dxa"/>
            <w:gridSpan w:val="3"/>
            <w:vAlign w:val="top"/>
          </w:tcPr>
          <w:p w14:paraId="75C12F32">
            <w:pPr>
              <w:pStyle w:val="6"/>
              <w:spacing w:before="37" w:line="238" w:lineRule="auto"/>
              <w:ind w:left="111" w:right="27" w:firstLine="420"/>
              <w:jc w:val="both"/>
              <w:rPr>
                <w:sz w:val="20"/>
                <w:szCs w:val="20"/>
              </w:rPr>
            </w:pPr>
            <w:r>
              <w:rPr>
                <w:spacing w:val="9"/>
                <w:sz w:val="20"/>
                <w:szCs w:val="20"/>
              </w:rPr>
              <w:t>华北油田巴彦勘探开发分公司制定了环境保护管理规定，建立并</w:t>
            </w:r>
            <w:r>
              <w:rPr>
                <w:spacing w:val="4"/>
                <w:sz w:val="20"/>
                <w:szCs w:val="20"/>
              </w:rPr>
              <w:t>运行了健康、安全与环境管理体系。</w:t>
            </w:r>
          </w:p>
        </w:tc>
        <w:tc>
          <w:tcPr>
            <w:tcW w:w="531" w:type="dxa"/>
            <w:tcBorders>
              <w:right w:val="single" w:color="000000" w:sz="6" w:space="0"/>
            </w:tcBorders>
            <w:vAlign w:val="top"/>
          </w:tcPr>
          <w:p w14:paraId="76C6BFD1">
            <w:pPr>
              <w:spacing w:line="241" w:lineRule="auto"/>
              <w:rPr>
                <w:rFonts w:ascii="Arial"/>
                <w:sz w:val="21"/>
              </w:rPr>
            </w:pPr>
          </w:p>
          <w:p w14:paraId="167F4640">
            <w:pPr>
              <w:pStyle w:val="6"/>
              <w:spacing w:before="65" w:line="228" w:lineRule="auto"/>
              <w:ind w:left="57"/>
              <w:rPr>
                <w:sz w:val="20"/>
                <w:szCs w:val="20"/>
              </w:rPr>
            </w:pPr>
            <w:r>
              <w:rPr>
                <w:spacing w:val="3"/>
                <w:sz w:val="20"/>
                <w:szCs w:val="20"/>
              </w:rPr>
              <w:t>符合</w:t>
            </w:r>
          </w:p>
        </w:tc>
      </w:tr>
      <w:tr w14:paraId="5770B5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4" w:hRule="atLeast"/>
        </w:trPr>
        <w:tc>
          <w:tcPr>
            <w:tcW w:w="1456" w:type="dxa"/>
            <w:vMerge w:val="continue"/>
            <w:tcBorders>
              <w:top w:val="nil"/>
              <w:left w:val="single" w:color="000000" w:sz="6" w:space="0"/>
              <w:bottom w:val="nil"/>
              <w:right w:val="single" w:color="000000" w:sz="2" w:space="0"/>
            </w:tcBorders>
            <w:vAlign w:val="top"/>
          </w:tcPr>
          <w:p w14:paraId="78D4F1A1">
            <w:pPr>
              <w:rPr>
                <w:rFonts w:ascii="Arial"/>
                <w:sz w:val="21"/>
              </w:rPr>
            </w:pPr>
          </w:p>
        </w:tc>
        <w:tc>
          <w:tcPr>
            <w:tcW w:w="3528" w:type="dxa"/>
            <w:tcBorders>
              <w:left w:val="single" w:color="000000" w:sz="2" w:space="0"/>
              <w:bottom w:val="single" w:color="000000" w:sz="10" w:space="0"/>
            </w:tcBorders>
            <w:vAlign w:val="top"/>
          </w:tcPr>
          <w:p w14:paraId="01932C43">
            <w:pPr>
              <w:pStyle w:val="6"/>
              <w:spacing w:before="41" w:line="245" w:lineRule="auto"/>
              <w:ind w:left="123" w:right="102" w:firstLine="11"/>
              <w:jc w:val="both"/>
              <w:rPr>
                <w:sz w:val="20"/>
                <w:szCs w:val="20"/>
              </w:rPr>
            </w:pPr>
            <w:r>
              <w:rPr>
                <w:spacing w:val="5"/>
                <w:sz w:val="20"/>
                <w:szCs w:val="20"/>
              </w:rPr>
              <w:t>（五）油气田企业应对勘探开发过程进行环境风险因素识别，制定突发环境事件应急预案并定期进行演练。应开展特征污染物监测工作，采取环境风险防范和应急措施，防止发生由突</w:t>
            </w:r>
            <w:r>
              <w:rPr>
                <w:spacing w:val="8"/>
                <w:sz w:val="20"/>
                <w:szCs w:val="20"/>
              </w:rPr>
              <w:t>发性油气泄漏产生的环境事故。</w:t>
            </w:r>
          </w:p>
        </w:tc>
        <w:tc>
          <w:tcPr>
            <w:tcW w:w="3415" w:type="dxa"/>
            <w:gridSpan w:val="3"/>
            <w:tcBorders>
              <w:bottom w:val="single" w:color="000000" w:sz="10" w:space="0"/>
            </w:tcBorders>
            <w:vAlign w:val="top"/>
          </w:tcPr>
          <w:p w14:paraId="146ABA4B">
            <w:pPr>
              <w:pStyle w:val="6"/>
              <w:spacing w:before="41" w:line="245" w:lineRule="auto"/>
              <w:ind w:left="111" w:right="43" w:firstLine="419"/>
              <w:jc w:val="both"/>
              <w:rPr>
                <w:sz w:val="20"/>
                <w:szCs w:val="20"/>
              </w:rPr>
            </w:pPr>
            <w:r>
              <w:rPr>
                <w:spacing w:val="9"/>
                <w:sz w:val="20"/>
                <w:szCs w:val="20"/>
              </w:rPr>
              <w:t>对勘探过程进行了环境风险因</w:t>
            </w:r>
            <w:r>
              <w:rPr>
                <w:spacing w:val="3"/>
                <w:sz w:val="20"/>
                <w:szCs w:val="20"/>
              </w:rPr>
              <w:t>素识别，成立了环境风险管控机构，</w:t>
            </w:r>
            <w:r>
              <w:rPr>
                <w:spacing w:val="9"/>
                <w:sz w:val="20"/>
                <w:szCs w:val="20"/>
              </w:rPr>
              <w:t>定期进行应急演练。施工过程中安装防井喷装置，落实各项风险应急物资等防止发生由突发性油气泄漏</w:t>
            </w:r>
            <w:r>
              <w:rPr>
                <w:spacing w:val="7"/>
                <w:sz w:val="20"/>
                <w:szCs w:val="20"/>
              </w:rPr>
              <w:t>产生的环境事故。</w:t>
            </w:r>
          </w:p>
        </w:tc>
        <w:tc>
          <w:tcPr>
            <w:tcW w:w="531" w:type="dxa"/>
            <w:tcBorders>
              <w:bottom w:val="single" w:color="000000" w:sz="10" w:space="0"/>
              <w:right w:val="single" w:color="000000" w:sz="6" w:space="0"/>
            </w:tcBorders>
            <w:vAlign w:val="top"/>
          </w:tcPr>
          <w:p w14:paraId="5D4658D8">
            <w:pPr>
              <w:spacing w:line="324" w:lineRule="auto"/>
              <w:rPr>
                <w:rFonts w:ascii="Arial"/>
                <w:sz w:val="21"/>
              </w:rPr>
            </w:pPr>
          </w:p>
          <w:p w14:paraId="52D91583">
            <w:pPr>
              <w:spacing w:line="325" w:lineRule="auto"/>
              <w:rPr>
                <w:rFonts w:ascii="Arial"/>
                <w:sz w:val="21"/>
              </w:rPr>
            </w:pPr>
          </w:p>
          <w:p w14:paraId="5A8A7710">
            <w:pPr>
              <w:pStyle w:val="6"/>
              <w:spacing w:before="65" w:line="228" w:lineRule="auto"/>
              <w:ind w:left="57"/>
              <w:rPr>
                <w:sz w:val="20"/>
                <w:szCs w:val="20"/>
              </w:rPr>
            </w:pPr>
            <w:r>
              <w:rPr>
                <w:spacing w:val="3"/>
                <w:sz w:val="20"/>
                <w:szCs w:val="20"/>
              </w:rPr>
              <w:t>符合</w:t>
            </w:r>
          </w:p>
        </w:tc>
      </w:tr>
      <w:tr w14:paraId="72C5FA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1456" w:type="dxa"/>
            <w:vMerge w:val="continue"/>
            <w:tcBorders>
              <w:top w:val="nil"/>
              <w:left w:val="single" w:color="000000" w:sz="6" w:space="0"/>
              <w:bottom w:val="nil"/>
              <w:right w:val="single" w:color="000000" w:sz="2" w:space="0"/>
            </w:tcBorders>
            <w:vAlign w:val="top"/>
          </w:tcPr>
          <w:p w14:paraId="7F179109">
            <w:pPr>
              <w:rPr>
                <w:rFonts w:ascii="Arial"/>
                <w:sz w:val="21"/>
              </w:rPr>
            </w:pPr>
          </w:p>
        </w:tc>
        <w:tc>
          <w:tcPr>
            <w:tcW w:w="7474" w:type="dxa"/>
            <w:gridSpan w:val="5"/>
            <w:tcBorders>
              <w:top w:val="single" w:color="000000" w:sz="10" w:space="0"/>
              <w:left w:val="single" w:color="000000" w:sz="2" w:space="0"/>
              <w:bottom w:val="single" w:color="000000" w:sz="10" w:space="0"/>
              <w:right w:val="single" w:color="000000" w:sz="6" w:space="0"/>
            </w:tcBorders>
            <w:vAlign w:val="top"/>
          </w:tcPr>
          <w:p w14:paraId="2CA64423">
            <w:pPr>
              <w:pStyle w:val="6"/>
              <w:spacing w:before="38" w:line="359" w:lineRule="auto"/>
              <w:ind w:left="30" w:right="26" w:firstLine="470"/>
            </w:pPr>
            <w:r>
              <w:rPr>
                <w:rFonts w:ascii="Times New Roman" w:hAnsi="Times New Roman" w:eastAsia="Times New Roman" w:cs="Times New Roman"/>
                <w:spacing w:val="10"/>
              </w:rPr>
              <w:t>5</w:t>
            </w:r>
            <w:r>
              <w:rPr>
                <w:rFonts w:ascii="Times New Roman" w:hAnsi="Times New Roman" w:eastAsia="Times New Roman" w:cs="Times New Roman"/>
                <w:spacing w:val="-5"/>
              </w:rPr>
              <w:t xml:space="preserve"> </w:t>
            </w:r>
            <w:r>
              <w:rPr>
                <w:spacing w:val="10"/>
              </w:rPr>
              <w:t>、与《陆上石油天然气开采钻井废物处置污染控制技术要求》</w:t>
            </w:r>
            <w:r>
              <w:t xml:space="preserve"> </w:t>
            </w:r>
            <w:r>
              <w:rPr>
                <w:spacing w:val="-1"/>
              </w:rPr>
              <w:t>（</w:t>
            </w:r>
            <w:r>
              <w:rPr>
                <w:rFonts w:ascii="Times New Roman" w:hAnsi="Times New Roman" w:eastAsia="Times New Roman" w:cs="Times New Roman"/>
                <w:spacing w:val="-1"/>
              </w:rPr>
              <w:t>SY/T7119.25-2016</w:t>
            </w:r>
            <w:r>
              <w:rPr>
                <w:spacing w:val="-1"/>
              </w:rPr>
              <w:t>）符合</w:t>
            </w:r>
            <w:r>
              <w:rPr>
                <w:spacing w:val="-2"/>
              </w:rPr>
              <w:t>性分析如下。</w:t>
            </w:r>
          </w:p>
          <w:p w14:paraId="11FF2706">
            <w:pPr>
              <w:spacing w:line="221" w:lineRule="auto"/>
              <w:ind w:left="22"/>
              <w:rPr>
                <w:rFonts w:ascii="黑体" w:hAnsi="黑体" w:eastAsia="黑体" w:cs="黑体"/>
                <w:sz w:val="24"/>
                <w:szCs w:val="24"/>
              </w:rPr>
            </w:pPr>
            <w:r>
              <w:rPr>
                <w:rFonts w:ascii="黑体" w:hAnsi="黑体" w:eastAsia="黑体" w:cs="黑体"/>
                <w:spacing w:val="-2"/>
                <w:sz w:val="24"/>
                <w:szCs w:val="24"/>
              </w:rPr>
              <w:t>表</w:t>
            </w:r>
            <w:r>
              <w:rPr>
                <w:rFonts w:ascii="黑体" w:hAnsi="黑体" w:eastAsia="黑体" w:cs="黑体"/>
                <w:spacing w:val="-22"/>
                <w:sz w:val="24"/>
                <w:szCs w:val="24"/>
              </w:rPr>
              <w:t xml:space="preserve"> </w:t>
            </w:r>
            <w:r>
              <w:rPr>
                <w:rFonts w:ascii="Times New Roman" w:hAnsi="Times New Roman" w:eastAsia="Times New Roman" w:cs="Times New Roman"/>
                <w:spacing w:val="-2"/>
                <w:sz w:val="24"/>
                <w:szCs w:val="24"/>
              </w:rPr>
              <w:t xml:space="preserve">1-5  </w:t>
            </w:r>
            <w:r>
              <w:rPr>
                <w:rFonts w:ascii="黑体" w:hAnsi="黑体" w:eastAsia="黑体" w:cs="黑体"/>
                <w:spacing w:val="-2"/>
                <w:sz w:val="24"/>
                <w:szCs w:val="24"/>
              </w:rPr>
              <w:t>与《陆上石油天然气开采钻井废物处置污染控制技术要求》符合</w:t>
            </w:r>
          </w:p>
          <w:p w14:paraId="0CEB8D0C">
            <w:pPr>
              <w:spacing w:before="23" w:line="204" w:lineRule="auto"/>
              <w:ind w:left="3378"/>
              <w:rPr>
                <w:rFonts w:ascii="黑体" w:hAnsi="黑体" w:eastAsia="黑体" w:cs="黑体"/>
                <w:sz w:val="24"/>
                <w:szCs w:val="24"/>
              </w:rPr>
            </w:pPr>
            <w:r>
              <w:rPr>
                <w:rFonts w:ascii="黑体" w:hAnsi="黑体" w:eastAsia="黑体" w:cs="黑体"/>
                <w:spacing w:val="-4"/>
                <w:sz w:val="24"/>
                <w:szCs w:val="24"/>
              </w:rPr>
              <w:t>性分析</w:t>
            </w:r>
          </w:p>
        </w:tc>
      </w:tr>
      <w:tr w14:paraId="3D59C2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1456" w:type="dxa"/>
            <w:vMerge w:val="continue"/>
            <w:tcBorders>
              <w:top w:val="nil"/>
              <w:left w:val="single" w:color="000000" w:sz="6" w:space="0"/>
              <w:bottom w:val="single" w:color="000000" w:sz="6" w:space="0"/>
              <w:right w:val="single" w:color="000000" w:sz="2" w:space="0"/>
            </w:tcBorders>
            <w:vAlign w:val="top"/>
          </w:tcPr>
          <w:p w14:paraId="5A5C07A7">
            <w:pPr>
              <w:rPr>
                <w:rFonts w:ascii="Arial"/>
                <w:sz w:val="21"/>
              </w:rPr>
            </w:pPr>
          </w:p>
        </w:tc>
        <w:tc>
          <w:tcPr>
            <w:tcW w:w="3619" w:type="dxa"/>
            <w:gridSpan w:val="2"/>
            <w:tcBorders>
              <w:top w:val="single" w:color="000000" w:sz="10" w:space="0"/>
              <w:left w:val="single" w:color="000000" w:sz="2" w:space="0"/>
              <w:bottom w:val="single" w:color="000000" w:sz="6" w:space="0"/>
            </w:tcBorders>
            <w:vAlign w:val="top"/>
          </w:tcPr>
          <w:p w14:paraId="578EB594">
            <w:pPr>
              <w:pStyle w:val="6"/>
              <w:spacing w:before="122" w:line="228" w:lineRule="auto"/>
              <w:ind w:left="979"/>
              <w:rPr>
                <w:sz w:val="20"/>
                <w:szCs w:val="20"/>
              </w:rPr>
            </w:pPr>
            <w:r>
              <w:rPr>
                <w:spacing w:val="8"/>
                <w:sz w:val="20"/>
                <w:szCs w:val="20"/>
              </w:rPr>
              <w:t>污染控制技术要求</w:t>
            </w:r>
          </w:p>
        </w:tc>
        <w:tc>
          <w:tcPr>
            <w:tcW w:w="3123" w:type="dxa"/>
            <w:tcBorders>
              <w:top w:val="single" w:color="000000" w:sz="10" w:space="0"/>
              <w:bottom w:val="single" w:color="000000" w:sz="6" w:space="0"/>
            </w:tcBorders>
            <w:vAlign w:val="top"/>
          </w:tcPr>
          <w:p w14:paraId="69FE1375">
            <w:pPr>
              <w:pStyle w:val="6"/>
              <w:spacing w:before="125" w:line="228" w:lineRule="auto"/>
              <w:ind w:left="1151"/>
              <w:rPr>
                <w:sz w:val="20"/>
                <w:szCs w:val="20"/>
              </w:rPr>
            </w:pPr>
            <w:r>
              <w:rPr>
                <w:spacing w:val="6"/>
                <w:sz w:val="20"/>
                <w:szCs w:val="20"/>
              </w:rPr>
              <w:t>项目情况</w:t>
            </w:r>
          </w:p>
        </w:tc>
        <w:tc>
          <w:tcPr>
            <w:tcW w:w="732" w:type="dxa"/>
            <w:gridSpan w:val="2"/>
            <w:tcBorders>
              <w:top w:val="single" w:color="000000" w:sz="10" w:space="0"/>
              <w:bottom w:val="single" w:color="000000" w:sz="6" w:space="0"/>
              <w:right w:val="single" w:color="000000" w:sz="6" w:space="0"/>
            </w:tcBorders>
            <w:vAlign w:val="top"/>
          </w:tcPr>
          <w:p w14:paraId="534868B7">
            <w:pPr>
              <w:pStyle w:val="6"/>
              <w:spacing w:before="124" w:line="228" w:lineRule="auto"/>
              <w:ind w:left="52"/>
              <w:rPr>
                <w:sz w:val="20"/>
                <w:szCs w:val="20"/>
              </w:rPr>
            </w:pPr>
            <w:r>
              <w:rPr>
                <w:spacing w:val="6"/>
                <w:sz w:val="20"/>
                <w:szCs w:val="20"/>
              </w:rPr>
              <w:t>符合性</w:t>
            </w:r>
          </w:p>
        </w:tc>
      </w:tr>
    </w:tbl>
    <w:p w14:paraId="0C37114B">
      <w:pPr>
        <w:rPr>
          <w:rFonts w:ascii="Arial"/>
          <w:sz w:val="21"/>
        </w:rPr>
      </w:pPr>
    </w:p>
    <w:p w14:paraId="2BE220C4">
      <w:pPr>
        <w:rPr>
          <w:rFonts w:ascii="Arial" w:hAnsi="Arial" w:eastAsia="Arial" w:cs="Arial"/>
          <w:sz w:val="21"/>
          <w:szCs w:val="21"/>
        </w:rPr>
        <w:sectPr>
          <w:footerReference r:id="rId12" w:type="default"/>
          <w:pgSz w:w="11906" w:h="16839"/>
          <w:pgMar w:top="400" w:right="1395" w:bottom="1240" w:left="1565" w:header="0" w:footer="1078" w:gutter="0"/>
          <w:cols w:space="720" w:num="1"/>
        </w:sectPr>
      </w:pPr>
    </w:p>
    <w:p w14:paraId="01687D5B">
      <w:pPr>
        <w:spacing w:before="56"/>
      </w:pPr>
    </w:p>
    <w:p w14:paraId="1BED1F10">
      <w:pPr>
        <w:spacing w:before="56"/>
      </w:pPr>
    </w:p>
    <w:p w14:paraId="204AAB8A">
      <w:pPr>
        <w:spacing w:before="55"/>
      </w:pPr>
    </w:p>
    <w:p w14:paraId="788B3736">
      <w:pPr>
        <w:spacing w:before="55"/>
      </w:pPr>
    </w:p>
    <w:tbl>
      <w:tblPr>
        <w:tblStyle w:val="5"/>
        <w:tblW w:w="8930"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56"/>
        <w:gridCol w:w="493"/>
        <w:gridCol w:w="3126"/>
        <w:gridCol w:w="329"/>
        <w:gridCol w:w="2794"/>
        <w:gridCol w:w="732"/>
      </w:tblGrid>
      <w:tr w14:paraId="1BB0C7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7" w:hRule="atLeast"/>
        </w:trPr>
        <w:tc>
          <w:tcPr>
            <w:tcW w:w="1456" w:type="dxa"/>
            <w:vMerge w:val="restart"/>
            <w:tcBorders>
              <w:top w:val="single" w:color="000000" w:sz="6" w:space="0"/>
              <w:left w:val="single" w:color="000000" w:sz="6" w:space="0"/>
              <w:bottom w:val="nil"/>
              <w:right w:val="single" w:color="000000" w:sz="2" w:space="0"/>
            </w:tcBorders>
            <w:vAlign w:val="top"/>
          </w:tcPr>
          <w:p w14:paraId="12B95C9E">
            <w:pPr>
              <w:rPr>
                <w:rFonts w:ascii="Arial"/>
                <w:sz w:val="21"/>
              </w:rPr>
            </w:pPr>
          </w:p>
        </w:tc>
        <w:tc>
          <w:tcPr>
            <w:tcW w:w="3619" w:type="dxa"/>
            <w:gridSpan w:val="2"/>
            <w:tcBorders>
              <w:top w:val="single" w:color="000000" w:sz="6" w:space="0"/>
              <w:left w:val="single" w:color="000000" w:sz="2" w:space="0"/>
            </w:tcBorders>
            <w:vAlign w:val="top"/>
          </w:tcPr>
          <w:p w14:paraId="6816D6D3">
            <w:pPr>
              <w:spacing w:line="250" w:lineRule="auto"/>
              <w:rPr>
                <w:rFonts w:ascii="Arial"/>
                <w:sz w:val="21"/>
              </w:rPr>
            </w:pPr>
          </w:p>
          <w:p w14:paraId="57343349">
            <w:pPr>
              <w:spacing w:line="251" w:lineRule="auto"/>
              <w:rPr>
                <w:rFonts w:ascii="Arial"/>
                <w:sz w:val="21"/>
              </w:rPr>
            </w:pPr>
          </w:p>
          <w:p w14:paraId="6BACEFB9">
            <w:pPr>
              <w:pStyle w:val="6"/>
              <w:spacing w:before="65" w:line="223" w:lineRule="auto"/>
              <w:ind w:left="17" w:right="1" w:hanging="5"/>
              <w:jc w:val="both"/>
              <w:rPr>
                <w:sz w:val="20"/>
                <w:szCs w:val="20"/>
              </w:rPr>
            </w:pPr>
            <w:r>
              <w:rPr>
                <w:rFonts w:ascii="Times New Roman" w:hAnsi="Times New Roman" w:eastAsia="Times New Roman" w:cs="Times New Roman"/>
                <w:spacing w:val="5"/>
                <w:sz w:val="20"/>
                <w:szCs w:val="20"/>
              </w:rPr>
              <w:t>4.</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pacing w:val="5"/>
                <w:sz w:val="20"/>
                <w:szCs w:val="20"/>
              </w:rPr>
              <w:t xml:space="preserve">1.1 </w:t>
            </w:r>
            <w:r>
              <w:rPr>
                <w:spacing w:val="5"/>
                <w:sz w:val="20"/>
                <w:szCs w:val="20"/>
              </w:rPr>
              <w:t>钻井废物的收集、贮存、运输、利</w:t>
            </w:r>
            <w:r>
              <w:rPr>
                <w:spacing w:val="9"/>
                <w:sz w:val="20"/>
                <w:szCs w:val="20"/>
              </w:rPr>
              <w:t>用、处置，以及钻井废物处置工程的选址、设计、施工、验收和运行应符合国家和地方相关固体废物污染防治法律法</w:t>
            </w:r>
            <w:r>
              <w:rPr>
                <w:spacing w:val="7"/>
                <w:sz w:val="20"/>
                <w:szCs w:val="20"/>
              </w:rPr>
              <w:t>规与标准的要求。</w:t>
            </w:r>
          </w:p>
        </w:tc>
        <w:tc>
          <w:tcPr>
            <w:tcW w:w="3123" w:type="dxa"/>
            <w:gridSpan w:val="2"/>
            <w:tcBorders>
              <w:top w:val="single" w:color="000000" w:sz="6" w:space="0"/>
            </w:tcBorders>
            <w:vAlign w:val="top"/>
          </w:tcPr>
          <w:p w14:paraId="1DAF66EE">
            <w:pPr>
              <w:pStyle w:val="6"/>
              <w:spacing w:before="93" w:line="222" w:lineRule="auto"/>
              <w:ind w:left="9" w:firstLine="423"/>
              <w:rPr>
                <w:sz w:val="20"/>
                <w:szCs w:val="20"/>
              </w:rPr>
            </w:pPr>
            <w:r>
              <w:rPr>
                <w:spacing w:val="8"/>
                <w:sz w:val="20"/>
                <w:szCs w:val="20"/>
              </w:rPr>
              <w:t>项目勘探过程使用无害化水</w:t>
            </w:r>
            <w:r>
              <w:rPr>
                <w:spacing w:val="6"/>
                <w:sz w:val="20"/>
                <w:szCs w:val="20"/>
              </w:rPr>
              <w:t>基泥浆，施工过程采用泥浆不落地循环系统装置，产生的废弃泥浆、钻井岩屑暂存废水罐，定期拉运至</w:t>
            </w:r>
            <w:r>
              <w:rPr>
                <w:spacing w:val="9"/>
                <w:sz w:val="20"/>
                <w:szCs w:val="20"/>
              </w:rPr>
              <w:t>内蒙古众宁环保科技有限公司油</w:t>
            </w:r>
            <w:r>
              <w:rPr>
                <w:spacing w:val="6"/>
                <w:sz w:val="20"/>
                <w:szCs w:val="20"/>
              </w:rPr>
              <w:t>气田废弃物集中处理厂处理（油气</w:t>
            </w:r>
            <w:r>
              <w:rPr>
                <w:spacing w:val="9"/>
                <w:sz w:val="20"/>
                <w:szCs w:val="20"/>
              </w:rPr>
              <w:t>田废弃物集中处理厂已取得环评批复并完成环保竣工自主验收工</w:t>
            </w:r>
            <w:r>
              <w:rPr>
                <w:sz w:val="20"/>
                <w:szCs w:val="20"/>
              </w:rPr>
              <w:t>作）。</w:t>
            </w:r>
          </w:p>
        </w:tc>
        <w:tc>
          <w:tcPr>
            <w:tcW w:w="732" w:type="dxa"/>
            <w:tcBorders>
              <w:top w:val="single" w:color="000000" w:sz="6" w:space="0"/>
              <w:right w:val="single" w:color="000000" w:sz="6" w:space="0"/>
            </w:tcBorders>
            <w:vAlign w:val="top"/>
          </w:tcPr>
          <w:p w14:paraId="46050549">
            <w:pPr>
              <w:spacing w:line="244" w:lineRule="auto"/>
              <w:rPr>
                <w:rFonts w:ascii="Arial"/>
                <w:sz w:val="21"/>
              </w:rPr>
            </w:pPr>
          </w:p>
          <w:p w14:paraId="396174C3">
            <w:pPr>
              <w:spacing w:line="245" w:lineRule="auto"/>
              <w:rPr>
                <w:rFonts w:ascii="Arial"/>
                <w:sz w:val="21"/>
              </w:rPr>
            </w:pPr>
          </w:p>
          <w:p w14:paraId="2BF52176">
            <w:pPr>
              <w:spacing w:line="245" w:lineRule="auto"/>
              <w:rPr>
                <w:rFonts w:ascii="Arial"/>
                <w:sz w:val="21"/>
              </w:rPr>
            </w:pPr>
          </w:p>
          <w:p w14:paraId="655E6972">
            <w:pPr>
              <w:spacing w:line="245" w:lineRule="auto"/>
              <w:rPr>
                <w:rFonts w:ascii="Arial"/>
                <w:sz w:val="21"/>
              </w:rPr>
            </w:pPr>
          </w:p>
          <w:p w14:paraId="66D441F9">
            <w:pPr>
              <w:pStyle w:val="6"/>
              <w:spacing w:before="65" w:line="228" w:lineRule="auto"/>
              <w:ind w:left="157"/>
              <w:rPr>
                <w:sz w:val="20"/>
                <w:szCs w:val="20"/>
              </w:rPr>
            </w:pPr>
            <w:r>
              <w:rPr>
                <w:spacing w:val="3"/>
                <w:sz w:val="20"/>
                <w:szCs w:val="20"/>
              </w:rPr>
              <w:t>符合</w:t>
            </w:r>
          </w:p>
        </w:tc>
      </w:tr>
      <w:tr w14:paraId="3DE60E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1456" w:type="dxa"/>
            <w:vMerge w:val="continue"/>
            <w:tcBorders>
              <w:top w:val="nil"/>
              <w:left w:val="single" w:color="000000" w:sz="6" w:space="0"/>
              <w:bottom w:val="nil"/>
              <w:right w:val="single" w:color="000000" w:sz="2" w:space="0"/>
            </w:tcBorders>
            <w:vAlign w:val="top"/>
          </w:tcPr>
          <w:p w14:paraId="463B6EA6">
            <w:pPr>
              <w:rPr>
                <w:rFonts w:ascii="Arial"/>
                <w:sz w:val="21"/>
              </w:rPr>
            </w:pPr>
          </w:p>
        </w:tc>
        <w:tc>
          <w:tcPr>
            <w:tcW w:w="3619" w:type="dxa"/>
            <w:gridSpan w:val="2"/>
            <w:tcBorders>
              <w:left w:val="single" w:color="000000" w:sz="2" w:space="0"/>
            </w:tcBorders>
            <w:vAlign w:val="top"/>
          </w:tcPr>
          <w:p w14:paraId="6445C9C4">
            <w:pPr>
              <w:pStyle w:val="6"/>
              <w:spacing w:before="196" w:line="224" w:lineRule="auto"/>
              <w:ind w:left="33" w:right="2" w:hanging="21"/>
              <w:rPr>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pacing w:val="6"/>
                <w:sz w:val="20"/>
                <w:szCs w:val="20"/>
              </w:rPr>
              <w:t>1.2</w:t>
            </w:r>
            <w:r>
              <w:rPr>
                <w:rFonts w:ascii="Times New Roman" w:hAnsi="Times New Roman" w:eastAsia="Times New Roman" w:cs="Times New Roman"/>
                <w:spacing w:val="-10"/>
                <w:sz w:val="20"/>
                <w:szCs w:val="20"/>
              </w:rPr>
              <w:t xml:space="preserve"> </w:t>
            </w:r>
            <w:r>
              <w:rPr>
                <w:spacing w:val="6"/>
                <w:sz w:val="20"/>
                <w:szCs w:val="20"/>
              </w:rPr>
              <w:t>钻井废物处置过程宜使用环境友好</w:t>
            </w:r>
            <w:r>
              <w:rPr>
                <w:spacing w:val="5"/>
                <w:sz w:val="20"/>
                <w:szCs w:val="20"/>
              </w:rPr>
              <w:t>的原材料与添加剂。</w:t>
            </w:r>
          </w:p>
        </w:tc>
        <w:tc>
          <w:tcPr>
            <w:tcW w:w="3123" w:type="dxa"/>
            <w:gridSpan w:val="2"/>
            <w:vAlign w:val="top"/>
          </w:tcPr>
          <w:p w14:paraId="3098798A">
            <w:pPr>
              <w:pStyle w:val="6"/>
              <w:spacing w:before="76" w:line="223" w:lineRule="auto"/>
              <w:ind w:left="10" w:firstLine="423"/>
              <w:rPr>
                <w:sz w:val="20"/>
                <w:szCs w:val="20"/>
              </w:rPr>
            </w:pPr>
            <w:r>
              <w:rPr>
                <w:spacing w:val="6"/>
                <w:sz w:val="20"/>
                <w:szCs w:val="20"/>
              </w:rPr>
              <w:t>项目使用水基泥浆，水基泥浆</w:t>
            </w:r>
            <w:r>
              <w:rPr>
                <w:spacing w:val="9"/>
                <w:sz w:val="20"/>
                <w:szCs w:val="20"/>
              </w:rPr>
              <w:t>配置所需原辅材料不涉及有毒有</w:t>
            </w:r>
            <w:r>
              <w:rPr>
                <w:spacing w:val="8"/>
                <w:sz w:val="20"/>
                <w:szCs w:val="20"/>
              </w:rPr>
              <w:t>害及易燃易爆等危险品。</w:t>
            </w:r>
          </w:p>
        </w:tc>
        <w:tc>
          <w:tcPr>
            <w:tcW w:w="732" w:type="dxa"/>
            <w:tcBorders>
              <w:right w:val="single" w:color="000000" w:sz="6" w:space="0"/>
            </w:tcBorders>
            <w:vAlign w:val="top"/>
          </w:tcPr>
          <w:p w14:paraId="2EAFBB6C">
            <w:pPr>
              <w:spacing w:line="249" w:lineRule="auto"/>
              <w:rPr>
                <w:rFonts w:ascii="Arial"/>
                <w:sz w:val="21"/>
              </w:rPr>
            </w:pPr>
          </w:p>
          <w:p w14:paraId="631BAAD3">
            <w:pPr>
              <w:pStyle w:val="6"/>
              <w:spacing w:before="65" w:line="228" w:lineRule="auto"/>
              <w:ind w:left="157"/>
              <w:rPr>
                <w:sz w:val="20"/>
                <w:szCs w:val="20"/>
              </w:rPr>
            </w:pPr>
            <w:r>
              <w:rPr>
                <w:spacing w:val="3"/>
                <w:sz w:val="20"/>
                <w:szCs w:val="20"/>
              </w:rPr>
              <w:t>符合</w:t>
            </w:r>
          </w:p>
        </w:tc>
      </w:tr>
      <w:tr w14:paraId="1E215E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9" w:hRule="atLeast"/>
        </w:trPr>
        <w:tc>
          <w:tcPr>
            <w:tcW w:w="1456" w:type="dxa"/>
            <w:vMerge w:val="continue"/>
            <w:tcBorders>
              <w:top w:val="nil"/>
              <w:left w:val="single" w:color="000000" w:sz="6" w:space="0"/>
              <w:bottom w:val="nil"/>
              <w:right w:val="single" w:color="000000" w:sz="2" w:space="0"/>
            </w:tcBorders>
            <w:vAlign w:val="top"/>
          </w:tcPr>
          <w:p w14:paraId="134F10CA">
            <w:pPr>
              <w:rPr>
                <w:rFonts w:ascii="Arial"/>
                <w:sz w:val="21"/>
              </w:rPr>
            </w:pPr>
          </w:p>
        </w:tc>
        <w:tc>
          <w:tcPr>
            <w:tcW w:w="3619" w:type="dxa"/>
            <w:gridSpan w:val="2"/>
            <w:tcBorders>
              <w:left w:val="single" w:color="000000" w:sz="2" w:space="0"/>
            </w:tcBorders>
            <w:vAlign w:val="top"/>
          </w:tcPr>
          <w:p w14:paraId="2801732A">
            <w:pPr>
              <w:spacing w:line="348" w:lineRule="auto"/>
              <w:rPr>
                <w:rFonts w:ascii="Arial"/>
                <w:sz w:val="21"/>
              </w:rPr>
            </w:pPr>
          </w:p>
          <w:p w14:paraId="79200DA8">
            <w:pPr>
              <w:pStyle w:val="6"/>
              <w:spacing w:before="65" w:line="224" w:lineRule="auto"/>
              <w:ind w:left="18" w:right="2" w:hanging="6"/>
              <w:jc w:val="both"/>
              <w:rPr>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14"/>
                <w:sz w:val="20"/>
                <w:szCs w:val="20"/>
              </w:rPr>
              <w:t xml:space="preserve"> </w:t>
            </w:r>
            <w:r>
              <w:rPr>
                <w:rFonts w:ascii="Times New Roman" w:hAnsi="Times New Roman" w:eastAsia="Times New Roman" w:cs="Times New Roman"/>
                <w:spacing w:val="6"/>
                <w:sz w:val="20"/>
                <w:szCs w:val="20"/>
              </w:rPr>
              <w:t>1.3</w:t>
            </w:r>
            <w:r>
              <w:rPr>
                <w:rFonts w:ascii="Times New Roman" w:hAnsi="Times New Roman" w:eastAsia="Times New Roman" w:cs="Times New Roman"/>
                <w:spacing w:val="-11"/>
                <w:sz w:val="20"/>
                <w:szCs w:val="20"/>
              </w:rPr>
              <w:t xml:space="preserve"> </w:t>
            </w:r>
            <w:r>
              <w:rPr>
                <w:spacing w:val="6"/>
                <w:sz w:val="20"/>
                <w:szCs w:val="20"/>
              </w:rPr>
              <w:t>对水基钻井液体系钻井废物宜实施</w:t>
            </w:r>
            <w:r>
              <w:rPr>
                <w:spacing w:val="9"/>
                <w:sz w:val="20"/>
                <w:szCs w:val="20"/>
              </w:rPr>
              <w:t>固液分离处置，对液相尽可能进行回收</w:t>
            </w:r>
            <w:r>
              <w:rPr>
                <w:spacing w:val="4"/>
                <w:sz w:val="20"/>
                <w:szCs w:val="20"/>
              </w:rPr>
              <w:t>再利用。</w:t>
            </w:r>
          </w:p>
        </w:tc>
        <w:tc>
          <w:tcPr>
            <w:tcW w:w="3123" w:type="dxa"/>
            <w:gridSpan w:val="2"/>
            <w:vAlign w:val="top"/>
          </w:tcPr>
          <w:p w14:paraId="7BE92D6C">
            <w:pPr>
              <w:pStyle w:val="6"/>
              <w:spacing w:before="54" w:line="223" w:lineRule="auto"/>
              <w:ind w:left="11" w:firstLine="422"/>
              <w:rPr>
                <w:sz w:val="20"/>
                <w:szCs w:val="20"/>
              </w:rPr>
            </w:pPr>
            <w:r>
              <w:rPr>
                <w:spacing w:val="6"/>
                <w:sz w:val="20"/>
                <w:szCs w:val="20"/>
              </w:rPr>
              <w:t>项目使用水基泥浆，并配备完善的固控设备，废弃泥浆、钻井岩</w:t>
            </w:r>
            <w:r>
              <w:rPr>
                <w:spacing w:val="9"/>
                <w:sz w:val="20"/>
                <w:szCs w:val="20"/>
              </w:rPr>
              <w:t>屑拉运至内蒙古众宁环保科技有限公司油气田废弃物集中处理厂</w:t>
            </w:r>
            <w:r>
              <w:rPr>
                <w:spacing w:val="6"/>
                <w:sz w:val="20"/>
                <w:szCs w:val="20"/>
              </w:rPr>
              <w:t>处理，经压滤后产生的废水拉运至</w:t>
            </w:r>
            <w:r>
              <w:rPr>
                <w:spacing w:val="7"/>
                <w:sz w:val="20"/>
                <w:szCs w:val="20"/>
              </w:rPr>
              <w:t>有资质单位处理。</w:t>
            </w:r>
          </w:p>
        </w:tc>
        <w:tc>
          <w:tcPr>
            <w:tcW w:w="732" w:type="dxa"/>
            <w:tcBorders>
              <w:right w:val="single" w:color="000000" w:sz="6" w:space="0"/>
            </w:tcBorders>
            <w:vAlign w:val="top"/>
          </w:tcPr>
          <w:p w14:paraId="4A1E1803">
            <w:pPr>
              <w:spacing w:line="293" w:lineRule="auto"/>
              <w:rPr>
                <w:rFonts w:ascii="Arial"/>
                <w:sz w:val="21"/>
              </w:rPr>
            </w:pPr>
          </w:p>
          <w:p w14:paraId="1729D22E">
            <w:pPr>
              <w:spacing w:line="294" w:lineRule="auto"/>
              <w:rPr>
                <w:rFonts w:ascii="Arial"/>
                <w:sz w:val="21"/>
              </w:rPr>
            </w:pPr>
          </w:p>
          <w:p w14:paraId="390B7CB6">
            <w:pPr>
              <w:pStyle w:val="6"/>
              <w:spacing w:before="65" w:line="228" w:lineRule="auto"/>
              <w:ind w:left="157"/>
              <w:rPr>
                <w:sz w:val="20"/>
                <w:szCs w:val="20"/>
              </w:rPr>
            </w:pPr>
            <w:r>
              <w:rPr>
                <w:spacing w:val="3"/>
                <w:sz w:val="20"/>
                <w:szCs w:val="20"/>
              </w:rPr>
              <w:t>符合</w:t>
            </w:r>
          </w:p>
        </w:tc>
      </w:tr>
      <w:tr w14:paraId="69CBC9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5" w:hRule="atLeast"/>
        </w:trPr>
        <w:tc>
          <w:tcPr>
            <w:tcW w:w="1456" w:type="dxa"/>
            <w:vMerge w:val="continue"/>
            <w:tcBorders>
              <w:top w:val="nil"/>
              <w:left w:val="single" w:color="000000" w:sz="6" w:space="0"/>
              <w:bottom w:val="nil"/>
              <w:right w:val="single" w:color="000000" w:sz="2" w:space="0"/>
            </w:tcBorders>
            <w:vAlign w:val="top"/>
          </w:tcPr>
          <w:p w14:paraId="74F3FD8E">
            <w:pPr>
              <w:rPr>
                <w:rFonts w:ascii="Arial"/>
                <w:sz w:val="21"/>
              </w:rPr>
            </w:pPr>
          </w:p>
        </w:tc>
        <w:tc>
          <w:tcPr>
            <w:tcW w:w="3619" w:type="dxa"/>
            <w:gridSpan w:val="2"/>
            <w:tcBorders>
              <w:left w:val="single" w:color="000000" w:sz="2" w:space="0"/>
              <w:bottom w:val="single" w:color="000000" w:sz="10" w:space="0"/>
            </w:tcBorders>
            <w:vAlign w:val="top"/>
          </w:tcPr>
          <w:p w14:paraId="7292AD7F">
            <w:pPr>
              <w:pStyle w:val="6"/>
              <w:spacing w:before="188" w:line="223" w:lineRule="auto"/>
              <w:ind w:left="15" w:hanging="3"/>
              <w:jc w:val="both"/>
              <w:rPr>
                <w:sz w:val="20"/>
                <w:szCs w:val="20"/>
              </w:rPr>
            </w:pPr>
            <w:r>
              <w:rPr>
                <w:rFonts w:ascii="Times New Roman" w:hAnsi="Times New Roman" w:eastAsia="Times New Roman" w:cs="Times New Roman"/>
                <w:spacing w:val="3"/>
                <w:sz w:val="20"/>
                <w:szCs w:val="20"/>
              </w:rPr>
              <w:t>4.</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3"/>
                <w:sz w:val="20"/>
                <w:szCs w:val="20"/>
              </w:rPr>
              <w:t>1.4</w:t>
            </w:r>
            <w:r>
              <w:rPr>
                <w:rFonts w:ascii="Times New Roman" w:hAnsi="Times New Roman" w:eastAsia="Times New Roman" w:cs="Times New Roman"/>
                <w:spacing w:val="-10"/>
                <w:sz w:val="20"/>
                <w:szCs w:val="20"/>
              </w:rPr>
              <w:t xml:space="preserve"> </w:t>
            </w:r>
            <w:r>
              <w:rPr>
                <w:spacing w:val="3"/>
                <w:sz w:val="20"/>
                <w:szCs w:val="20"/>
              </w:rPr>
              <w:t>钻井废物处置过程中应采取必要措</w:t>
            </w:r>
            <w:r>
              <w:rPr>
                <w:spacing w:val="-1"/>
                <w:sz w:val="20"/>
                <w:szCs w:val="20"/>
              </w:rPr>
              <w:t>施，保护处置场地周边地表水、地下水、</w:t>
            </w:r>
            <w:r>
              <w:rPr>
                <w:spacing w:val="5"/>
                <w:sz w:val="20"/>
                <w:szCs w:val="20"/>
              </w:rPr>
              <w:t>土壤、空气、植被以及野生动物栖息环境，避免造成环境污染和生态破坏。</w:t>
            </w:r>
          </w:p>
        </w:tc>
        <w:tc>
          <w:tcPr>
            <w:tcW w:w="3123" w:type="dxa"/>
            <w:gridSpan w:val="2"/>
            <w:tcBorders>
              <w:bottom w:val="single" w:color="000000" w:sz="10" w:space="0"/>
            </w:tcBorders>
            <w:vAlign w:val="top"/>
          </w:tcPr>
          <w:p w14:paraId="3FADAABB">
            <w:pPr>
              <w:pStyle w:val="6"/>
              <w:spacing w:before="67" w:line="223" w:lineRule="auto"/>
              <w:ind w:left="8" w:firstLine="424"/>
              <w:rPr>
                <w:sz w:val="20"/>
                <w:szCs w:val="20"/>
              </w:rPr>
            </w:pPr>
            <w:r>
              <w:rPr>
                <w:spacing w:val="8"/>
                <w:sz w:val="20"/>
                <w:szCs w:val="20"/>
              </w:rPr>
              <w:t>项目钻井现场采用泥浆不落</w:t>
            </w:r>
            <w:r>
              <w:rPr>
                <w:spacing w:val="6"/>
                <w:sz w:val="20"/>
                <w:szCs w:val="20"/>
              </w:rPr>
              <w:t>地循环系统装置，不建泥浆池。按照要求对井场采取分区防渗措施，</w:t>
            </w:r>
            <w:r>
              <w:rPr>
                <w:spacing w:val="9"/>
                <w:sz w:val="20"/>
                <w:szCs w:val="20"/>
              </w:rPr>
              <w:t>对泥浆不落地循环系统装置区等</w:t>
            </w:r>
            <w:r>
              <w:rPr>
                <w:spacing w:val="7"/>
                <w:sz w:val="20"/>
                <w:szCs w:val="20"/>
              </w:rPr>
              <w:t>进行重点防渗。</w:t>
            </w:r>
          </w:p>
        </w:tc>
        <w:tc>
          <w:tcPr>
            <w:tcW w:w="732" w:type="dxa"/>
            <w:tcBorders>
              <w:bottom w:val="single" w:color="000000" w:sz="10" w:space="0"/>
              <w:right w:val="single" w:color="000000" w:sz="6" w:space="0"/>
            </w:tcBorders>
            <w:vAlign w:val="top"/>
          </w:tcPr>
          <w:p w14:paraId="3CCD1FB9">
            <w:pPr>
              <w:spacing w:line="479" w:lineRule="auto"/>
              <w:rPr>
                <w:rFonts w:ascii="Arial"/>
                <w:sz w:val="21"/>
              </w:rPr>
            </w:pPr>
          </w:p>
          <w:p w14:paraId="24CD5AC4">
            <w:pPr>
              <w:pStyle w:val="6"/>
              <w:spacing w:before="65" w:line="228" w:lineRule="auto"/>
              <w:ind w:left="157"/>
              <w:rPr>
                <w:sz w:val="20"/>
                <w:szCs w:val="20"/>
              </w:rPr>
            </w:pPr>
            <w:r>
              <w:rPr>
                <w:spacing w:val="3"/>
                <w:sz w:val="20"/>
                <w:szCs w:val="20"/>
              </w:rPr>
              <w:t>符合</w:t>
            </w:r>
          </w:p>
        </w:tc>
      </w:tr>
      <w:tr w14:paraId="4467D6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1456" w:type="dxa"/>
            <w:vMerge w:val="continue"/>
            <w:tcBorders>
              <w:top w:val="nil"/>
              <w:left w:val="single" w:color="000000" w:sz="6" w:space="0"/>
              <w:bottom w:val="nil"/>
              <w:right w:val="single" w:color="000000" w:sz="2" w:space="0"/>
            </w:tcBorders>
            <w:vAlign w:val="top"/>
          </w:tcPr>
          <w:p w14:paraId="780C84B4">
            <w:pPr>
              <w:rPr>
                <w:rFonts w:ascii="Arial"/>
                <w:sz w:val="21"/>
              </w:rPr>
            </w:pPr>
          </w:p>
        </w:tc>
        <w:tc>
          <w:tcPr>
            <w:tcW w:w="7474" w:type="dxa"/>
            <w:gridSpan w:val="5"/>
            <w:tcBorders>
              <w:top w:val="single" w:color="000000" w:sz="10" w:space="0"/>
              <w:left w:val="single" w:color="000000" w:sz="2" w:space="0"/>
              <w:bottom w:val="single" w:color="000000" w:sz="10" w:space="0"/>
              <w:right w:val="single" w:color="000000" w:sz="6" w:space="0"/>
            </w:tcBorders>
            <w:vAlign w:val="top"/>
          </w:tcPr>
          <w:p w14:paraId="6FDB2E7E">
            <w:pPr>
              <w:pStyle w:val="6"/>
              <w:spacing w:before="33" w:line="359" w:lineRule="auto"/>
              <w:ind w:left="20" w:firstLine="473"/>
            </w:pPr>
            <w:r>
              <w:rPr>
                <w:rFonts w:ascii="Times New Roman" w:hAnsi="Times New Roman" w:eastAsia="Times New Roman" w:cs="Times New Roman"/>
                <w:spacing w:val="-16"/>
              </w:rPr>
              <w:t>6</w:t>
            </w:r>
            <w:r>
              <w:rPr>
                <w:spacing w:val="-16"/>
              </w:rPr>
              <w:t>、《矿山生态环境保护与恢复治理技术规范（试行）》（</w:t>
            </w:r>
            <w:r>
              <w:rPr>
                <w:rFonts w:ascii="Times New Roman" w:hAnsi="Times New Roman" w:eastAsia="Times New Roman" w:cs="Times New Roman"/>
                <w:spacing w:val="-16"/>
              </w:rPr>
              <w:t>HJ651-2013</w:t>
            </w:r>
            <w:r>
              <w:rPr>
                <w:spacing w:val="-16"/>
              </w:rPr>
              <w:t>）</w:t>
            </w:r>
            <w:r>
              <w:rPr>
                <w:spacing w:val="-4"/>
              </w:rPr>
              <w:t>符合性分析如下。</w:t>
            </w:r>
          </w:p>
          <w:p w14:paraId="070A45BC">
            <w:pPr>
              <w:spacing w:before="1" w:line="220" w:lineRule="auto"/>
              <w:ind w:left="492"/>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30"/>
                <w:sz w:val="24"/>
                <w:szCs w:val="24"/>
              </w:rPr>
              <w:t xml:space="preserve"> </w:t>
            </w:r>
            <w:r>
              <w:rPr>
                <w:rFonts w:ascii="Times New Roman" w:hAnsi="Times New Roman" w:eastAsia="Times New Roman" w:cs="Times New Roman"/>
                <w:spacing w:val="-1"/>
                <w:sz w:val="24"/>
                <w:szCs w:val="24"/>
              </w:rPr>
              <w:t xml:space="preserve">1-6  </w:t>
            </w:r>
            <w:r>
              <w:rPr>
                <w:rFonts w:ascii="黑体" w:hAnsi="黑体" w:eastAsia="黑体" w:cs="黑体"/>
                <w:spacing w:val="-1"/>
                <w:sz w:val="24"/>
                <w:szCs w:val="24"/>
              </w:rPr>
              <w:t>与《矿山生态环境保护与恢复治理技术规范（试行）》</w:t>
            </w:r>
          </w:p>
          <w:p w14:paraId="552C62F6">
            <w:pPr>
              <w:spacing w:before="24" w:line="208" w:lineRule="auto"/>
              <w:ind w:left="3137"/>
              <w:rPr>
                <w:rFonts w:ascii="黑体" w:hAnsi="黑体" w:eastAsia="黑体" w:cs="黑体"/>
                <w:sz w:val="24"/>
                <w:szCs w:val="24"/>
              </w:rPr>
            </w:pPr>
            <w:r>
              <w:rPr>
                <w:rFonts w:ascii="黑体" w:hAnsi="黑体" w:eastAsia="黑体" w:cs="黑体"/>
                <w:spacing w:val="-2"/>
                <w:sz w:val="24"/>
                <w:szCs w:val="24"/>
              </w:rPr>
              <w:t>符合性分析</w:t>
            </w:r>
          </w:p>
        </w:tc>
      </w:tr>
      <w:tr w14:paraId="1D2C3D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trPr>
        <w:tc>
          <w:tcPr>
            <w:tcW w:w="1456" w:type="dxa"/>
            <w:vMerge w:val="continue"/>
            <w:tcBorders>
              <w:top w:val="nil"/>
              <w:left w:val="single" w:color="000000" w:sz="6" w:space="0"/>
              <w:bottom w:val="nil"/>
              <w:right w:val="single" w:color="000000" w:sz="2" w:space="0"/>
            </w:tcBorders>
            <w:vAlign w:val="top"/>
          </w:tcPr>
          <w:p w14:paraId="10B48705">
            <w:pPr>
              <w:rPr>
                <w:rFonts w:ascii="Arial"/>
                <w:sz w:val="21"/>
              </w:rPr>
            </w:pPr>
          </w:p>
        </w:tc>
        <w:tc>
          <w:tcPr>
            <w:tcW w:w="3948" w:type="dxa"/>
            <w:gridSpan w:val="3"/>
            <w:tcBorders>
              <w:top w:val="single" w:color="000000" w:sz="10" w:space="0"/>
              <w:left w:val="single" w:color="000000" w:sz="2" w:space="0"/>
              <w:bottom w:val="single" w:color="000000" w:sz="2" w:space="0"/>
              <w:right w:val="single" w:color="000000" w:sz="2" w:space="0"/>
            </w:tcBorders>
            <w:vAlign w:val="top"/>
          </w:tcPr>
          <w:p w14:paraId="73127503">
            <w:pPr>
              <w:pStyle w:val="6"/>
              <w:spacing w:before="92" w:line="228" w:lineRule="auto"/>
              <w:ind w:left="1357"/>
              <w:rPr>
                <w:sz w:val="20"/>
                <w:szCs w:val="20"/>
              </w:rPr>
            </w:pPr>
            <w:r>
              <w:rPr>
                <w:spacing w:val="8"/>
                <w:sz w:val="20"/>
                <w:szCs w:val="20"/>
              </w:rPr>
              <w:t>技术规范要求</w:t>
            </w:r>
          </w:p>
        </w:tc>
        <w:tc>
          <w:tcPr>
            <w:tcW w:w="3526" w:type="dxa"/>
            <w:gridSpan w:val="2"/>
            <w:tcBorders>
              <w:top w:val="single" w:color="000000" w:sz="10" w:space="0"/>
              <w:left w:val="single" w:color="000000" w:sz="2" w:space="0"/>
              <w:bottom w:val="single" w:color="000000" w:sz="2" w:space="0"/>
              <w:right w:val="single" w:color="000000" w:sz="6" w:space="0"/>
            </w:tcBorders>
            <w:vAlign w:val="top"/>
          </w:tcPr>
          <w:p w14:paraId="21FB8123">
            <w:pPr>
              <w:pStyle w:val="6"/>
              <w:spacing w:before="92" w:line="228" w:lineRule="auto"/>
              <w:ind w:left="1236"/>
              <w:rPr>
                <w:sz w:val="20"/>
                <w:szCs w:val="20"/>
              </w:rPr>
            </w:pPr>
            <w:r>
              <w:rPr>
                <w:spacing w:val="7"/>
                <w:sz w:val="20"/>
                <w:szCs w:val="20"/>
              </w:rPr>
              <w:t>符合性分析</w:t>
            </w:r>
          </w:p>
        </w:tc>
      </w:tr>
      <w:tr w14:paraId="7FCB9E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2" w:hRule="atLeast"/>
        </w:trPr>
        <w:tc>
          <w:tcPr>
            <w:tcW w:w="1456" w:type="dxa"/>
            <w:vMerge w:val="continue"/>
            <w:tcBorders>
              <w:top w:val="nil"/>
              <w:left w:val="single" w:color="000000" w:sz="6" w:space="0"/>
              <w:bottom w:val="single" w:color="000000" w:sz="6" w:space="0"/>
              <w:right w:val="single" w:color="000000" w:sz="2" w:space="0"/>
            </w:tcBorders>
            <w:vAlign w:val="top"/>
          </w:tcPr>
          <w:p w14:paraId="3EB84A41">
            <w:pPr>
              <w:rPr>
                <w:rFonts w:ascii="Arial"/>
                <w:sz w:val="21"/>
              </w:rPr>
            </w:pPr>
          </w:p>
        </w:tc>
        <w:tc>
          <w:tcPr>
            <w:tcW w:w="493" w:type="dxa"/>
            <w:tcBorders>
              <w:top w:val="single" w:color="000000" w:sz="2" w:space="0"/>
              <w:left w:val="single" w:color="000000" w:sz="2" w:space="0"/>
              <w:bottom w:val="single" w:color="000000" w:sz="6" w:space="0"/>
              <w:right w:val="single" w:color="000000" w:sz="2" w:space="0"/>
            </w:tcBorders>
            <w:vAlign w:val="top"/>
          </w:tcPr>
          <w:p w14:paraId="3EF9527A">
            <w:pPr>
              <w:spacing w:line="242" w:lineRule="auto"/>
              <w:rPr>
                <w:rFonts w:ascii="Arial"/>
                <w:sz w:val="21"/>
              </w:rPr>
            </w:pPr>
          </w:p>
          <w:p w14:paraId="0EABDF49">
            <w:pPr>
              <w:spacing w:line="242" w:lineRule="auto"/>
              <w:rPr>
                <w:rFonts w:ascii="Arial"/>
                <w:sz w:val="21"/>
              </w:rPr>
            </w:pPr>
          </w:p>
          <w:p w14:paraId="2DE4DF0C">
            <w:pPr>
              <w:spacing w:line="242" w:lineRule="auto"/>
              <w:rPr>
                <w:rFonts w:ascii="Arial"/>
                <w:sz w:val="21"/>
              </w:rPr>
            </w:pPr>
          </w:p>
          <w:p w14:paraId="3F336D86">
            <w:pPr>
              <w:spacing w:line="242" w:lineRule="auto"/>
              <w:rPr>
                <w:rFonts w:ascii="Arial"/>
                <w:sz w:val="21"/>
              </w:rPr>
            </w:pPr>
          </w:p>
          <w:p w14:paraId="1FE10707">
            <w:pPr>
              <w:spacing w:line="243" w:lineRule="auto"/>
              <w:rPr>
                <w:rFonts w:ascii="Arial"/>
                <w:sz w:val="21"/>
              </w:rPr>
            </w:pPr>
          </w:p>
          <w:p w14:paraId="541929B9">
            <w:pPr>
              <w:spacing w:line="243" w:lineRule="auto"/>
              <w:rPr>
                <w:rFonts w:ascii="Arial"/>
                <w:sz w:val="21"/>
              </w:rPr>
            </w:pPr>
          </w:p>
          <w:p w14:paraId="66042967">
            <w:pPr>
              <w:spacing w:line="243" w:lineRule="auto"/>
              <w:rPr>
                <w:rFonts w:ascii="Arial"/>
                <w:sz w:val="21"/>
              </w:rPr>
            </w:pPr>
          </w:p>
          <w:p w14:paraId="01101631">
            <w:pPr>
              <w:spacing w:line="243" w:lineRule="auto"/>
              <w:rPr>
                <w:rFonts w:ascii="Arial"/>
                <w:sz w:val="21"/>
              </w:rPr>
            </w:pPr>
          </w:p>
          <w:p w14:paraId="286D2851">
            <w:pPr>
              <w:spacing w:line="243" w:lineRule="auto"/>
              <w:rPr>
                <w:rFonts w:ascii="Arial"/>
                <w:sz w:val="21"/>
              </w:rPr>
            </w:pPr>
          </w:p>
          <w:p w14:paraId="0739BD7D">
            <w:pPr>
              <w:spacing w:before="58" w:line="195" w:lineRule="auto"/>
              <w:ind w:left="11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w:t>
            </w:r>
          </w:p>
        </w:tc>
        <w:tc>
          <w:tcPr>
            <w:tcW w:w="3455" w:type="dxa"/>
            <w:gridSpan w:val="2"/>
            <w:tcBorders>
              <w:top w:val="single" w:color="000000" w:sz="2" w:space="0"/>
              <w:left w:val="single" w:color="000000" w:sz="2" w:space="0"/>
              <w:bottom w:val="single" w:color="000000" w:sz="6" w:space="0"/>
              <w:right w:val="single" w:color="000000" w:sz="2" w:space="0"/>
            </w:tcBorders>
            <w:vAlign w:val="top"/>
          </w:tcPr>
          <w:p w14:paraId="3382446A">
            <w:pPr>
              <w:spacing w:line="298" w:lineRule="auto"/>
              <w:rPr>
                <w:rFonts w:ascii="Arial"/>
                <w:sz w:val="21"/>
              </w:rPr>
            </w:pPr>
          </w:p>
          <w:p w14:paraId="3D6C8B15">
            <w:pPr>
              <w:spacing w:line="298" w:lineRule="auto"/>
              <w:rPr>
                <w:rFonts w:ascii="Arial"/>
                <w:sz w:val="21"/>
              </w:rPr>
            </w:pPr>
          </w:p>
          <w:p w14:paraId="3628F013">
            <w:pPr>
              <w:spacing w:line="298" w:lineRule="auto"/>
              <w:rPr>
                <w:rFonts w:ascii="Arial"/>
                <w:sz w:val="21"/>
              </w:rPr>
            </w:pPr>
          </w:p>
          <w:p w14:paraId="53DA6DE7">
            <w:pPr>
              <w:spacing w:line="298" w:lineRule="auto"/>
              <w:rPr>
                <w:rFonts w:ascii="Arial"/>
                <w:sz w:val="21"/>
              </w:rPr>
            </w:pPr>
          </w:p>
          <w:p w14:paraId="22FD42AB">
            <w:pPr>
              <w:pStyle w:val="6"/>
              <w:spacing w:before="65" w:line="252" w:lineRule="auto"/>
              <w:ind w:left="30" w:right="26" w:hanging="2"/>
              <w:jc w:val="both"/>
              <w:rPr>
                <w:sz w:val="20"/>
                <w:szCs w:val="20"/>
              </w:rPr>
            </w:pPr>
            <w:r>
              <w:rPr>
                <w:spacing w:val="12"/>
                <w:sz w:val="20"/>
                <w:szCs w:val="20"/>
              </w:rPr>
              <w:t>禁止在依法划定的自然保护区、风景名胜区、森林公园、饮用水水源保护区、文物古迹所在地、地质遗迹保护</w:t>
            </w:r>
          </w:p>
          <w:p w14:paraId="01E51BE2">
            <w:pPr>
              <w:pStyle w:val="6"/>
              <w:spacing w:before="1" w:line="251" w:lineRule="auto"/>
              <w:ind w:left="26" w:right="26" w:firstLine="17"/>
              <w:jc w:val="both"/>
              <w:rPr>
                <w:sz w:val="20"/>
                <w:szCs w:val="20"/>
              </w:rPr>
            </w:pPr>
            <w:r>
              <w:rPr>
                <w:spacing w:val="11"/>
                <w:sz w:val="20"/>
                <w:szCs w:val="20"/>
              </w:rPr>
              <w:t>区、基本农田保护区等重要生态保护</w:t>
            </w:r>
            <w:r>
              <w:rPr>
                <w:spacing w:val="12"/>
                <w:sz w:val="20"/>
                <w:szCs w:val="20"/>
              </w:rPr>
              <w:t>地以及其他法律法规规定的禁采区域内采矿。禁止在重要道路、航道两侧及重要生态环境敏感目标可视范围内</w:t>
            </w:r>
            <w:r>
              <w:rPr>
                <w:spacing w:val="8"/>
                <w:sz w:val="20"/>
                <w:szCs w:val="20"/>
              </w:rPr>
              <w:t>进行对景观破坏明显的露天开采。</w:t>
            </w:r>
          </w:p>
        </w:tc>
        <w:tc>
          <w:tcPr>
            <w:tcW w:w="3526" w:type="dxa"/>
            <w:gridSpan w:val="2"/>
            <w:tcBorders>
              <w:top w:val="single" w:color="000000" w:sz="2" w:space="0"/>
              <w:left w:val="single" w:color="000000" w:sz="2" w:space="0"/>
              <w:bottom w:val="single" w:color="000000" w:sz="6" w:space="0"/>
              <w:right w:val="single" w:color="000000" w:sz="6" w:space="0"/>
            </w:tcBorders>
            <w:vAlign w:val="top"/>
          </w:tcPr>
          <w:p w14:paraId="3051BF58">
            <w:pPr>
              <w:pStyle w:val="6"/>
              <w:spacing w:before="43" w:line="251" w:lineRule="auto"/>
              <w:ind w:left="12" w:right="9" w:firstLine="423"/>
              <w:jc w:val="both"/>
              <w:rPr>
                <w:sz w:val="20"/>
                <w:szCs w:val="20"/>
              </w:rPr>
            </w:pPr>
            <w:r>
              <w:rPr>
                <w:spacing w:val="18"/>
                <w:sz w:val="20"/>
                <w:szCs w:val="20"/>
              </w:rPr>
              <w:t>项目不在自然保护区、风景名胜</w:t>
            </w:r>
            <w:r>
              <w:rPr>
                <w:spacing w:val="5"/>
                <w:sz w:val="20"/>
                <w:szCs w:val="20"/>
              </w:rPr>
              <w:t>区、森林公园、饮用水水源保护区、文物古迹所在地、地质遗迹保护区等重要</w:t>
            </w:r>
            <w:r>
              <w:rPr>
                <w:spacing w:val="18"/>
                <w:sz w:val="20"/>
                <w:szCs w:val="20"/>
              </w:rPr>
              <w:t>生态保护地以及其他法律法规规定的</w:t>
            </w:r>
            <w:r>
              <w:rPr>
                <w:spacing w:val="6"/>
                <w:sz w:val="20"/>
                <w:szCs w:val="20"/>
              </w:rPr>
              <w:t>禁采区域内。</w:t>
            </w:r>
          </w:p>
          <w:p w14:paraId="063599CA">
            <w:pPr>
              <w:pStyle w:val="6"/>
              <w:spacing w:before="2" w:line="251" w:lineRule="auto"/>
              <w:ind w:left="11" w:firstLine="420"/>
              <w:jc w:val="both"/>
              <w:rPr>
                <w:sz w:val="20"/>
                <w:szCs w:val="20"/>
              </w:rPr>
            </w:pPr>
            <w:r>
              <w:rPr>
                <w:spacing w:val="4"/>
                <w:sz w:val="20"/>
                <w:szCs w:val="20"/>
              </w:rPr>
              <w:t>石油资源埋藏于地下，由于目前勘</w:t>
            </w:r>
            <w:r>
              <w:rPr>
                <w:spacing w:val="5"/>
                <w:sz w:val="20"/>
                <w:szCs w:val="20"/>
              </w:rPr>
              <w:t>探技术对地下认识的局限性，具有高风险特征，因此，石油勘探在未获得经济开采价值前，均需临时占用土地进行勘</w:t>
            </w:r>
            <w:r>
              <w:rPr>
                <w:spacing w:val="6"/>
                <w:sz w:val="20"/>
                <w:szCs w:val="20"/>
              </w:rPr>
              <w:t>察。项目所在区域基本农田广泛分布，</w:t>
            </w:r>
            <w:r>
              <w:rPr>
                <w:spacing w:val="17"/>
                <w:sz w:val="20"/>
                <w:szCs w:val="20"/>
              </w:rPr>
              <w:t>因此不可避免要临时占用永久基本农</w:t>
            </w:r>
            <w:r>
              <w:rPr>
                <w:sz w:val="20"/>
                <w:szCs w:val="20"/>
              </w:rPr>
              <w:t>田。</w:t>
            </w:r>
          </w:p>
          <w:p w14:paraId="55D0D286">
            <w:pPr>
              <w:pStyle w:val="6"/>
              <w:spacing w:line="248" w:lineRule="auto"/>
              <w:ind w:left="12" w:right="9" w:firstLine="416"/>
              <w:jc w:val="both"/>
              <w:rPr>
                <w:sz w:val="20"/>
                <w:szCs w:val="20"/>
              </w:rPr>
            </w:pPr>
            <w:r>
              <w:rPr>
                <w:rFonts w:ascii="Times New Roman" w:hAnsi="Times New Roman" w:eastAsia="Times New Roman" w:cs="Times New Roman"/>
                <w:spacing w:val="1"/>
                <w:sz w:val="20"/>
                <w:szCs w:val="20"/>
              </w:rPr>
              <w:t xml:space="preserve">2026 </w:t>
            </w:r>
            <w:r>
              <w:rPr>
                <w:spacing w:val="1"/>
                <w:sz w:val="20"/>
                <w:szCs w:val="20"/>
              </w:rPr>
              <w:t>年</w:t>
            </w:r>
            <w:r>
              <w:rPr>
                <w:spacing w:val="-22"/>
                <w:sz w:val="20"/>
                <w:szCs w:val="20"/>
              </w:rPr>
              <w:t xml:space="preserve"> </w:t>
            </w:r>
            <w:r>
              <w:rPr>
                <w:rFonts w:ascii="Times New Roman" w:hAnsi="Times New Roman" w:eastAsia="Times New Roman" w:cs="Times New Roman"/>
                <w:spacing w:val="1"/>
                <w:sz w:val="20"/>
                <w:szCs w:val="20"/>
              </w:rPr>
              <w:t xml:space="preserve">5 </w:t>
            </w:r>
            <w:r>
              <w:rPr>
                <w:spacing w:val="1"/>
                <w:sz w:val="20"/>
                <w:szCs w:val="20"/>
              </w:rPr>
              <w:t>月</w:t>
            </w:r>
            <w:r>
              <w:rPr>
                <w:spacing w:val="-26"/>
                <w:sz w:val="20"/>
                <w:szCs w:val="20"/>
              </w:rPr>
              <w:t xml:space="preserve"> </w:t>
            </w:r>
            <w:r>
              <w:rPr>
                <w:rFonts w:ascii="Times New Roman" w:hAnsi="Times New Roman" w:eastAsia="Times New Roman" w:cs="Times New Roman"/>
                <w:spacing w:val="1"/>
                <w:sz w:val="20"/>
                <w:szCs w:val="20"/>
              </w:rPr>
              <w:t xml:space="preserve">19  </w:t>
            </w:r>
            <w:r>
              <w:rPr>
                <w:spacing w:val="1"/>
                <w:sz w:val="20"/>
                <w:szCs w:val="20"/>
              </w:rPr>
              <w:t>日巴彦淖尔市自然</w:t>
            </w:r>
            <w:r>
              <w:rPr>
                <w:spacing w:val="5"/>
                <w:sz w:val="20"/>
                <w:szCs w:val="20"/>
              </w:rPr>
              <w:t>资源局出具“关于中国石油天然气股份</w:t>
            </w:r>
            <w:r>
              <w:rPr>
                <w:spacing w:val="18"/>
                <w:sz w:val="20"/>
                <w:szCs w:val="20"/>
              </w:rPr>
              <w:t>有限公司华北油田巴彦勘探开发分公</w:t>
            </w:r>
            <w:r>
              <w:rPr>
                <w:spacing w:val="7"/>
                <w:sz w:val="20"/>
                <w:szCs w:val="20"/>
              </w:rPr>
              <w:t>司扎格</w:t>
            </w:r>
            <w:r>
              <w:rPr>
                <w:spacing w:val="-31"/>
                <w:sz w:val="20"/>
                <w:szCs w:val="20"/>
              </w:rPr>
              <w:t xml:space="preserve"> </w:t>
            </w:r>
            <w:r>
              <w:rPr>
                <w:rFonts w:ascii="Times New Roman" w:hAnsi="Times New Roman" w:eastAsia="Times New Roman" w:cs="Times New Roman"/>
                <w:spacing w:val="7"/>
                <w:sz w:val="20"/>
                <w:szCs w:val="20"/>
              </w:rPr>
              <w:t xml:space="preserve">9X </w:t>
            </w:r>
            <w:r>
              <w:rPr>
                <w:spacing w:val="7"/>
                <w:sz w:val="20"/>
                <w:szCs w:val="20"/>
              </w:rPr>
              <w:t>井油气勘探开发项目临时用</w:t>
            </w:r>
            <w:r>
              <w:rPr>
                <w:spacing w:val="6"/>
                <w:sz w:val="20"/>
                <w:szCs w:val="20"/>
              </w:rPr>
              <w:t>地的批复</w:t>
            </w:r>
            <w:r>
              <w:rPr>
                <w:spacing w:val="-67"/>
                <w:sz w:val="20"/>
                <w:szCs w:val="20"/>
              </w:rPr>
              <w:t xml:space="preserve"> </w:t>
            </w:r>
            <w:r>
              <w:rPr>
                <w:spacing w:val="6"/>
                <w:sz w:val="20"/>
                <w:szCs w:val="20"/>
              </w:rPr>
              <w:t>”同意临时用地申请。</w:t>
            </w:r>
          </w:p>
        </w:tc>
      </w:tr>
    </w:tbl>
    <w:p w14:paraId="57E06ED9">
      <w:pPr>
        <w:rPr>
          <w:rFonts w:ascii="Arial"/>
          <w:sz w:val="21"/>
        </w:rPr>
      </w:pPr>
    </w:p>
    <w:p w14:paraId="41553B8F">
      <w:pPr>
        <w:rPr>
          <w:rFonts w:ascii="Arial" w:hAnsi="Arial" w:eastAsia="Arial" w:cs="Arial"/>
          <w:sz w:val="21"/>
          <w:szCs w:val="21"/>
        </w:rPr>
        <w:sectPr>
          <w:footerReference r:id="rId13" w:type="default"/>
          <w:pgSz w:w="11906" w:h="16839"/>
          <w:pgMar w:top="400" w:right="1395" w:bottom="1237" w:left="1565" w:header="0" w:footer="1078" w:gutter="0"/>
          <w:cols w:space="720" w:num="1"/>
        </w:sectPr>
      </w:pPr>
    </w:p>
    <w:p w14:paraId="25D285BF">
      <w:pPr>
        <w:spacing w:before="56"/>
      </w:pPr>
    </w:p>
    <w:p w14:paraId="167E58B1">
      <w:pPr>
        <w:spacing w:before="56"/>
      </w:pPr>
    </w:p>
    <w:p w14:paraId="5EDBB0CB">
      <w:pPr>
        <w:spacing w:before="55"/>
      </w:pPr>
    </w:p>
    <w:p w14:paraId="5668948D">
      <w:pPr>
        <w:spacing w:before="55"/>
      </w:pPr>
    </w:p>
    <w:tbl>
      <w:tblPr>
        <w:tblStyle w:val="5"/>
        <w:tblW w:w="893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56"/>
        <w:gridCol w:w="493"/>
        <w:gridCol w:w="3454"/>
        <w:gridCol w:w="3527"/>
      </w:tblGrid>
      <w:tr w14:paraId="6A313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1" w:hRule="atLeast"/>
        </w:trPr>
        <w:tc>
          <w:tcPr>
            <w:tcW w:w="1456" w:type="dxa"/>
            <w:vMerge w:val="restart"/>
            <w:tcBorders>
              <w:top w:val="single" w:color="000000" w:sz="6" w:space="0"/>
              <w:left w:val="single" w:color="000000" w:sz="6" w:space="0"/>
              <w:bottom w:val="nil"/>
            </w:tcBorders>
            <w:vAlign w:val="top"/>
          </w:tcPr>
          <w:p w14:paraId="4E5619AF">
            <w:pPr>
              <w:rPr>
                <w:rFonts w:ascii="Arial"/>
                <w:sz w:val="21"/>
              </w:rPr>
            </w:pPr>
          </w:p>
        </w:tc>
        <w:tc>
          <w:tcPr>
            <w:tcW w:w="493" w:type="dxa"/>
            <w:tcBorders>
              <w:top w:val="single" w:color="000000" w:sz="6" w:space="0"/>
            </w:tcBorders>
            <w:vAlign w:val="top"/>
          </w:tcPr>
          <w:p w14:paraId="0B7423E5">
            <w:pPr>
              <w:spacing w:line="246" w:lineRule="auto"/>
              <w:rPr>
                <w:rFonts w:ascii="Arial"/>
                <w:sz w:val="21"/>
              </w:rPr>
            </w:pPr>
          </w:p>
          <w:p w14:paraId="33393E77">
            <w:pPr>
              <w:spacing w:line="246" w:lineRule="auto"/>
              <w:rPr>
                <w:rFonts w:ascii="Arial"/>
                <w:sz w:val="21"/>
              </w:rPr>
            </w:pPr>
          </w:p>
          <w:p w14:paraId="29311160">
            <w:pPr>
              <w:spacing w:line="246" w:lineRule="auto"/>
              <w:rPr>
                <w:rFonts w:ascii="Arial"/>
                <w:sz w:val="21"/>
              </w:rPr>
            </w:pPr>
          </w:p>
          <w:p w14:paraId="4B1E57C7">
            <w:pPr>
              <w:spacing w:line="246" w:lineRule="auto"/>
              <w:rPr>
                <w:rFonts w:ascii="Arial"/>
                <w:sz w:val="21"/>
              </w:rPr>
            </w:pPr>
          </w:p>
          <w:p w14:paraId="0C9F86C8">
            <w:pPr>
              <w:spacing w:line="246" w:lineRule="auto"/>
              <w:rPr>
                <w:rFonts w:ascii="Arial"/>
                <w:sz w:val="21"/>
              </w:rPr>
            </w:pPr>
          </w:p>
          <w:p w14:paraId="21DF9BC0">
            <w:pPr>
              <w:spacing w:line="246" w:lineRule="auto"/>
              <w:rPr>
                <w:rFonts w:ascii="Arial"/>
                <w:sz w:val="21"/>
              </w:rPr>
            </w:pPr>
          </w:p>
          <w:p w14:paraId="39E174FE">
            <w:pPr>
              <w:spacing w:line="246" w:lineRule="auto"/>
              <w:rPr>
                <w:rFonts w:ascii="Arial"/>
                <w:sz w:val="21"/>
              </w:rPr>
            </w:pPr>
          </w:p>
          <w:p w14:paraId="12ADE748">
            <w:pPr>
              <w:spacing w:line="246" w:lineRule="auto"/>
              <w:rPr>
                <w:rFonts w:ascii="Arial"/>
                <w:sz w:val="21"/>
              </w:rPr>
            </w:pPr>
          </w:p>
          <w:p w14:paraId="2EBF4F83">
            <w:pPr>
              <w:spacing w:line="247" w:lineRule="auto"/>
              <w:rPr>
                <w:rFonts w:ascii="Arial"/>
                <w:sz w:val="21"/>
              </w:rPr>
            </w:pPr>
          </w:p>
          <w:p w14:paraId="51337C4C">
            <w:pPr>
              <w:spacing w:before="57" w:line="195" w:lineRule="auto"/>
              <w:ind w:left="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c>
          <w:tcPr>
            <w:tcW w:w="3454" w:type="dxa"/>
            <w:tcBorders>
              <w:top w:val="single" w:color="000000" w:sz="6" w:space="0"/>
            </w:tcBorders>
            <w:vAlign w:val="top"/>
          </w:tcPr>
          <w:p w14:paraId="4A028202">
            <w:pPr>
              <w:spacing w:line="248" w:lineRule="auto"/>
              <w:rPr>
                <w:rFonts w:ascii="Arial"/>
                <w:sz w:val="21"/>
              </w:rPr>
            </w:pPr>
          </w:p>
          <w:p w14:paraId="42CF5D26">
            <w:pPr>
              <w:spacing w:line="249" w:lineRule="auto"/>
              <w:rPr>
                <w:rFonts w:ascii="Arial"/>
                <w:sz w:val="21"/>
              </w:rPr>
            </w:pPr>
          </w:p>
          <w:p w14:paraId="455E15C9">
            <w:pPr>
              <w:spacing w:line="249" w:lineRule="auto"/>
              <w:rPr>
                <w:rFonts w:ascii="Arial"/>
                <w:sz w:val="21"/>
              </w:rPr>
            </w:pPr>
          </w:p>
          <w:p w14:paraId="4E0D29DB">
            <w:pPr>
              <w:spacing w:line="249" w:lineRule="auto"/>
              <w:rPr>
                <w:rFonts w:ascii="Arial"/>
                <w:sz w:val="21"/>
              </w:rPr>
            </w:pPr>
          </w:p>
          <w:p w14:paraId="39A1A04F">
            <w:pPr>
              <w:spacing w:line="249" w:lineRule="auto"/>
              <w:rPr>
                <w:rFonts w:ascii="Arial"/>
                <w:sz w:val="21"/>
              </w:rPr>
            </w:pPr>
          </w:p>
          <w:p w14:paraId="4D8253EB">
            <w:pPr>
              <w:spacing w:line="249" w:lineRule="auto"/>
              <w:rPr>
                <w:rFonts w:ascii="Arial"/>
                <w:sz w:val="21"/>
              </w:rPr>
            </w:pPr>
          </w:p>
          <w:p w14:paraId="01EB3EE3">
            <w:pPr>
              <w:pStyle w:val="6"/>
              <w:spacing w:before="65" w:line="252" w:lineRule="auto"/>
              <w:ind w:left="27" w:right="22"/>
              <w:jc w:val="both"/>
              <w:rPr>
                <w:sz w:val="20"/>
                <w:szCs w:val="20"/>
              </w:rPr>
            </w:pPr>
            <w:r>
              <w:rPr>
                <w:spacing w:val="12"/>
                <w:sz w:val="20"/>
                <w:szCs w:val="20"/>
              </w:rPr>
              <w:t>矿产资源开发活动应符合国家和区域主体功能区规划、生态功能区划、生态环境保护规划的要求，采取有效预防和保护措施，避免或减轻矿产资源</w:t>
            </w:r>
            <w:r>
              <w:rPr>
                <w:spacing w:val="26"/>
                <w:sz w:val="20"/>
                <w:szCs w:val="20"/>
              </w:rPr>
              <w:t>开发活动造成的生态破坏和环境污</w:t>
            </w:r>
            <w:r>
              <w:rPr>
                <w:sz w:val="20"/>
                <w:szCs w:val="20"/>
              </w:rPr>
              <w:t>染。</w:t>
            </w:r>
          </w:p>
        </w:tc>
        <w:tc>
          <w:tcPr>
            <w:tcW w:w="3527" w:type="dxa"/>
            <w:tcBorders>
              <w:top w:val="single" w:color="000000" w:sz="6" w:space="0"/>
              <w:right w:val="single" w:color="000000" w:sz="6" w:space="0"/>
            </w:tcBorders>
            <w:vAlign w:val="top"/>
          </w:tcPr>
          <w:p w14:paraId="269ACE9D">
            <w:pPr>
              <w:pStyle w:val="6"/>
              <w:spacing w:before="74" w:line="251" w:lineRule="auto"/>
              <w:ind w:left="15" w:right="9" w:firstLine="437"/>
              <w:jc w:val="both"/>
              <w:rPr>
                <w:sz w:val="20"/>
                <w:szCs w:val="20"/>
              </w:rPr>
            </w:pPr>
            <w:r>
              <w:rPr>
                <w:spacing w:val="18"/>
                <w:sz w:val="20"/>
                <w:szCs w:val="20"/>
              </w:rPr>
              <w:t>中华人民共和国自然资源部颁发</w:t>
            </w:r>
            <w:r>
              <w:rPr>
                <w:spacing w:val="32"/>
                <w:sz w:val="20"/>
                <w:szCs w:val="20"/>
              </w:rPr>
              <w:t>内蒙古河套盆地吉锦油气勘查证书</w:t>
            </w:r>
            <w:r>
              <w:rPr>
                <w:spacing w:val="4"/>
                <w:sz w:val="20"/>
                <w:szCs w:val="20"/>
              </w:rPr>
              <w:t>（</w:t>
            </w:r>
            <w:r>
              <w:rPr>
                <w:rFonts w:ascii="Times New Roman" w:hAnsi="Times New Roman" w:eastAsia="Times New Roman" w:cs="Times New Roman"/>
                <w:spacing w:val="4"/>
                <w:sz w:val="20"/>
                <w:szCs w:val="20"/>
              </w:rPr>
              <w:t>T1000002020121018000204</w:t>
            </w:r>
            <w:r>
              <w:rPr>
                <w:spacing w:val="11"/>
                <w:sz w:val="20"/>
                <w:szCs w:val="20"/>
              </w:rPr>
              <w:t>）</w:t>
            </w:r>
            <w:r>
              <w:rPr>
                <w:spacing w:val="-60"/>
                <w:sz w:val="20"/>
                <w:szCs w:val="20"/>
              </w:rPr>
              <w:t xml:space="preserve"> </w:t>
            </w:r>
            <w:r>
              <w:rPr>
                <w:spacing w:val="11"/>
                <w:sz w:val="20"/>
                <w:szCs w:val="20"/>
              </w:rPr>
              <w:t>，</w:t>
            </w:r>
            <w:r>
              <w:rPr>
                <w:spacing w:val="4"/>
                <w:sz w:val="20"/>
                <w:szCs w:val="20"/>
              </w:rPr>
              <w:t>同意</w:t>
            </w:r>
            <w:r>
              <w:rPr>
                <w:spacing w:val="18"/>
                <w:sz w:val="20"/>
                <w:szCs w:val="20"/>
              </w:rPr>
              <w:t>中国石油天然气股份有限公司华北油田巴彦勘探开发分公司在矿权范围开</w:t>
            </w:r>
            <w:r>
              <w:rPr>
                <w:spacing w:val="7"/>
                <w:sz w:val="20"/>
                <w:szCs w:val="20"/>
              </w:rPr>
              <w:t>展油气勘探工作。</w:t>
            </w:r>
          </w:p>
          <w:p w14:paraId="7B921F7B">
            <w:pPr>
              <w:pStyle w:val="6"/>
              <w:spacing w:before="2" w:line="251" w:lineRule="auto"/>
              <w:ind w:left="12" w:right="9" w:firstLine="424"/>
              <w:jc w:val="both"/>
              <w:rPr>
                <w:sz w:val="20"/>
                <w:szCs w:val="20"/>
              </w:rPr>
            </w:pPr>
            <w:r>
              <w:rPr>
                <w:spacing w:val="19"/>
                <w:sz w:val="20"/>
                <w:szCs w:val="20"/>
              </w:rPr>
              <w:t>项目符合国家和区域主体功能区</w:t>
            </w:r>
            <w:r>
              <w:rPr>
                <w:spacing w:val="5"/>
                <w:sz w:val="20"/>
                <w:szCs w:val="20"/>
              </w:rPr>
              <w:t>规划、生态功能区划、生态环境保护规</w:t>
            </w:r>
            <w:r>
              <w:rPr>
                <w:spacing w:val="6"/>
                <w:sz w:val="20"/>
                <w:szCs w:val="20"/>
              </w:rPr>
              <w:t>划的要求。</w:t>
            </w:r>
          </w:p>
          <w:p w14:paraId="2B4F07D1">
            <w:pPr>
              <w:pStyle w:val="6"/>
              <w:spacing w:before="4" w:line="246" w:lineRule="auto"/>
              <w:ind w:left="13" w:right="12" w:firstLine="423"/>
              <w:jc w:val="both"/>
              <w:rPr>
                <w:sz w:val="20"/>
                <w:szCs w:val="20"/>
              </w:rPr>
            </w:pPr>
            <w:r>
              <w:rPr>
                <w:spacing w:val="4"/>
                <w:sz w:val="20"/>
                <w:szCs w:val="20"/>
              </w:rPr>
              <w:t>项目勘探结束后，若不具备开采价</w:t>
            </w:r>
            <w:r>
              <w:rPr>
                <w:spacing w:val="5"/>
                <w:sz w:val="20"/>
                <w:szCs w:val="20"/>
              </w:rPr>
              <w:t>值，则进行封井封场处理，采取减缓生态环境影响措施，对临时用地进行地表清理、翻耕、表土回覆、平整、二次翻耕等有效措施，及时将临时用地恢复为原有状态。在严格落实防治措施的前提下，可有效减轻对生态的破坏和环境污</w:t>
            </w:r>
            <w:r>
              <w:rPr>
                <w:sz w:val="20"/>
                <w:szCs w:val="20"/>
              </w:rPr>
              <w:t>染。</w:t>
            </w:r>
          </w:p>
        </w:tc>
      </w:tr>
      <w:tr w14:paraId="01DAA7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3" w:hRule="atLeast"/>
        </w:trPr>
        <w:tc>
          <w:tcPr>
            <w:tcW w:w="1456" w:type="dxa"/>
            <w:vMerge w:val="continue"/>
            <w:tcBorders>
              <w:top w:val="nil"/>
              <w:left w:val="single" w:color="000000" w:sz="6" w:space="0"/>
              <w:bottom w:val="nil"/>
            </w:tcBorders>
            <w:vAlign w:val="top"/>
          </w:tcPr>
          <w:p w14:paraId="1182BB8E">
            <w:pPr>
              <w:rPr>
                <w:rFonts w:ascii="Arial"/>
                <w:sz w:val="21"/>
              </w:rPr>
            </w:pPr>
          </w:p>
        </w:tc>
        <w:tc>
          <w:tcPr>
            <w:tcW w:w="493" w:type="dxa"/>
            <w:vAlign w:val="top"/>
          </w:tcPr>
          <w:p w14:paraId="32BD36DA">
            <w:pPr>
              <w:spacing w:line="273" w:lineRule="auto"/>
              <w:rPr>
                <w:rFonts w:ascii="Arial"/>
                <w:sz w:val="21"/>
              </w:rPr>
            </w:pPr>
          </w:p>
          <w:p w14:paraId="44653988">
            <w:pPr>
              <w:spacing w:line="273" w:lineRule="auto"/>
              <w:rPr>
                <w:rFonts w:ascii="Arial"/>
                <w:sz w:val="21"/>
              </w:rPr>
            </w:pPr>
          </w:p>
          <w:p w14:paraId="7FA6FF12">
            <w:pPr>
              <w:spacing w:line="273" w:lineRule="auto"/>
              <w:rPr>
                <w:rFonts w:ascii="Arial"/>
                <w:sz w:val="21"/>
              </w:rPr>
            </w:pPr>
          </w:p>
          <w:p w14:paraId="54326FF7">
            <w:pPr>
              <w:spacing w:line="274" w:lineRule="auto"/>
              <w:rPr>
                <w:rFonts w:ascii="Arial"/>
                <w:sz w:val="21"/>
              </w:rPr>
            </w:pPr>
          </w:p>
          <w:p w14:paraId="45B373B0">
            <w:pPr>
              <w:spacing w:before="57" w:line="195" w:lineRule="auto"/>
              <w:ind w:left="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p>
        </w:tc>
        <w:tc>
          <w:tcPr>
            <w:tcW w:w="3454" w:type="dxa"/>
            <w:vAlign w:val="top"/>
          </w:tcPr>
          <w:p w14:paraId="598124BD">
            <w:pPr>
              <w:pStyle w:val="6"/>
              <w:spacing w:before="34" w:line="247" w:lineRule="auto"/>
              <w:ind w:left="27" w:firstLine="4"/>
              <w:jc w:val="both"/>
              <w:rPr>
                <w:sz w:val="20"/>
                <w:szCs w:val="20"/>
              </w:rPr>
            </w:pPr>
            <w:r>
              <w:rPr>
                <w:spacing w:val="9"/>
                <w:sz w:val="20"/>
                <w:szCs w:val="20"/>
              </w:rPr>
              <w:t>坚持“预防为主、防治结合、过程控</w:t>
            </w:r>
            <w:r>
              <w:rPr>
                <w:spacing w:val="7"/>
                <w:sz w:val="20"/>
                <w:szCs w:val="20"/>
              </w:rPr>
              <w:t>制</w:t>
            </w:r>
            <w:r>
              <w:rPr>
                <w:spacing w:val="-62"/>
                <w:sz w:val="20"/>
                <w:szCs w:val="20"/>
              </w:rPr>
              <w:t xml:space="preserve"> </w:t>
            </w:r>
            <w:r>
              <w:rPr>
                <w:spacing w:val="7"/>
                <w:sz w:val="20"/>
                <w:szCs w:val="20"/>
              </w:rPr>
              <w:t>”的原则，将矿山生态环境保护与</w:t>
            </w:r>
            <w:r>
              <w:rPr>
                <w:spacing w:val="23"/>
                <w:sz w:val="20"/>
                <w:szCs w:val="20"/>
              </w:rPr>
              <w:t>恢复治理贯穿矿产资源开发的全过</w:t>
            </w:r>
            <w:r>
              <w:rPr>
                <w:spacing w:val="9"/>
                <w:sz w:val="20"/>
                <w:szCs w:val="20"/>
              </w:rPr>
              <w:t>程。根据矿山生态环境保护与恢复治理的重点任务，合理确定矿山生态保护与恢复治理分区，优化矿山生产与</w:t>
            </w:r>
            <w:r>
              <w:rPr>
                <w:spacing w:val="1"/>
                <w:sz w:val="20"/>
                <w:szCs w:val="20"/>
              </w:rPr>
              <w:t>生活空间格局。采用新技术、新方法、</w:t>
            </w:r>
            <w:r>
              <w:rPr>
                <w:spacing w:val="9"/>
                <w:sz w:val="20"/>
                <w:szCs w:val="20"/>
              </w:rPr>
              <w:t>新工艺提高矿山生态环境保护和恢复</w:t>
            </w:r>
            <w:r>
              <w:rPr>
                <w:spacing w:val="3"/>
                <w:sz w:val="20"/>
                <w:szCs w:val="20"/>
              </w:rPr>
              <w:t>治理水平。</w:t>
            </w:r>
          </w:p>
        </w:tc>
        <w:tc>
          <w:tcPr>
            <w:tcW w:w="3527" w:type="dxa"/>
            <w:tcBorders>
              <w:right w:val="single" w:color="000000" w:sz="6" w:space="0"/>
            </w:tcBorders>
            <w:vAlign w:val="top"/>
          </w:tcPr>
          <w:p w14:paraId="76EBE10A">
            <w:pPr>
              <w:spacing w:line="323" w:lineRule="auto"/>
              <w:rPr>
                <w:rFonts w:ascii="Arial"/>
                <w:sz w:val="21"/>
              </w:rPr>
            </w:pPr>
          </w:p>
          <w:p w14:paraId="7CE2FFA6">
            <w:pPr>
              <w:spacing w:line="323" w:lineRule="auto"/>
              <w:rPr>
                <w:rFonts w:ascii="Arial"/>
                <w:sz w:val="21"/>
              </w:rPr>
            </w:pPr>
          </w:p>
          <w:p w14:paraId="64C3E542">
            <w:pPr>
              <w:pStyle w:val="6"/>
              <w:spacing w:before="65" w:line="252" w:lineRule="auto"/>
              <w:ind w:left="33" w:right="38" w:firstLine="425"/>
              <w:jc w:val="both"/>
              <w:rPr>
                <w:sz w:val="20"/>
                <w:szCs w:val="20"/>
              </w:rPr>
            </w:pPr>
            <w:r>
              <w:rPr>
                <w:spacing w:val="15"/>
                <w:sz w:val="20"/>
                <w:szCs w:val="20"/>
              </w:rPr>
              <w:t>项目在实施过程中坚持“预防为</w:t>
            </w:r>
            <w:r>
              <w:rPr>
                <w:spacing w:val="13"/>
                <w:sz w:val="20"/>
                <w:szCs w:val="20"/>
              </w:rPr>
              <w:t>主、防治结合、过程控制</w:t>
            </w:r>
            <w:r>
              <w:rPr>
                <w:spacing w:val="-65"/>
                <w:sz w:val="20"/>
                <w:szCs w:val="20"/>
              </w:rPr>
              <w:t xml:space="preserve"> </w:t>
            </w:r>
            <w:r>
              <w:rPr>
                <w:spacing w:val="13"/>
                <w:sz w:val="20"/>
                <w:szCs w:val="20"/>
              </w:rPr>
              <w:t>”的原则，</w:t>
            </w:r>
            <w:r>
              <w:rPr>
                <w:spacing w:val="15"/>
                <w:sz w:val="20"/>
                <w:szCs w:val="20"/>
              </w:rPr>
              <w:t>将生态环境保护与恢复治理贯穿油气</w:t>
            </w:r>
            <w:r>
              <w:rPr>
                <w:spacing w:val="7"/>
                <w:sz w:val="20"/>
                <w:szCs w:val="20"/>
              </w:rPr>
              <w:t>资源开发的全过程。</w:t>
            </w:r>
          </w:p>
        </w:tc>
      </w:tr>
      <w:tr w14:paraId="408555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1456" w:type="dxa"/>
            <w:vMerge w:val="continue"/>
            <w:tcBorders>
              <w:top w:val="nil"/>
              <w:left w:val="single" w:color="000000" w:sz="6" w:space="0"/>
              <w:bottom w:val="nil"/>
            </w:tcBorders>
            <w:vAlign w:val="top"/>
          </w:tcPr>
          <w:p w14:paraId="03A48ACE">
            <w:pPr>
              <w:rPr>
                <w:rFonts w:ascii="Arial"/>
                <w:sz w:val="21"/>
              </w:rPr>
            </w:pPr>
          </w:p>
        </w:tc>
        <w:tc>
          <w:tcPr>
            <w:tcW w:w="493" w:type="dxa"/>
            <w:vAlign w:val="top"/>
          </w:tcPr>
          <w:p w14:paraId="2804C682">
            <w:pPr>
              <w:spacing w:line="279" w:lineRule="auto"/>
              <w:rPr>
                <w:rFonts w:ascii="Arial"/>
                <w:sz w:val="21"/>
              </w:rPr>
            </w:pPr>
          </w:p>
          <w:p w14:paraId="01DDA35A">
            <w:pPr>
              <w:spacing w:line="280" w:lineRule="auto"/>
              <w:rPr>
                <w:rFonts w:ascii="Arial"/>
                <w:sz w:val="21"/>
              </w:rPr>
            </w:pPr>
          </w:p>
          <w:p w14:paraId="4A186EE6">
            <w:pPr>
              <w:spacing w:before="57" w:line="192" w:lineRule="auto"/>
              <w:ind w:left="45"/>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3454" w:type="dxa"/>
            <w:vAlign w:val="top"/>
          </w:tcPr>
          <w:p w14:paraId="08A4EA1E">
            <w:pPr>
              <w:pStyle w:val="6"/>
              <w:spacing w:before="38" w:line="243" w:lineRule="auto"/>
              <w:ind w:left="27" w:right="25"/>
              <w:jc w:val="both"/>
              <w:rPr>
                <w:sz w:val="20"/>
                <w:szCs w:val="20"/>
              </w:rPr>
            </w:pPr>
            <w:r>
              <w:rPr>
                <w:spacing w:val="12"/>
                <w:sz w:val="20"/>
                <w:szCs w:val="20"/>
              </w:rPr>
              <w:t>采矿产生的固体废物，应在专用场所堆放，并采取措施防止二次污染；禁止向河流、湖泊、水库等水体及行洪渠道排放岩土、含油垃圾、泥浆、煤</w:t>
            </w:r>
            <w:r>
              <w:rPr>
                <w:spacing w:val="8"/>
                <w:sz w:val="20"/>
                <w:szCs w:val="20"/>
              </w:rPr>
              <w:t>渣、煤矸石和其他固体废物。</w:t>
            </w:r>
          </w:p>
        </w:tc>
        <w:tc>
          <w:tcPr>
            <w:tcW w:w="3527" w:type="dxa"/>
            <w:tcBorders>
              <w:right w:val="single" w:color="000000" w:sz="6" w:space="0"/>
            </w:tcBorders>
            <w:vAlign w:val="top"/>
          </w:tcPr>
          <w:p w14:paraId="79834ECD">
            <w:pPr>
              <w:pStyle w:val="6"/>
              <w:spacing w:before="172" w:line="252" w:lineRule="auto"/>
              <w:ind w:left="33" w:right="40" w:firstLine="425"/>
              <w:jc w:val="both"/>
              <w:rPr>
                <w:sz w:val="20"/>
                <w:szCs w:val="20"/>
              </w:rPr>
            </w:pPr>
            <w:r>
              <w:rPr>
                <w:spacing w:val="15"/>
                <w:sz w:val="20"/>
                <w:szCs w:val="20"/>
              </w:rPr>
              <w:t>项目采用泥浆不落地循环系统装置，产生的废弃泥浆、钻井岩屑拉运至内蒙古众宁环保科技有限公司油气</w:t>
            </w:r>
            <w:r>
              <w:rPr>
                <w:spacing w:val="8"/>
                <w:sz w:val="20"/>
                <w:szCs w:val="20"/>
              </w:rPr>
              <w:t>田废弃物集中处理厂处理。</w:t>
            </w:r>
          </w:p>
        </w:tc>
      </w:tr>
      <w:tr w14:paraId="450C0E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3" w:hRule="atLeast"/>
        </w:trPr>
        <w:tc>
          <w:tcPr>
            <w:tcW w:w="1456" w:type="dxa"/>
            <w:vMerge w:val="continue"/>
            <w:tcBorders>
              <w:top w:val="nil"/>
              <w:left w:val="single" w:color="000000" w:sz="6" w:space="0"/>
              <w:bottom w:val="nil"/>
            </w:tcBorders>
            <w:vAlign w:val="top"/>
          </w:tcPr>
          <w:p w14:paraId="2A68E9AF">
            <w:pPr>
              <w:rPr>
                <w:rFonts w:ascii="Arial"/>
                <w:sz w:val="21"/>
              </w:rPr>
            </w:pPr>
          </w:p>
        </w:tc>
        <w:tc>
          <w:tcPr>
            <w:tcW w:w="493" w:type="dxa"/>
            <w:vAlign w:val="top"/>
          </w:tcPr>
          <w:p w14:paraId="0BD192CB">
            <w:pPr>
              <w:spacing w:line="253" w:lineRule="auto"/>
              <w:rPr>
                <w:rFonts w:ascii="Arial"/>
                <w:sz w:val="21"/>
              </w:rPr>
            </w:pPr>
          </w:p>
          <w:p w14:paraId="3E579C58">
            <w:pPr>
              <w:spacing w:line="254" w:lineRule="auto"/>
              <w:rPr>
                <w:rFonts w:ascii="Arial"/>
                <w:sz w:val="21"/>
              </w:rPr>
            </w:pPr>
          </w:p>
          <w:p w14:paraId="6BDFB853">
            <w:pPr>
              <w:spacing w:line="254" w:lineRule="auto"/>
              <w:rPr>
                <w:rFonts w:ascii="Arial"/>
                <w:sz w:val="21"/>
              </w:rPr>
            </w:pPr>
          </w:p>
          <w:p w14:paraId="532BB0B8">
            <w:pPr>
              <w:spacing w:line="254" w:lineRule="auto"/>
              <w:rPr>
                <w:rFonts w:ascii="Arial"/>
                <w:sz w:val="21"/>
              </w:rPr>
            </w:pPr>
          </w:p>
          <w:p w14:paraId="177DF169">
            <w:pPr>
              <w:spacing w:line="254" w:lineRule="auto"/>
              <w:rPr>
                <w:rFonts w:ascii="Arial"/>
                <w:sz w:val="21"/>
              </w:rPr>
            </w:pPr>
          </w:p>
          <w:p w14:paraId="4C4DF70B">
            <w:pPr>
              <w:spacing w:line="254" w:lineRule="auto"/>
              <w:rPr>
                <w:rFonts w:ascii="Arial"/>
                <w:sz w:val="21"/>
              </w:rPr>
            </w:pPr>
          </w:p>
          <w:p w14:paraId="1AF5E93A">
            <w:pPr>
              <w:spacing w:line="254" w:lineRule="auto"/>
              <w:rPr>
                <w:rFonts w:ascii="Arial"/>
                <w:sz w:val="21"/>
              </w:rPr>
            </w:pPr>
          </w:p>
          <w:p w14:paraId="605F149C">
            <w:pPr>
              <w:spacing w:before="58" w:line="195" w:lineRule="auto"/>
              <w:ind w:left="45"/>
              <w:rPr>
                <w:rFonts w:ascii="Times New Roman" w:hAnsi="Times New Roman" w:eastAsia="Times New Roman" w:cs="Times New Roman"/>
                <w:sz w:val="20"/>
                <w:szCs w:val="20"/>
              </w:rPr>
            </w:pPr>
            <w:r>
              <w:rPr>
                <w:rFonts w:ascii="Times New Roman" w:hAnsi="Times New Roman" w:eastAsia="Times New Roman" w:cs="Times New Roman"/>
                <w:sz w:val="20"/>
                <w:szCs w:val="20"/>
              </w:rPr>
              <w:t>5.8</w:t>
            </w:r>
          </w:p>
        </w:tc>
        <w:tc>
          <w:tcPr>
            <w:tcW w:w="3454" w:type="dxa"/>
            <w:vAlign w:val="top"/>
          </w:tcPr>
          <w:p w14:paraId="5467C873">
            <w:pPr>
              <w:spacing w:line="264" w:lineRule="auto"/>
              <w:rPr>
                <w:rFonts w:ascii="Arial"/>
                <w:sz w:val="21"/>
              </w:rPr>
            </w:pPr>
          </w:p>
          <w:p w14:paraId="718A8720">
            <w:pPr>
              <w:spacing w:line="264" w:lineRule="auto"/>
              <w:rPr>
                <w:rFonts w:ascii="Arial"/>
                <w:sz w:val="21"/>
              </w:rPr>
            </w:pPr>
          </w:p>
          <w:p w14:paraId="2829E6A5">
            <w:pPr>
              <w:spacing w:line="264" w:lineRule="auto"/>
              <w:rPr>
                <w:rFonts w:ascii="Arial"/>
                <w:sz w:val="21"/>
              </w:rPr>
            </w:pPr>
          </w:p>
          <w:p w14:paraId="6A1D27C4">
            <w:pPr>
              <w:spacing w:line="264" w:lineRule="auto"/>
              <w:rPr>
                <w:rFonts w:ascii="Arial"/>
                <w:sz w:val="21"/>
              </w:rPr>
            </w:pPr>
          </w:p>
          <w:p w14:paraId="74F605D0">
            <w:pPr>
              <w:pStyle w:val="6"/>
              <w:spacing w:before="65" w:line="252" w:lineRule="auto"/>
              <w:ind w:left="27" w:right="22"/>
              <w:jc w:val="both"/>
              <w:rPr>
                <w:sz w:val="20"/>
                <w:szCs w:val="20"/>
              </w:rPr>
            </w:pPr>
            <w:r>
              <w:rPr>
                <w:spacing w:val="12"/>
                <w:sz w:val="20"/>
                <w:szCs w:val="20"/>
              </w:rPr>
              <w:t>评估采矿活动对地表水和地下水的影响，避免破坏流域水平衡和污染水环境；采矿区与河道之间应保留环境安全距离，防止采矿对河流生物、河岸植被、河流水环境功能和防洪安全造</w:t>
            </w:r>
            <w:r>
              <w:rPr>
                <w:spacing w:val="7"/>
                <w:sz w:val="20"/>
                <w:szCs w:val="20"/>
              </w:rPr>
              <w:t>成破坏性影响。</w:t>
            </w:r>
          </w:p>
        </w:tc>
        <w:tc>
          <w:tcPr>
            <w:tcW w:w="3527" w:type="dxa"/>
            <w:tcBorders>
              <w:right w:val="single" w:color="000000" w:sz="6" w:space="0"/>
            </w:tcBorders>
            <w:vAlign w:val="top"/>
          </w:tcPr>
          <w:p w14:paraId="09ED49E6">
            <w:pPr>
              <w:pStyle w:val="6"/>
              <w:spacing w:before="42" w:line="251" w:lineRule="auto"/>
              <w:ind w:left="35" w:right="40" w:firstLine="423"/>
              <w:rPr>
                <w:sz w:val="20"/>
                <w:szCs w:val="20"/>
              </w:rPr>
            </w:pPr>
            <w:r>
              <w:rPr>
                <w:spacing w:val="15"/>
                <w:sz w:val="20"/>
                <w:szCs w:val="20"/>
              </w:rPr>
              <w:t>项目施工过程产生的废弃泥浆、钻井岩屑拉运至内蒙古众宁环保科技有限公司油气田废弃物集中处理厂处理，经压滤产生的废水拉运至有资质单位处理，不会对地表水环境造成不</w:t>
            </w:r>
            <w:r>
              <w:rPr>
                <w:spacing w:val="5"/>
                <w:sz w:val="20"/>
                <w:szCs w:val="20"/>
              </w:rPr>
              <w:t>利影响。</w:t>
            </w:r>
          </w:p>
          <w:p w14:paraId="374DD4E4">
            <w:pPr>
              <w:pStyle w:val="6"/>
              <w:spacing w:before="6" w:line="245" w:lineRule="auto"/>
              <w:ind w:left="35" w:right="40" w:firstLine="423"/>
              <w:jc w:val="both"/>
              <w:rPr>
                <w:sz w:val="20"/>
                <w:szCs w:val="20"/>
              </w:rPr>
            </w:pPr>
            <w:r>
              <w:rPr>
                <w:spacing w:val="15"/>
                <w:sz w:val="20"/>
                <w:szCs w:val="20"/>
              </w:rPr>
              <w:t>项目钻进过程中保持平衡操作，并对钻井泥浆进行实时监控，并采用无毒的钻井泥浆，配备足够量、高效的堵漏剂等，防止钻井泥浆泄漏。每次钻井结束后的固井作业可有效封隔地层与套管之间的环空，防止污染地下水。作业用材料集中放置在防渗漏</w:t>
            </w:r>
            <w:r>
              <w:rPr>
                <w:spacing w:val="8"/>
                <w:sz w:val="20"/>
                <w:szCs w:val="20"/>
              </w:rPr>
              <w:t>地面，防止对地下水的污染。</w:t>
            </w:r>
          </w:p>
        </w:tc>
      </w:tr>
      <w:tr w14:paraId="78752B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8" w:hRule="atLeast"/>
        </w:trPr>
        <w:tc>
          <w:tcPr>
            <w:tcW w:w="1456" w:type="dxa"/>
            <w:vMerge w:val="continue"/>
            <w:tcBorders>
              <w:top w:val="nil"/>
              <w:left w:val="single" w:color="000000" w:sz="6" w:space="0"/>
              <w:bottom w:val="single" w:color="000000" w:sz="6" w:space="0"/>
            </w:tcBorders>
            <w:vAlign w:val="top"/>
          </w:tcPr>
          <w:p w14:paraId="05F30F4E">
            <w:pPr>
              <w:rPr>
                <w:rFonts w:ascii="Arial"/>
                <w:sz w:val="21"/>
              </w:rPr>
            </w:pPr>
          </w:p>
        </w:tc>
        <w:tc>
          <w:tcPr>
            <w:tcW w:w="493" w:type="dxa"/>
            <w:tcBorders>
              <w:bottom w:val="single" w:color="000000" w:sz="6" w:space="0"/>
            </w:tcBorders>
            <w:vAlign w:val="top"/>
          </w:tcPr>
          <w:p w14:paraId="2880DBA3">
            <w:pPr>
              <w:spacing w:line="282" w:lineRule="auto"/>
              <w:rPr>
                <w:rFonts w:ascii="Arial"/>
                <w:sz w:val="21"/>
              </w:rPr>
            </w:pPr>
          </w:p>
          <w:p w14:paraId="7A794DFC">
            <w:pPr>
              <w:spacing w:line="282" w:lineRule="auto"/>
              <w:rPr>
                <w:rFonts w:ascii="Arial"/>
                <w:sz w:val="21"/>
              </w:rPr>
            </w:pPr>
          </w:p>
          <w:p w14:paraId="5EC429EB">
            <w:pPr>
              <w:spacing w:before="57" w:line="195" w:lineRule="auto"/>
              <w:ind w:left="45"/>
              <w:rPr>
                <w:rFonts w:ascii="Times New Roman" w:hAnsi="Times New Roman" w:eastAsia="Times New Roman" w:cs="Times New Roman"/>
                <w:sz w:val="20"/>
                <w:szCs w:val="20"/>
              </w:rPr>
            </w:pPr>
            <w:r>
              <w:rPr>
                <w:rFonts w:ascii="Times New Roman" w:hAnsi="Times New Roman" w:eastAsia="Times New Roman" w:cs="Times New Roman"/>
                <w:sz w:val="20"/>
                <w:szCs w:val="20"/>
              </w:rPr>
              <w:t>5.9</w:t>
            </w:r>
          </w:p>
        </w:tc>
        <w:tc>
          <w:tcPr>
            <w:tcW w:w="3454" w:type="dxa"/>
            <w:tcBorders>
              <w:bottom w:val="single" w:color="000000" w:sz="6" w:space="0"/>
            </w:tcBorders>
            <w:vAlign w:val="top"/>
          </w:tcPr>
          <w:p w14:paraId="0545E54C">
            <w:pPr>
              <w:spacing w:line="248" w:lineRule="auto"/>
              <w:rPr>
                <w:rFonts w:ascii="Arial"/>
                <w:sz w:val="21"/>
              </w:rPr>
            </w:pPr>
          </w:p>
          <w:p w14:paraId="52E93C7F">
            <w:pPr>
              <w:pStyle w:val="6"/>
              <w:spacing w:before="65" w:line="253" w:lineRule="auto"/>
              <w:ind w:left="27" w:right="25"/>
              <w:jc w:val="both"/>
              <w:rPr>
                <w:sz w:val="20"/>
                <w:szCs w:val="20"/>
              </w:rPr>
            </w:pPr>
            <w:r>
              <w:rPr>
                <w:spacing w:val="12"/>
                <w:sz w:val="20"/>
                <w:szCs w:val="20"/>
              </w:rPr>
              <w:t>矿区专用道路选线应绕避环境敏感区和环境敏感点，防止对环境保护目标</w:t>
            </w:r>
            <w:r>
              <w:rPr>
                <w:spacing w:val="7"/>
                <w:sz w:val="20"/>
                <w:szCs w:val="20"/>
              </w:rPr>
              <w:t>造成不利影响。</w:t>
            </w:r>
          </w:p>
        </w:tc>
        <w:tc>
          <w:tcPr>
            <w:tcW w:w="3527" w:type="dxa"/>
            <w:tcBorders>
              <w:bottom w:val="single" w:color="000000" w:sz="6" w:space="0"/>
              <w:right w:val="single" w:color="000000" w:sz="6" w:space="0"/>
            </w:tcBorders>
            <w:vAlign w:val="top"/>
          </w:tcPr>
          <w:p w14:paraId="6A05FF87">
            <w:pPr>
              <w:pStyle w:val="6"/>
              <w:spacing w:before="44" w:line="248" w:lineRule="auto"/>
              <w:ind w:left="33" w:firstLine="421"/>
              <w:jc w:val="both"/>
              <w:rPr>
                <w:sz w:val="20"/>
                <w:szCs w:val="20"/>
              </w:rPr>
            </w:pPr>
            <w:r>
              <w:rPr>
                <w:spacing w:val="13"/>
                <w:sz w:val="20"/>
                <w:szCs w:val="20"/>
              </w:rPr>
              <w:t>项目充分利用现有乡村道路，无需新建进场道路，运输车辆通过时减</w:t>
            </w:r>
            <w:r>
              <w:rPr>
                <w:spacing w:val="4"/>
                <w:sz w:val="20"/>
                <w:szCs w:val="20"/>
              </w:rPr>
              <w:t>速慢行，合理调配车辆来往行车密度。</w:t>
            </w:r>
            <w:r>
              <w:rPr>
                <w:spacing w:val="13"/>
                <w:sz w:val="20"/>
                <w:szCs w:val="20"/>
              </w:rPr>
              <w:t>进场道路选线时已绕避环境敏感区和环境敏感点，不会对环境保护目标造</w:t>
            </w:r>
          </w:p>
        </w:tc>
      </w:tr>
    </w:tbl>
    <w:p w14:paraId="5141D3A6">
      <w:pPr>
        <w:rPr>
          <w:rFonts w:ascii="Arial"/>
          <w:sz w:val="21"/>
        </w:rPr>
      </w:pPr>
    </w:p>
    <w:p w14:paraId="551C9F3B">
      <w:pPr>
        <w:rPr>
          <w:rFonts w:ascii="Arial" w:hAnsi="Arial" w:eastAsia="Arial" w:cs="Arial"/>
          <w:sz w:val="21"/>
          <w:szCs w:val="21"/>
        </w:rPr>
        <w:sectPr>
          <w:footerReference r:id="rId14" w:type="default"/>
          <w:pgSz w:w="11906" w:h="16839"/>
          <w:pgMar w:top="400" w:right="1395" w:bottom="1240" w:left="1565" w:header="0" w:footer="1078" w:gutter="0"/>
          <w:cols w:space="720" w:num="1"/>
        </w:sectPr>
      </w:pPr>
    </w:p>
    <w:p w14:paraId="67916922">
      <w:pPr>
        <w:spacing w:before="56"/>
      </w:pPr>
    </w:p>
    <w:p w14:paraId="4DED139F">
      <w:pPr>
        <w:spacing w:before="56"/>
      </w:pPr>
    </w:p>
    <w:p w14:paraId="0F7A6931">
      <w:pPr>
        <w:spacing w:before="55"/>
      </w:pPr>
    </w:p>
    <w:p w14:paraId="0858F1EA">
      <w:pPr>
        <w:spacing w:before="55"/>
      </w:pPr>
    </w:p>
    <w:tbl>
      <w:tblPr>
        <w:tblStyle w:val="5"/>
        <w:tblW w:w="893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56"/>
        <w:gridCol w:w="493"/>
        <w:gridCol w:w="3126"/>
        <w:gridCol w:w="329"/>
        <w:gridCol w:w="2794"/>
        <w:gridCol w:w="732"/>
      </w:tblGrid>
      <w:tr w14:paraId="2A0C38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2" w:hRule="atLeast"/>
        </w:trPr>
        <w:tc>
          <w:tcPr>
            <w:tcW w:w="1456" w:type="dxa"/>
            <w:vMerge w:val="restart"/>
            <w:tcBorders>
              <w:top w:val="single" w:color="000000" w:sz="6" w:space="0"/>
              <w:left w:val="single" w:color="000000" w:sz="6" w:space="0"/>
              <w:bottom w:val="nil"/>
            </w:tcBorders>
            <w:vAlign w:val="top"/>
          </w:tcPr>
          <w:p w14:paraId="00EA2624">
            <w:pPr>
              <w:rPr>
                <w:rFonts w:ascii="Arial"/>
                <w:sz w:val="21"/>
              </w:rPr>
            </w:pPr>
          </w:p>
        </w:tc>
        <w:tc>
          <w:tcPr>
            <w:tcW w:w="493" w:type="dxa"/>
            <w:tcBorders>
              <w:top w:val="single" w:color="000000" w:sz="6" w:space="0"/>
            </w:tcBorders>
            <w:vAlign w:val="top"/>
          </w:tcPr>
          <w:p w14:paraId="6E29029B">
            <w:pPr>
              <w:rPr>
                <w:rFonts w:ascii="Arial"/>
                <w:sz w:val="21"/>
              </w:rPr>
            </w:pPr>
          </w:p>
        </w:tc>
        <w:tc>
          <w:tcPr>
            <w:tcW w:w="3455" w:type="dxa"/>
            <w:gridSpan w:val="2"/>
            <w:tcBorders>
              <w:top w:val="single" w:color="000000" w:sz="6" w:space="0"/>
            </w:tcBorders>
            <w:vAlign w:val="top"/>
          </w:tcPr>
          <w:p w14:paraId="2976F391">
            <w:pPr>
              <w:rPr>
                <w:rFonts w:ascii="Arial"/>
                <w:sz w:val="21"/>
              </w:rPr>
            </w:pPr>
          </w:p>
        </w:tc>
        <w:tc>
          <w:tcPr>
            <w:tcW w:w="3526" w:type="dxa"/>
            <w:gridSpan w:val="2"/>
            <w:tcBorders>
              <w:top w:val="single" w:color="000000" w:sz="6" w:space="0"/>
              <w:right w:val="single" w:color="000000" w:sz="6" w:space="0"/>
            </w:tcBorders>
            <w:vAlign w:val="top"/>
          </w:tcPr>
          <w:p w14:paraId="05F82A0A">
            <w:pPr>
              <w:pStyle w:val="6"/>
              <w:spacing w:before="52" w:line="229" w:lineRule="auto"/>
              <w:ind w:left="36"/>
              <w:rPr>
                <w:sz w:val="20"/>
                <w:szCs w:val="20"/>
              </w:rPr>
            </w:pPr>
            <w:r>
              <w:rPr>
                <w:spacing w:val="6"/>
                <w:sz w:val="20"/>
                <w:szCs w:val="20"/>
              </w:rPr>
              <w:t>成不利影响。</w:t>
            </w:r>
          </w:p>
        </w:tc>
      </w:tr>
      <w:tr w14:paraId="2DC6EB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9" w:hRule="atLeast"/>
        </w:trPr>
        <w:tc>
          <w:tcPr>
            <w:tcW w:w="1456" w:type="dxa"/>
            <w:vMerge w:val="continue"/>
            <w:tcBorders>
              <w:top w:val="nil"/>
              <w:left w:val="single" w:color="000000" w:sz="6" w:space="0"/>
              <w:bottom w:val="nil"/>
            </w:tcBorders>
            <w:vAlign w:val="top"/>
          </w:tcPr>
          <w:p w14:paraId="41A3347F">
            <w:pPr>
              <w:rPr>
                <w:rFonts w:ascii="Arial"/>
                <w:sz w:val="21"/>
              </w:rPr>
            </w:pPr>
          </w:p>
        </w:tc>
        <w:tc>
          <w:tcPr>
            <w:tcW w:w="493" w:type="dxa"/>
            <w:vAlign w:val="top"/>
          </w:tcPr>
          <w:p w14:paraId="7B6C7135">
            <w:pPr>
              <w:spacing w:line="249" w:lineRule="auto"/>
              <w:rPr>
                <w:rFonts w:ascii="Arial"/>
                <w:sz w:val="21"/>
              </w:rPr>
            </w:pPr>
          </w:p>
          <w:p w14:paraId="7588CC7D">
            <w:pPr>
              <w:spacing w:line="250" w:lineRule="auto"/>
              <w:rPr>
                <w:rFonts w:ascii="Arial"/>
                <w:sz w:val="21"/>
              </w:rPr>
            </w:pPr>
          </w:p>
          <w:p w14:paraId="04A61EB3">
            <w:pPr>
              <w:spacing w:line="250" w:lineRule="auto"/>
              <w:rPr>
                <w:rFonts w:ascii="Arial"/>
                <w:sz w:val="21"/>
              </w:rPr>
            </w:pPr>
          </w:p>
          <w:p w14:paraId="541A2541">
            <w:pPr>
              <w:spacing w:line="250" w:lineRule="auto"/>
              <w:rPr>
                <w:rFonts w:ascii="Arial"/>
                <w:sz w:val="21"/>
              </w:rPr>
            </w:pPr>
          </w:p>
          <w:p w14:paraId="4A142B2B">
            <w:pPr>
              <w:spacing w:line="250" w:lineRule="auto"/>
              <w:rPr>
                <w:rFonts w:ascii="Arial"/>
                <w:sz w:val="21"/>
              </w:rPr>
            </w:pPr>
          </w:p>
          <w:p w14:paraId="0004315E">
            <w:pPr>
              <w:spacing w:line="250" w:lineRule="auto"/>
              <w:rPr>
                <w:rFonts w:ascii="Arial"/>
                <w:sz w:val="21"/>
              </w:rPr>
            </w:pPr>
          </w:p>
          <w:p w14:paraId="0B201380">
            <w:pPr>
              <w:spacing w:before="57" w:line="195" w:lineRule="auto"/>
              <w:ind w:left="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5.10</w:t>
            </w:r>
          </w:p>
        </w:tc>
        <w:tc>
          <w:tcPr>
            <w:tcW w:w="3455" w:type="dxa"/>
            <w:gridSpan w:val="2"/>
            <w:vAlign w:val="top"/>
          </w:tcPr>
          <w:p w14:paraId="6C0BDC3D">
            <w:pPr>
              <w:pStyle w:val="6"/>
              <w:spacing w:before="35" w:line="248" w:lineRule="auto"/>
              <w:ind w:left="24" w:firstLine="2"/>
              <w:jc w:val="both"/>
              <w:rPr>
                <w:sz w:val="20"/>
                <w:szCs w:val="20"/>
              </w:rPr>
            </w:pPr>
            <w:r>
              <w:rPr>
                <w:spacing w:val="9"/>
                <w:sz w:val="20"/>
                <w:szCs w:val="20"/>
              </w:rPr>
              <w:t>对矿区耕作土壤的剥离，应对耕作层和心土层单独剥离与回填，表土剥离</w:t>
            </w:r>
            <w:r>
              <w:rPr>
                <w:spacing w:val="3"/>
                <w:sz w:val="20"/>
                <w:szCs w:val="20"/>
              </w:rPr>
              <w:t>厚度一般情况下不少于</w:t>
            </w:r>
            <w:r>
              <w:rPr>
                <w:spacing w:val="-38"/>
                <w:sz w:val="20"/>
                <w:szCs w:val="20"/>
              </w:rPr>
              <w:t xml:space="preserve"> </w:t>
            </w:r>
            <w:r>
              <w:rPr>
                <w:rFonts w:ascii="Times New Roman" w:hAnsi="Times New Roman" w:eastAsia="Times New Roman" w:cs="Times New Roman"/>
                <w:spacing w:val="3"/>
                <w:sz w:val="20"/>
                <w:szCs w:val="20"/>
              </w:rPr>
              <w:t>30</w:t>
            </w:r>
            <w:r>
              <w:rPr>
                <w:rFonts w:ascii="Times New Roman" w:hAnsi="Times New Roman" w:eastAsia="Times New Roman" w:cs="Times New Roman"/>
                <w:sz w:val="20"/>
                <w:szCs w:val="20"/>
              </w:rPr>
              <w:t>cm</w:t>
            </w:r>
            <w:r>
              <w:rPr>
                <w:spacing w:val="3"/>
                <w:sz w:val="20"/>
                <w:szCs w:val="20"/>
              </w:rPr>
              <w:t>；对矿区</w:t>
            </w:r>
            <w:r>
              <w:rPr>
                <w:spacing w:val="9"/>
                <w:sz w:val="20"/>
                <w:szCs w:val="20"/>
              </w:rPr>
              <w:t>非耕作土壤的采集，应对表土层进行</w:t>
            </w:r>
            <w:r>
              <w:rPr>
                <w:spacing w:val="31"/>
                <w:sz w:val="20"/>
                <w:szCs w:val="20"/>
              </w:rPr>
              <w:t>单独剥离</w:t>
            </w:r>
            <w:r>
              <w:rPr>
                <w:spacing w:val="-34"/>
                <w:sz w:val="20"/>
                <w:szCs w:val="20"/>
              </w:rPr>
              <w:t xml:space="preserve"> </w:t>
            </w:r>
            <w:r>
              <w:rPr>
                <w:spacing w:val="31"/>
                <w:sz w:val="20"/>
                <w:szCs w:val="20"/>
              </w:rPr>
              <w:t>，</w:t>
            </w:r>
            <w:r>
              <w:rPr>
                <w:spacing w:val="-46"/>
                <w:sz w:val="20"/>
                <w:szCs w:val="20"/>
              </w:rPr>
              <w:t xml:space="preserve"> </w:t>
            </w:r>
            <w:r>
              <w:rPr>
                <w:spacing w:val="31"/>
                <w:sz w:val="20"/>
                <w:szCs w:val="20"/>
              </w:rPr>
              <w:t>如果表土层厚度小于</w:t>
            </w:r>
            <w:r>
              <w:rPr>
                <w:rFonts w:ascii="Times New Roman" w:hAnsi="Times New Roman" w:eastAsia="Times New Roman" w:cs="Times New Roman"/>
                <w:spacing w:val="5"/>
                <w:sz w:val="20"/>
                <w:szCs w:val="20"/>
              </w:rPr>
              <w:t>20</w:t>
            </w:r>
            <w:r>
              <w:rPr>
                <w:rFonts w:ascii="Times New Roman" w:hAnsi="Times New Roman" w:eastAsia="Times New Roman" w:cs="Times New Roman"/>
                <w:sz w:val="20"/>
                <w:szCs w:val="20"/>
              </w:rPr>
              <w:t>cm</w:t>
            </w:r>
            <w:r>
              <w:rPr>
                <w:rFonts w:ascii="Times New Roman" w:hAnsi="Times New Roman" w:eastAsia="Times New Roman" w:cs="Times New Roman"/>
                <w:spacing w:val="-21"/>
                <w:sz w:val="20"/>
                <w:szCs w:val="20"/>
              </w:rPr>
              <w:t xml:space="preserve"> </w:t>
            </w:r>
            <w:r>
              <w:rPr>
                <w:spacing w:val="5"/>
                <w:sz w:val="20"/>
                <w:szCs w:val="20"/>
              </w:rPr>
              <w:t>，则将表土层及其下面贴近的心</w:t>
            </w:r>
            <w:r>
              <w:rPr>
                <w:spacing w:val="11"/>
                <w:sz w:val="20"/>
                <w:szCs w:val="20"/>
              </w:rPr>
              <w:t>土层一起构成的至少</w:t>
            </w:r>
            <w:r>
              <w:rPr>
                <w:spacing w:val="-29"/>
                <w:sz w:val="20"/>
                <w:szCs w:val="20"/>
              </w:rPr>
              <w:t xml:space="preserve"> </w:t>
            </w:r>
            <w:r>
              <w:rPr>
                <w:rFonts w:ascii="Times New Roman" w:hAnsi="Times New Roman" w:eastAsia="Times New Roman" w:cs="Times New Roman"/>
                <w:spacing w:val="11"/>
                <w:sz w:val="20"/>
                <w:szCs w:val="20"/>
              </w:rPr>
              <w:t>20</w:t>
            </w:r>
            <w:r>
              <w:rPr>
                <w:rFonts w:ascii="Times New Roman" w:hAnsi="Times New Roman" w:eastAsia="Times New Roman" w:cs="Times New Roman"/>
                <w:sz w:val="20"/>
                <w:szCs w:val="20"/>
              </w:rPr>
              <w:t>cm</w:t>
            </w:r>
            <w:r>
              <w:rPr>
                <w:rFonts w:ascii="Times New Roman" w:hAnsi="Times New Roman" w:eastAsia="Times New Roman" w:cs="Times New Roman"/>
                <w:spacing w:val="23"/>
                <w:w w:val="101"/>
                <w:sz w:val="20"/>
                <w:szCs w:val="20"/>
              </w:rPr>
              <w:t xml:space="preserve"> </w:t>
            </w:r>
            <w:r>
              <w:rPr>
                <w:spacing w:val="11"/>
                <w:sz w:val="20"/>
                <w:szCs w:val="20"/>
              </w:rPr>
              <w:t>厚的土层</w:t>
            </w:r>
            <w:r>
              <w:rPr>
                <w:spacing w:val="9"/>
                <w:sz w:val="20"/>
                <w:szCs w:val="20"/>
              </w:rPr>
              <w:t>进行单独剥离；高寒区表土剥离应保</w:t>
            </w:r>
            <w:r>
              <w:rPr>
                <w:spacing w:val="5"/>
                <w:sz w:val="20"/>
                <w:szCs w:val="20"/>
              </w:rPr>
              <w:t>留好草皮层，剥离厚度不少于</w:t>
            </w:r>
            <w:r>
              <w:rPr>
                <w:spacing w:val="-27"/>
                <w:sz w:val="20"/>
                <w:szCs w:val="20"/>
              </w:rPr>
              <w:t xml:space="preserve"> </w:t>
            </w:r>
            <w:r>
              <w:rPr>
                <w:rFonts w:ascii="Times New Roman" w:hAnsi="Times New Roman" w:eastAsia="Times New Roman" w:cs="Times New Roman"/>
                <w:spacing w:val="5"/>
                <w:sz w:val="20"/>
                <w:szCs w:val="20"/>
              </w:rPr>
              <w:t>20</w:t>
            </w:r>
            <w:r>
              <w:rPr>
                <w:rFonts w:ascii="Times New Roman" w:hAnsi="Times New Roman" w:eastAsia="Times New Roman" w:cs="Times New Roman"/>
                <w:sz w:val="20"/>
                <w:szCs w:val="20"/>
              </w:rPr>
              <w:t>cm</w:t>
            </w:r>
            <w:r>
              <w:rPr>
                <w:rFonts w:ascii="Times New Roman" w:hAnsi="Times New Roman" w:eastAsia="Times New Roman" w:cs="Times New Roman"/>
                <w:spacing w:val="-24"/>
                <w:sz w:val="20"/>
                <w:szCs w:val="20"/>
              </w:rPr>
              <w:t xml:space="preserve"> </w:t>
            </w:r>
            <w:r>
              <w:rPr>
                <w:spacing w:val="5"/>
                <w:sz w:val="20"/>
                <w:szCs w:val="20"/>
              </w:rPr>
              <w:t>。</w:t>
            </w:r>
            <w:r>
              <w:rPr>
                <w:spacing w:val="9"/>
                <w:sz w:val="20"/>
                <w:szCs w:val="20"/>
              </w:rPr>
              <w:t>剥离的表层土壤不能及时铺覆到已整治场地的，应选择适宜的场地进行堆</w:t>
            </w:r>
            <w:r>
              <w:rPr>
                <w:spacing w:val="1"/>
                <w:sz w:val="20"/>
                <w:szCs w:val="20"/>
              </w:rPr>
              <w:t>存，并采取围挡等措施防止水土流失。</w:t>
            </w:r>
          </w:p>
        </w:tc>
        <w:tc>
          <w:tcPr>
            <w:tcW w:w="3526" w:type="dxa"/>
            <w:gridSpan w:val="2"/>
            <w:tcBorders>
              <w:right w:val="single" w:color="000000" w:sz="6" w:space="0"/>
            </w:tcBorders>
            <w:vAlign w:val="top"/>
          </w:tcPr>
          <w:p w14:paraId="33A7428A">
            <w:pPr>
              <w:pStyle w:val="6"/>
              <w:spacing w:before="32" w:line="251" w:lineRule="auto"/>
              <w:ind w:left="36" w:firstLine="415"/>
              <w:jc w:val="both"/>
              <w:rPr>
                <w:sz w:val="20"/>
                <w:szCs w:val="20"/>
              </w:rPr>
            </w:pPr>
            <w:r>
              <w:rPr>
                <w:spacing w:val="25"/>
                <w:sz w:val="20"/>
                <w:szCs w:val="20"/>
              </w:rPr>
              <w:t>根据项</w:t>
            </w:r>
            <w:r>
              <w:rPr>
                <w:spacing w:val="-18"/>
                <w:sz w:val="20"/>
                <w:szCs w:val="20"/>
              </w:rPr>
              <w:t xml:space="preserve"> </w:t>
            </w:r>
            <w:r>
              <w:rPr>
                <w:spacing w:val="25"/>
                <w:sz w:val="20"/>
                <w:szCs w:val="20"/>
              </w:rPr>
              <w:t>目土地勘测定界技术报</w:t>
            </w:r>
            <w:r>
              <w:rPr>
                <w:spacing w:val="-2"/>
                <w:sz w:val="20"/>
                <w:szCs w:val="20"/>
              </w:rPr>
              <w:t>告，临时占用耕地（水浇地）</w:t>
            </w:r>
            <w:r>
              <w:rPr>
                <w:rFonts w:ascii="Times New Roman" w:hAnsi="Times New Roman" w:eastAsia="Times New Roman" w:cs="Times New Roman"/>
                <w:spacing w:val="-2"/>
                <w:sz w:val="20"/>
                <w:szCs w:val="20"/>
              </w:rPr>
              <w:t>12989m</w:t>
            </w:r>
            <w:r>
              <w:rPr>
                <w:rFonts w:ascii="Times New Roman" w:hAnsi="Times New Roman" w:eastAsia="Times New Roman" w:cs="Times New Roman"/>
                <w:spacing w:val="-2"/>
                <w:position w:val="6"/>
                <w:sz w:val="13"/>
                <w:szCs w:val="13"/>
              </w:rPr>
              <w:t>2</w:t>
            </w:r>
            <w:r>
              <w:rPr>
                <w:spacing w:val="-2"/>
                <w:sz w:val="20"/>
                <w:szCs w:val="20"/>
              </w:rPr>
              <w:t>，</w:t>
            </w:r>
            <w:r>
              <w:rPr>
                <w:spacing w:val="7"/>
                <w:sz w:val="20"/>
                <w:szCs w:val="20"/>
              </w:rPr>
              <w:t>水域及水利设施用地（沟渠）</w:t>
            </w:r>
            <w:r>
              <w:rPr>
                <w:rFonts w:ascii="Times New Roman" w:hAnsi="Times New Roman" w:eastAsia="Times New Roman" w:cs="Times New Roman"/>
                <w:spacing w:val="7"/>
                <w:sz w:val="20"/>
                <w:szCs w:val="20"/>
              </w:rPr>
              <w:t>304m</w:t>
            </w:r>
            <w:r>
              <w:rPr>
                <w:rFonts w:ascii="Times New Roman" w:hAnsi="Times New Roman" w:eastAsia="Times New Roman" w:cs="Times New Roman"/>
                <w:spacing w:val="7"/>
                <w:position w:val="6"/>
                <w:sz w:val="13"/>
                <w:szCs w:val="13"/>
              </w:rPr>
              <w:t>2</w:t>
            </w:r>
            <w:r>
              <w:rPr>
                <w:spacing w:val="7"/>
                <w:sz w:val="20"/>
                <w:szCs w:val="20"/>
              </w:rPr>
              <w:t>。</w:t>
            </w:r>
          </w:p>
          <w:p w14:paraId="7276E29B">
            <w:pPr>
              <w:pStyle w:val="6"/>
              <w:spacing w:before="2" w:line="247" w:lineRule="auto"/>
              <w:ind w:left="29" w:right="38" w:firstLine="428"/>
              <w:jc w:val="both"/>
              <w:rPr>
                <w:sz w:val="20"/>
                <w:szCs w:val="20"/>
              </w:rPr>
            </w:pPr>
            <w:r>
              <w:rPr>
                <w:spacing w:val="15"/>
                <w:sz w:val="20"/>
                <w:szCs w:val="20"/>
              </w:rPr>
              <w:t>项目合理安排施工期，避开农作</w:t>
            </w:r>
            <w:r>
              <w:rPr>
                <w:spacing w:val="12"/>
                <w:sz w:val="20"/>
                <w:szCs w:val="20"/>
              </w:rPr>
              <w:t>物的生长期和收获期，</w:t>
            </w:r>
            <w:r>
              <w:rPr>
                <w:spacing w:val="-48"/>
                <w:sz w:val="20"/>
                <w:szCs w:val="20"/>
              </w:rPr>
              <w:t xml:space="preserve"> </w:t>
            </w:r>
            <w:r>
              <w:rPr>
                <w:spacing w:val="12"/>
                <w:sz w:val="20"/>
                <w:szCs w:val="20"/>
              </w:rPr>
              <w:t>以减少农业生</w:t>
            </w:r>
            <w:r>
              <w:rPr>
                <w:spacing w:val="15"/>
                <w:sz w:val="20"/>
                <w:szCs w:val="20"/>
              </w:rPr>
              <w:t>产损失；施工前按要求对耕作层表土进行剥离和堆存，耕作层剥离厚度为</w:t>
            </w:r>
            <w:r>
              <w:rPr>
                <w:rFonts w:ascii="Times New Roman" w:hAnsi="Times New Roman" w:eastAsia="Times New Roman" w:cs="Times New Roman"/>
                <w:spacing w:val="10"/>
                <w:sz w:val="20"/>
                <w:szCs w:val="20"/>
              </w:rPr>
              <w:t>30</w:t>
            </w:r>
            <w:r>
              <w:rPr>
                <w:rFonts w:ascii="Times New Roman" w:hAnsi="Times New Roman" w:eastAsia="Times New Roman" w:cs="Times New Roman"/>
                <w:sz w:val="20"/>
                <w:szCs w:val="20"/>
              </w:rPr>
              <w:t>cm</w:t>
            </w:r>
            <w:r>
              <w:rPr>
                <w:rFonts w:ascii="Times New Roman" w:hAnsi="Times New Roman" w:eastAsia="Times New Roman" w:cs="Times New Roman"/>
                <w:spacing w:val="-10"/>
                <w:sz w:val="20"/>
                <w:szCs w:val="20"/>
              </w:rPr>
              <w:t xml:space="preserve"> </w:t>
            </w:r>
            <w:r>
              <w:rPr>
                <w:spacing w:val="10"/>
                <w:sz w:val="20"/>
                <w:szCs w:val="20"/>
              </w:rPr>
              <w:t>，将表土集中堆放在不影响临时</w:t>
            </w:r>
            <w:r>
              <w:rPr>
                <w:spacing w:val="-6"/>
                <w:sz w:val="20"/>
                <w:szCs w:val="20"/>
              </w:rPr>
              <w:t>用</w:t>
            </w:r>
            <w:r>
              <w:rPr>
                <w:spacing w:val="-20"/>
                <w:sz w:val="20"/>
                <w:szCs w:val="20"/>
              </w:rPr>
              <w:t xml:space="preserve"> </w:t>
            </w:r>
            <w:r>
              <w:rPr>
                <w:spacing w:val="-6"/>
                <w:sz w:val="20"/>
                <w:szCs w:val="20"/>
              </w:rPr>
              <w:t>地</w:t>
            </w:r>
            <w:r>
              <w:rPr>
                <w:spacing w:val="-31"/>
                <w:sz w:val="20"/>
                <w:szCs w:val="20"/>
              </w:rPr>
              <w:t xml:space="preserve"> </w:t>
            </w:r>
            <w:r>
              <w:rPr>
                <w:spacing w:val="-6"/>
                <w:sz w:val="20"/>
                <w:szCs w:val="20"/>
              </w:rPr>
              <w:t>使</w:t>
            </w:r>
            <w:r>
              <w:rPr>
                <w:spacing w:val="-28"/>
                <w:sz w:val="20"/>
                <w:szCs w:val="20"/>
              </w:rPr>
              <w:t xml:space="preserve"> </w:t>
            </w:r>
            <w:r>
              <w:rPr>
                <w:spacing w:val="-6"/>
                <w:sz w:val="20"/>
                <w:szCs w:val="20"/>
              </w:rPr>
              <w:t>用 的</w:t>
            </w:r>
            <w:r>
              <w:rPr>
                <w:spacing w:val="-31"/>
                <w:sz w:val="20"/>
                <w:szCs w:val="20"/>
              </w:rPr>
              <w:t xml:space="preserve"> </w:t>
            </w:r>
            <w:r>
              <w:rPr>
                <w:spacing w:val="-6"/>
                <w:sz w:val="20"/>
                <w:szCs w:val="20"/>
              </w:rPr>
              <w:t>边</w:t>
            </w:r>
            <w:r>
              <w:rPr>
                <w:spacing w:val="-27"/>
                <w:sz w:val="20"/>
                <w:szCs w:val="20"/>
              </w:rPr>
              <w:t xml:space="preserve"> </w:t>
            </w:r>
            <w:r>
              <w:rPr>
                <w:spacing w:val="-6"/>
                <w:sz w:val="20"/>
                <w:szCs w:val="20"/>
              </w:rPr>
              <w:t>界</w:t>
            </w:r>
            <w:r>
              <w:rPr>
                <w:spacing w:val="-25"/>
                <w:sz w:val="20"/>
                <w:szCs w:val="20"/>
              </w:rPr>
              <w:t xml:space="preserve"> </w:t>
            </w:r>
            <w:r>
              <w:rPr>
                <w:spacing w:val="-6"/>
                <w:sz w:val="20"/>
                <w:szCs w:val="20"/>
              </w:rPr>
              <w:t>处</w:t>
            </w:r>
            <w:r>
              <w:rPr>
                <w:spacing w:val="-12"/>
                <w:sz w:val="20"/>
                <w:szCs w:val="20"/>
              </w:rPr>
              <w:t xml:space="preserve"> </w:t>
            </w:r>
            <w:r>
              <w:rPr>
                <w:spacing w:val="-6"/>
                <w:sz w:val="20"/>
                <w:szCs w:val="20"/>
              </w:rPr>
              <w:t>。</w:t>
            </w:r>
            <w:r>
              <w:rPr>
                <w:spacing w:val="-23"/>
                <w:sz w:val="20"/>
                <w:szCs w:val="20"/>
              </w:rPr>
              <w:t xml:space="preserve"> </w:t>
            </w:r>
            <w:r>
              <w:rPr>
                <w:spacing w:val="-6"/>
                <w:sz w:val="20"/>
                <w:szCs w:val="20"/>
              </w:rPr>
              <w:t>堆</w:t>
            </w:r>
            <w:r>
              <w:rPr>
                <w:spacing w:val="-31"/>
                <w:sz w:val="20"/>
                <w:szCs w:val="20"/>
              </w:rPr>
              <w:t xml:space="preserve"> </w:t>
            </w:r>
            <w:r>
              <w:rPr>
                <w:spacing w:val="-6"/>
                <w:sz w:val="20"/>
                <w:szCs w:val="20"/>
              </w:rPr>
              <w:t>土</w:t>
            </w:r>
            <w:r>
              <w:rPr>
                <w:spacing w:val="-14"/>
                <w:sz w:val="20"/>
                <w:szCs w:val="20"/>
              </w:rPr>
              <w:t xml:space="preserve"> </w:t>
            </w:r>
            <w:r>
              <w:rPr>
                <w:spacing w:val="-6"/>
                <w:sz w:val="20"/>
                <w:szCs w:val="20"/>
              </w:rPr>
              <w:t>区</w:t>
            </w:r>
            <w:r>
              <w:rPr>
                <w:spacing w:val="-30"/>
                <w:sz w:val="20"/>
                <w:szCs w:val="20"/>
              </w:rPr>
              <w:t xml:space="preserve"> </w:t>
            </w:r>
            <w:r>
              <w:rPr>
                <w:spacing w:val="-6"/>
                <w:sz w:val="20"/>
                <w:szCs w:val="20"/>
              </w:rPr>
              <w:t>为</w:t>
            </w:r>
            <w:r>
              <w:rPr>
                <w:rFonts w:ascii="Times New Roman" w:hAnsi="Times New Roman" w:eastAsia="Times New Roman" w:cs="Times New Roman"/>
                <w:spacing w:val="5"/>
                <w:sz w:val="20"/>
                <w:szCs w:val="20"/>
              </w:rPr>
              <w:t>40×50m</w:t>
            </w:r>
            <w:r>
              <w:rPr>
                <w:rFonts w:ascii="Times New Roman" w:hAnsi="Times New Roman" w:eastAsia="Times New Roman" w:cs="Times New Roman"/>
                <w:spacing w:val="-10"/>
                <w:sz w:val="20"/>
                <w:szCs w:val="20"/>
              </w:rPr>
              <w:t xml:space="preserve"> </w:t>
            </w:r>
            <w:r>
              <w:rPr>
                <w:spacing w:val="5"/>
                <w:sz w:val="20"/>
                <w:szCs w:val="20"/>
              </w:rPr>
              <w:t>，堆土上铺密目网，</w:t>
            </w:r>
            <w:r>
              <w:rPr>
                <w:spacing w:val="-59"/>
                <w:sz w:val="20"/>
                <w:szCs w:val="20"/>
              </w:rPr>
              <w:t xml:space="preserve"> </w:t>
            </w:r>
            <w:r>
              <w:rPr>
                <w:spacing w:val="5"/>
                <w:sz w:val="20"/>
                <w:szCs w:val="20"/>
              </w:rPr>
              <w:t>以加强表</w:t>
            </w:r>
            <w:r>
              <w:rPr>
                <w:spacing w:val="15"/>
                <w:sz w:val="20"/>
                <w:szCs w:val="20"/>
              </w:rPr>
              <w:t>土土堆的稳定性，防止水土流失。施</w:t>
            </w:r>
            <w:r>
              <w:rPr>
                <w:spacing w:val="8"/>
                <w:sz w:val="20"/>
                <w:szCs w:val="20"/>
              </w:rPr>
              <w:t>工结束后及时进行回覆。</w:t>
            </w:r>
          </w:p>
        </w:tc>
      </w:tr>
      <w:tr w14:paraId="69B1B3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1456" w:type="dxa"/>
            <w:vMerge w:val="continue"/>
            <w:tcBorders>
              <w:top w:val="nil"/>
              <w:left w:val="single" w:color="000000" w:sz="6" w:space="0"/>
              <w:bottom w:val="nil"/>
            </w:tcBorders>
            <w:vAlign w:val="top"/>
          </w:tcPr>
          <w:p w14:paraId="1185FACE">
            <w:pPr>
              <w:rPr>
                <w:rFonts w:ascii="Arial"/>
                <w:sz w:val="21"/>
              </w:rPr>
            </w:pPr>
          </w:p>
        </w:tc>
        <w:tc>
          <w:tcPr>
            <w:tcW w:w="493" w:type="dxa"/>
            <w:vAlign w:val="top"/>
          </w:tcPr>
          <w:p w14:paraId="3193C8CF">
            <w:pPr>
              <w:spacing w:line="275" w:lineRule="auto"/>
              <w:rPr>
                <w:rFonts w:ascii="Arial"/>
                <w:sz w:val="21"/>
              </w:rPr>
            </w:pPr>
          </w:p>
          <w:p w14:paraId="73753CAC">
            <w:pPr>
              <w:spacing w:line="275" w:lineRule="auto"/>
              <w:rPr>
                <w:rFonts w:ascii="Arial"/>
                <w:sz w:val="21"/>
              </w:rPr>
            </w:pPr>
          </w:p>
          <w:p w14:paraId="71E51076">
            <w:pPr>
              <w:spacing w:line="276" w:lineRule="auto"/>
              <w:rPr>
                <w:rFonts w:ascii="Arial"/>
                <w:sz w:val="21"/>
              </w:rPr>
            </w:pPr>
          </w:p>
          <w:p w14:paraId="6C2AA9D1">
            <w:pPr>
              <w:spacing w:before="57" w:line="195" w:lineRule="auto"/>
              <w:ind w:left="4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w:t>
            </w:r>
          </w:p>
        </w:tc>
        <w:tc>
          <w:tcPr>
            <w:tcW w:w="3455" w:type="dxa"/>
            <w:gridSpan w:val="2"/>
            <w:vAlign w:val="top"/>
          </w:tcPr>
          <w:p w14:paraId="04113215">
            <w:pPr>
              <w:spacing w:line="256" w:lineRule="auto"/>
              <w:rPr>
                <w:rFonts w:ascii="Arial"/>
                <w:sz w:val="21"/>
              </w:rPr>
            </w:pPr>
          </w:p>
          <w:p w14:paraId="3C8501D8">
            <w:pPr>
              <w:spacing w:line="256" w:lineRule="auto"/>
              <w:rPr>
                <w:rFonts w:ascii="Arial"/>
                <w:sz w:val="21"/>
              </w:rPr>
            </w:pPr>
          </w:p>
          <w:p w14:paraId="5B4E73CB">
            <w:pPr>
              <w:pStyle w:val="6"/>
              <w:spacing w:before="65" w:line="252" w:lineRule="auto"/>
              <w:ind w:left="27" w:right="26"/>
              <w:jc w:val="both"/>
              <w:rPr>
                <w:sz w:val="20"/>
                <w:szCs w:val="20"/>
              </w:rPr>
            </w:pPr>
            <w:r>
              <w:rPr>
                <w:spacing w:val="12"/>
                <w:sz w:val="20"/>
                <w:szCs w:val="20"/>
              </w:rPr>
              <w:t>探矿活动结束后，应根据景观相似原则，对探矿活动造成的土壤、植被和</w:t>
            </w:r>
            <w:r>
              <w:rPr>
                <w:spacing w:val="8"/>
                <w:sz w:val="20"/>
                <w:szCs w:val="20"/>
              </w:rPr>
              <w:t>地表景观破坏进行恢复。</w:t>
            </w:r>
          </w:p>
        </w:tc>
        <w:tc>
          <w:tcPr>
            <w:tcW w:w="3526" w:type="dxa"/>
            <w:gridSpan w:val="2"/>
            <w:tcBorders>
              <w:right w:val="single" w:color="000000" w:sz="6" w:space="0"/>
            </w:tcBorders>
            <w:vAlign w:val="top"/>
          </w:tcPr>
          <w:p w14:paraId="0BDB181E">
            <w:pPr>
              <w:pStyle w:val="6"/>
              <w:spacing w:before="37" w:line="251" w:lineRule="auto"/>
              <w:ind w:left="32" w:right="40" w:firstLine="421"/>
              <w:jc w:val="both"/>
              <w:rPr>
                <w:sz w:val="20"/>
                <w:szCs w:val="20"/>
              </w:rPr>
            </w:pPr>
            <w:r>
              <w:rPr>
                <w:spacing w:val="15"/>
                <w:sz w:val="20"/>
                <w:szCs w:val="20"/>
              </w:rPr>
              <w:t>根据勘探结果，不具备开采价值的井口进行永久封井，勘探期结束后</w:t>
            </w:r>
            <w:r>
              <w:rPr>
                <w:spacing w:val="8"/>
                <w:sz w:val="20"/>
                <w:szCs w:val="20"/>
              </w:rPr>
              <w:t>进行平整恢复，恢复成耕地。</w:t>
            </w:r>
          </w:p>
          <w:p w14:paraId="1F5F6D88">
            <w:pPr>
              <w:pStyle w:val="6"/>
              <w:spacing w:before="2" w:line="241" w:lineRule="auto"/>
              <w:ind w:left="34" w:right="40" w:firstLine="424"/>
              <w:jc w:val="both"/>
              <w:rPr>
                <w:sz w:val="20"/>
                <w:szCs w:val="20"/>
              </w:rPr>
            </w:pPr>
            <w:r>
              <w:rPr>
                <w:spacing w:val="15"/>
                <w:sz w:val="20"/>
                <w:szCs w:val="20"/>
              </w:rPr>
              <w:t>具有开采价值，则保留试采井场和进场道路，移交相关部门转作开发井处理，后期若利用勘探井从事生产</w:t>
            </w:r>
            <w:r>
              <w:rPr>
                <w:spacing w:val="8"/>
                <w:sz w:val="20"/>
                <w:szCs w:val="20"/>
              </w:rPr>
              <w:t>等活动，需另行履行环保手续。</w:t>
            </w:r>
          </w:p>
        </w:tc>
      </w:tr>
      <w:tr w14:paraId="5F0BA0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0" w:hRule="atLeast"/>
        </w:trPr>
        <w:tc>
          <w:tcPr>
            <w:tcW w:w="1456" w:type="dxa"/>
            <w:vMerge w:val="continue"/>
            <w:tcBorders>
              <w:top w:val="nil"/>
              <w:left w:val="single" w:color="000000" w:sz="6" w:space="0"/>
              <w:bottom w:val="nil"/>
            </w:tcBorders>
            <w:vAlign w:val="top"/>
          </w:tcPr>
          <w:p w14:paraId="5BF3B9CD">
            <w:pPr>
              <w:rPr>
                <w:rFonts w:ascii="Arial"/>
                <w:sz w:val="21"/>
              </w:rPr>
            </w:pPr>
          </w:p>
        </w:tc>
        <w:tc>
          <w:tcPr>
            <w:tcW w:w="493" w:type="dxa"/>
            <w:tcBorders>
              <w:bottom w:val="single" w:color="000000" w:sz="10" w:space="0"/>
            </w:tcBorders>
            <w:vAlign w:val="top"/>
          </w:tcPr>
          <w:p w14:paraId="3EF9F5FD">
            <w:pPr>
              <w:spacing w:line="273" w:lineRule="auto"/>
              <w:rPr>
                <w:rFonts w:ascii="Arial"/>
                <w:sz w:val="21"/>
              </w:rPr>
            </w:pPr>
          </w:p>
          <w:p w14:paraId="4BBD8A64">
            <w:pPr>
              <w:spacing w:line="273" w:lineRule="auto"/>
              <w:rPr>
                <w:rFonts w:ascii="Arial"/>
                <w:sz w:val="21"/>
              </w:rPr>
            </w:pPr>
          </w:p>
          <w:p w14:paraId="2BEDAD55">
            <w:pPr>
              <w:spacing w:line="273" w:lineRule="auto"/>
              <w:rPr>
                <w:rFonts w:ascii="Arial"/>
                <w:sz w:val="21"/>
              </w:rPr>
            </w:pPr>
          </w:p>
          <w:p w14:paraId="7174DA5D">
            <w:pPr>
              <w:spacing w:line="273" w:lineRule="auto"/>
              <w:rPr>
                <w:rFonts w:ascii="Arial"/>
                <w:sz w:val="21"/>
              </w:rPr>
            </w:pPr>
          </w:p>
          <w:p w14:paraId="128E51DB">
            <w:pPr>
              <w:spacing w:line="273" w:lineRule="auto"/>
              <w:rPr>
                <w:rFonts w:ascii="Arial"/>
                <w:sz w:val="21"/>
              </w:rPr>
            </w:pPr>
          </w:p>
          <w:p w14:paraId="3734229B">
            <w:pPr>
              <w:spacing w:line="274" w:lineRule="auto"/>
              <w:rPr>
                <w:rFonts w:ascii="Arial"/>
                <w:sz w:val="21"/>
              </w:rPr>
            </w:pPr>
          </w:p>
          <w:p w14:paraId="5CB103CF">
            <w:pPr>
              <w:spacing w:before="58" w:line="195" w:lineRule="auto"/>
              <w:ind w:left="4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6.2</w:t>
            </w:r>
          </w:p>
        </w:tc>
        <w:tc>
          <w:tcPr>
            <w:tcW w:w="3455" w:type="dxa"/>
            <w:gridSpan w:val="2"/>
            <w:tcBorders>
              <w:bottom w:val="single" w:color="000000" w:sz="10" w:space="0"/>
            </w:tcBorders>
            <w:vAlign w:val="top"/>
          </w:tcPr>
          <w:p w14:paraId="1C7CCE48">
            <w:pPr>
              <w:spacing w:line="297" w:lineRule="auto"/>
              <w:rPr>
                <w:rFonts w:ascii="Arial"/>
                <w:sz w:val="21"/>
              </w:rPr>
            </w:pPr>
          </w:p>
          <w:p w14:paraId="3E88CAEC">
            <w:pPr>
              <w:spacing w:line="297" w:lineRule="auto"/>
              <w:rPr>
                <w:rFonts w:ascii="Arial"/>
                <w:sz w:val="21"/>
              </w:rPr>
            </w:pPr>
          </w:p>
          <w:p w14:paraId="21005E8C">
            <w:pPr>
              <w:spacing w:line="297" w:lineRule="auto"/>
              <w:rPr>
                <w:rFonts w:ascii="Arial"/>
                <w:sz w:val="21"/>
              </w:rPr>
            </w:pPr>
          </w:p>
          <w:p w14:paraId="02051FAC">
            <w:pPr>
              <w:spacing w:line="298" w:lineRule="auto"/>
              <w:rPr>
                <w:rFonts w:ascii="Arial"/>
                <w:sz w:val="21"/>
              </w:rPr>
            </w:pPr>
          </w:p>
          <w:p w14:paraId="7AF9917F">
            <w:pPr>
              <w:pStyle w:val="6"/>
              <w:spacing w:before="65" w:line="251" w:lineRule="auto"/>
              <w:ind w:left="27" w:right="26"/>
              <w:rPr>
                <w:sz w:val="20"/>
                <w:szCs w:val="20"/>
              </w:rPr>
            </w:pPr>
            <w:r>
              <w:rPr>
                <w:spacing w:val="12"/>
                <w:sz w:val="20"/>
                <w:szCs w:val="20"/>
              </w:rPr>
              <w:t>对水文地质条件、土地耕作及道路安全有影响或位于江、河、湖、海防护</w:t>
            </w:r>
          </w:p>
          <w:p w14:paraId="6440AA44">
            <w:pPr>
              <w:pStyle w:val="6"/>
              <w:spacing w:before="2" w:line="253" w:lineRule="auto"/>
              <w:ind w:left="34" w:hanging="6"/>
              <w:rPr>
                <w:sz w:val="20"/>
                <w:szCs w:val="20"/>
              </w:rPr>
            </w:pPr>
            <w:r>
              <w:rPr>
                <w:spacing w:val="9"/>
                <w:sz w:val="20"/>
                <w:szCs w:val="20"/>
              </w:rPr>
              <w:t>堤或重要建筑物附近的钻孔或坑井应</w:t>
            </w:r>
            <w:r>
              <w:rPr>
                <w:sz w:val="20"/>
                <w:szCs w:val="20"/>
              </w:rPr>
              <w:t>予回填封闭，并恢复其原有生态功能。</w:t>
            </w:r>
          </w:p>
        </w:tc>
        <w:tc>
          <w:tcPr>
            <w:tcW w:w="3526" w:type="dxa"/>
            <w:gridSpan w:val="2"/>
            <w:tcBorders>
              <w:bottom w:val="single" w:color="000000" w:sz="10" w:space="0"/>
              <w:right w:val="single" w:color="000000" w:sz="6" w:space="0"/>
            </w:tcBorders>
            <w:vAlign w:val="top"/>
          </w:tcPr>
          <w:p w14:paraId="2F6ACA0B">
            <w:pPr>
              <w:pStyle w:val="6"/>
              <w:spacing w:before="38" w:line="251" w:lineRule="auto"/>
              <w:ind w:left="34" w:right="38" w:firstLine="423"/>
              <w:jc w:val="both"/>
              <w:rPr>
                <w:sz w:val="20"/>
                <w:szCs w:val="20"/>
              </w:rPr>
            </w:pPr>
            <w:r>
              <w:rPr>
                <w:spacing w:val="15"/>
                <w:sz w:val="20"/>
                <w:szCs w:val="20"/>
              </w:rPr>
              <w:t>项目整个井身均采用了套管固封和水泥固井，在进行水泥和套管固封后含水层的地下水不会经井身发生漏失，不会改变区域地下水流场，不会</w:t>
            </w:r>
            <w:r>
              <w:rPr>
                <w:spacing w:val="8"/>
                <w:sz w:val="20"/>
                <w:szCs w:val="20"/>
              </w:rPr>
              <w:t>影响该区域的居民生活用水。</w:t>
            </w:r>
          </w:p>
          <w:p w14:paraId="38AFEEE3">
            <w:pPr>
              <w:pStyle w:val="6"/>
              <w:spacing w:before="3" w:line="251" w:lineRule="auto"/>
              <w:ind w:left="32" w:right="40" w:firstLine="420"/>
              <w:jc w:val="both"/>
              <w:rPr>
                <w:sz w:val="20"/>
                <w:szCs w:val="20"/>
              </w:rPr>
            </w:pPr>
            <w:r>
              <w:rPr>
                <w:spacing w:val="15"/>
                <w:sz w:val="20"/>
                <w:szCs w:val="20"/>
              </w:rPr>
              <w:t>勘探结束后，若具有开采价值，则转为产能井；若不具备开采价值，则进行封井封场处理，对用地范围内进行地表清理、翻耕、表土回覆等有</w:t>
            </w:r>
            <w:r>
              <w:rPr>
                <w:spacing w:val="8"/>
                <w:sz w:val="20"/>
                <w:szCs w:val="20"/>
              </w:rPr>
              <w:t>效措施对占用的耕地及时复垦。</w:t>
            </w:r>
          </w:p>
          <w:p w14:paraId="7B571CC4">
            <w:pPr>
              <w:pStyle w:val="6"/>
              <w:spacing w:before="1" w:line="239" w:lineRule="auto"/>
              <w:ind w:left="33" w:firstLine="433"/>
              <w:jc w:val="both"/>
              <w:rPr>
                <w:sz w:val="20"/>
                <w:szCs w:val="20"/>
              </w:rPr>
            </w:pPr>
            <w:r>
              <w:rPr>
                <w:spacing w:val="12"/>
                <w:sz w:val="20"/>
                <w:szCs w:val="20"/>
              </w:rPr>
              <w:t>因此，不会对水文地质条件、土</w:t>
            </w:r>
            <w:r>
              <w:rPr>
                <w:spacing w:val="13"/>
                <w:sz w:val="20"/>
                <w:szCs w:val="20"/>
              </w:rPr>
              <w:t>地耕作及道路安全产生不利影响，附</w:t>
            </w:r>
            <w:r>
              <w:rPr>
                <w:spacing w:val="4"/>
                <w:sz w:val="20"/>
                <w:szCs w:val="20"/>
              </w:rPr>
              <w:t>近无江、湖、海防护堤或重要建筑物。</w:t>
            </w:r>
          </w:p>
        </w:tc>
      </w:tr>
      <w:tr w14:paraId="576237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 w:hRule="atLeast"/>
        </w:trPr>
        <w:tc>
          <w:tcPr>
            <w:tcW w:w="1456" w:type="dxa"/>
            <w:vMerge w:val="continue"/>
            <w:tcBorders>
              <w:top w:val="nil"/>
              <w:left w:val="single" w:color="000000" w:sz="6" w:space="0"/>
              <w:bottom w:val="nil"/>
            </w:tcBorders>
            <w:vAlign w:val="top"/>
          </w:tcPr>
          <w:p w14:paraId="7F2B3539">
            <w:pPr>
              <w:rPr>
                <w:rFonts w:ascii="Arial"/>
                <w:sz w:val="21"/>
              </w:rPr>
            </w:pPr>
          </w:p>
        </w:tc>
        <w:tc>
          <w:tcPr>
            <w:tcW w:w="7474" w:type="dxa"/>
            <w:gridSpan w:val="5"/>
            <w:tcBorders>
              <w:top w:val="single" w:color="000000" w:sz="10" w:space="0"/>
              <w:bottom w:val="single" w:color="000000" w:sz="10" w:space="0"/>
              <w:right w:val="single" w:color="000000" w:sz="6" w:space="0"/>
            </w:tcBorders>
            <w:vAlign w:val="top"/>
          </w:tcPr>
          <w:p w14:paraId="53785D04">
            <w:pPr>
              <w:pStyle w:val="6"/>
              <w:spacing w:before="38" w:line="282" w:lineRule="auto"/>
              <w:ind w:left="1692" w:right="162" w:hanging="1194"/>
              <w:rPr>
                <w:rFonts w:ascii="黑体" w:hAnsi="黑体" w:eastAsia="黑体" w:cs="黑体"/>
              </w:rPr>
            </w:pPr>
            <w:r>
              <w:rPr>
                <w:rFonts w:ascii="Times New Roman" w:hAnsi="Times New Roman" w:eastAsia="Times New Roman" w:cs="Times New Roman"/>
                <w:spacing w:val="-2"/>
              </w:rPr>
              <w:t>7</w:t>
            </w:r>
            <w:r>
              <w:rPr>
                <w:rFonts w:ascii="Times New Roman" w:hAnsi="Times New Roman" w:eastAsia="Times New Roman" w:cs="Times New Roman"/>
                <w:spacing w:val="-34"/>
              </w:rPr>
              <w:t xml:space="preserve"> </w:t>
            </w:r>
            <w:r>
              <w:rPr>
                <w:spacing w:val="-2"/>
              </w:rPr>
              <w:t>、与《绿色勘查指南》（</w:t>
            </w:r>
            <w:r>
              <w:rPr>
                <w:rFonts w:ascii="Times New Roman" w:hAnsi="Times New Roman" w:eastAsia="Times New Roman" w:cs="Times New Roman"/>
                <w:spacing w:val="-2"/>
              </w:rPr>
              <w:t>T/CMAS0001-2018</w:t>
            </w:r>
            <w:r>
              <w:rPr>
                <w:spacing w:val="-2"/>
              </w:rPr>
              <w:t>）符合</w:t>
            </w:r>
            <w:r>
              <w:rPr>
                <w:spacing w:val="-3"/>
              </w:rPr>
              <w:t>性分析如下。</w:t>
            </w:r>
            <w:r>
              <w:rPr>
                <w:rFonts w:ascii="黑体" w:hAnsi="黑体" w:eastAsia="黑体" w:cs="黑体"/>
                <w:spacing w:val="-3"/>
              </w:rPr>
              <w:t>表</w:t>
            </w:r>
            <w:r>
              <w:rPr>
                <w:rFonts w:ascii="黑体" w:hAnsi="黑体" w:eastAsia="黑体" w:cs="黑体"/>
                <w:spacing w:val="-15"/>
              </w:rPr>
              <w:t xml:space="preserve"> </w:t>
            </w:r>
            <w:r>
              <w:rPr>
                <w:rFonts w:ascii="Times New Roman" w:hAnsi="Times New Roman" w:eastAsia="Times New Roman" w:cs="Times New Roman"/>
                <w:spacing w:val="-3"/>
              </w:rPr>
              <w:t xml:space="preserve">1-7  </w:t>
            </w:r>
            <w:r>
              <w:rPr>
                <w:rFonts w:ascii="黑体" w:hAnsi="黑体" w:eastAsia="黑体" w:cs="黑体"/>
                <w:spacing w:val="-3"/>
              </w:rPr>
              <w:t>与《绿色勘查指南》符合性分析</w:t>
            </w:r>
          </w:p>
        </w:tc>
      </w:tr>
      <w:tr w14:paraId="2FFE45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1456" w:type="dxa"/>
            <w:vMerge w:val="continue"/>
            <w:tcBorders>
              <w:top w:val="nil"/>
              <w:left w:val="single" w:color="000000" w:sz="6" w:space="0"/>
              <w:bottom w:val="nil"/>
            </w:tcBorders>
            <w:vAlign w:val="top"/>
          </w:tcPr>
          <w:p w14:paraId="53562D07">
            <w:pPr>
              <w:rPr>
                <w:rFonts w:ascii="Arial"/>
                <w:sz w:val="21"/>
              </w:rPr>
            </w:pPr>
          </w:p>
        </w:tc>
        <w:tc>
          <w:tcPr>
            <w:tcW w:w="3619" w:type="dxa"/>
            <w:gridSpan w:val="2"/>
            <w:tcBorders>
              <w:top w:val="single" w:color="000000" w:sz="10" w:space="0"/>
              <w:bottom w:val="single" w:color="000000" w:sz="4" w:space="0"/>
              <w:right w:val="single" w:color="000000" w:sz="4" w:space="0"/>
            </w:tcBorders>
            <w:vAlign w:val="top"/>
          </w:tcPr>
          <w:p w14:paraId="19837D3C">
            <w:pPr>
              <w:pStyle w:val="6"/>
              <w:spacing w:before="92" w:line="229" w:lineRule="auto"/>
              <w:ind w:left="1400"/>
              <w:rPr>
                <w:sz w:val="20"/>
                <w:szCs w:val="20"/>
              </w:rPr>
            </w:pPr>
            <w:r>
              <w:rPr>
                <w:spacing w:val="6"/>
                <w:sz w:val="20"/>
                <w:szCs w:val="20"/>
              </w:rPr>
              <w:t>指南要求</w:t>
            </w:r>
          </w:p>
        </w:tc>
        <w:tc>
          <w:tcPr>
            <w:tcW w:w="3123" w:type="dxa"/>
            <w:gridSpan w:val="2"/>
            <w:tcBorders>
              <w:top w:val="single" w:color="000000" w:sz="10" w:space="0"/>
              <w:left w:val="single" w:color="000000" w:sz="4" w:space="0"/>
              <w:bottom w:val="single" w:color="000000" w:sz="4" w:space="0"/>
              <w:right w:val="single" w:color="000000" w:sz="4" w:space="0"/>
            </w:tcBorders>
            <w:vAlign w:val="top"/>
          </w:tcPr>
          <w:p w14:paraId="1043EFEA">
            <w:pPr>
              <w:pStyle w:val="6"/>
              <w:spacing w:before="95" w:line="228" w:lineRule="auto"/>
              <w:ind w:left="1151"/>
              <w:rPr>
                <w:sz w:val="20"/>
                <w:szCs w:val="20"/>
              </w:rPr>
            </w:pPr>
            <w:r>
              <w:rPr>
                <w:spacing w:val="6"/>
                <w:sz w:val="20"/>
                <w:szCs w:val="20"/>
              </w:rPr>
              <w:t>项目情况</w:t>
            </w:r>
          </w:p>
        </w:tc>
        <w:tc>
          <w:tcPr>
            <w:tcW w:w="732" w:type="dxa"/>
            <w:tcBorders>
              <w:top w:val="single" w:color="000000" w:sz="10" w:space="0"/>
              <w:left w:val="single" w:color="000000" w:sz="4" w:space="0"/>
              <w:bottom w:val="single" w:color="000000" w:sz="4" w:space="0"/>
              <w:right w:val="single" w:color="000000" w:sz="6" w:space="0"/>
            </w:tcBorders>
            <w:vAlign w:val="top"/>
          </w:tcPr>
          <w:p w14:paraId="7B5B202D">
            <w:pPr>
              <w:pStyle w:val="6"/>
              <w:spacing w:before="94" w:line="228" w:lineRule="auto"/>
              <w:ind w:left="52"/>
              <w:rPr>
                <w:sz w:val="20"/>
                <w:szCs w:val="20"/>
              </w:rPr>
            </w:pPr>
            <w:r>
              <w:rPr>
                <w:spacing w:val="6"/>
                <w:sz w:val="20"/>
                <w:szCs w:val="20"/>
              </w:rPr>
              <w:t>符合性</w:t>
            </w:r>
          </w:p>
        </w:tc>
      </w:tr>
      <w:tr w14:paraId="19C46E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0" w:hRule="atLeast"/>
        </w:trPr>
        <w:tc>
          <w:tcPr>
            <w:tcW w:w="1456" w:type="dxa"/>
            <w:vMerge w:val="continue"/>
            <w:tcBorders>
              <w:top w:val="nil"/>
              <w:left w:val="single" w:color="000000" w:sz="6" w:space="0"/>
              <w:bottom w:val="single" w:color="000000" w:sz="6" w:space="0"/>
            </w:tcBorders>
            <w:vAlign w:val="top"/>
          </w:tcPr>
          <w:p w14:paraId="4FE7F9E0">
            <w:pPr>
              <w:rPr>
                <w:rFonts w:ascii="Arial"/>
                <w:sz w:val="21"/>
              </w:rPr>
            </w:pPr>
          </w:p>
        </w:tc>
        <w:tc>
          <w:tcPr>
            <w:tcW w:w="3619" w:type="dxa"/>
            <w:gridSpan w:val="2"/>
            <w:tcBorders>
              <w:top w:val="single" w:color="000000" w:sz="4" w:space="0"/>
              <w:bottom w:val="single" w:color="000000" w:sz="6" w:space="0"/>
              <w:right w:val="single" w:color="000000" w:sz="4" w:space="0"/>
            </w:tcBorders>
            <w:vAlign w:val="top"/>
          </w:tcPr>
          <w:p w14:paraId="20F90DAE">
            <w:pPr>
              <w:pStyle w:val="6"/>
              <w:spacing w:before="89" w:line="223" w:lineRule="auto"/>
              <w:ind w:left="16" w:right="33"/>
              <w:jc w:val="both"/>
              <w:rPr>
                <w:sz w:val="20"/>
                <w:szCs w:val="20"/>
              </w:rPr>
            </w:pPr>
            <w:r>
              <w:rPr>
                <w:spacing w:val="9"/>
                <w:sz w:val="20"/>
                <w:szCs w:val="20"/>
              </w:rPr>
              <w:t>修筑道路及施工场地，应根据自然条件及安全文明、环境保护等管理要求进行规划布置。修筑道路和施工场地尽可能减少土地的占用面积、树木与植被的破坏。需要并可移植的树木应尽量移植保存，用于项目施工结束的复绿或就近栽</w:t>
            </w:r>
            <w:r>
              <w:rPr>
                <w:sz w:val="20"/>
                <w:szCs w:val="20"/>
              </w:rPr>
              <w:t>培。</w:t>
            </w:r>
          </w:p>
        </w:tc>
        <w:tc>
          <w:tcPr>
            <w:tcW w:w="3123" w:type="dxa"/>
            <w:gridSpan w:val="2"/>
            <w:tcBorders>
              <w:top w:val="single" w:color="000000" w:sz="4" w:space="0"/>
              <w:left w:val="single" w:color="000000" w:sz="4" w:space="0"/>
              <w:bottom w:val="single" w:color="000000" w:sz="6" w:space="0"/>
              <w:right w:val="single" w:color="000000" w:sz="4" w:space="0"/>
            </w:tcBorders>
            <w:vAlign w:val="top"/>
          </w:tcPr>
          <w:p w14:paraId="62C4B04C">
            <w:pPr>
              <w:spacing w:line="311" w:lineRule="auto"/>
              <w:rPr>
                <w:rFonts w:ascii="Arial"/>
                <w:sz w:val="21"/>
              </w:rPr>
            </w:pPr>
          </w:p>
          <w:p w14:paraId="1579C503">
            <w:pPr>
              <w:spacing w:line="311" w:lineRule="auto"/>
              <w:rPr>
                <w:rFonts w:ascii="Arial"/>
                <w:sz w:val="21"/>
              </w:rPr>
            </w:pPr>
          </w:p>
          <w:p w14:paraId="3D3C464A">
            <w:pPr>
              <w:pStyle w:val="6"/>
              <w:spacing w:before="65" w:line="225" w:lineRule="auto"/>
              <w:ind w:left="12" w:right="12" w:firstLine="421"/>
              <w:rPr>
                <w:sz w:val="20"/>
                <w:szCs w:val="20"/>
              </w:rPr>
            </w:pPr>
            <w:r>
              <w:rPr>
                <w:spacing w:val="5"/>
                <w:sz w:val="20"/>
                <w:szCs w:val="20"/>
              </w:rPr>
              <w:t>项目充分利用现有乡村道路，</w:t>
            </w:r>
            <w:r>
              <w:rPr>
                <w:spacing w:val="7"/>
                <w:sz w:val="20"/>
                <w:szCs w:val="20"/>
              </w:rPr>
              <w:t>无需新建进场道路。</w:t>
            </w:r>
          </w:p>
        </w:tc>
        <w:tc>
          <w:tcPr>
            <w:tcW w:w="732" w:type="dxa"/>
            <w:tcBorders>
              <w:top w:val="single" w:color="000000" w:sz="4" w:space="0"/>
              <w:left w:val="single" w:color="000000" w:sz="4" w:space="0"/>
              <w:bottom w:val="single" w:color="000000" w:sz="6" w:space="0"/>
              <w:right w:val="single" w:color="000000" w:sz="6" w:space="0"/>
            </w:tcBorders>
            <w:vAlign w:val="top"/>
          </w:tcPr>
          <w:p w14:paraId="12662E1D">
            <w:pPr>
              <w:spacing w:line="247" w:lineRule="auto"/>
              <w:rPr>
                <w:rFonts w:ascii="Arial"/>
                <w:sz w:val="21"/>
              </w:rPr>
            </w:pPr>
          </w:p>
          <w:p w14:paraId="1CD14A2C">
            <w:pPr>
              <w:spacing w:line="247" w:lineRule="auto"/>
              <w:rPr>
                <w:rFonts w:ascii="Arial"/>
                <w:sz w:val="21"/>
              </w:rPr>
            </w:pPr>
          </w:p>
          <w:p w14:paraId="00B1D258">
            <w:pPr>
              <w:spacing w:line="248" w:lineRule="auto"/>
              <w:rPr>
                <w:rFonts w:ascii="Arial"/>
                <w:sz w:val="21"/>
              </w:rPr>
            </w:pPr>
          </w:p>
          <w:p w14:paraId="66261404">
            <w:pPr>
              <w:pStyle w:val="6"/>
              <w:spacing w:before="65" w:line="228" w:lineRule="auto"/>
              <w:ind w:left="157"/>
              <w:rPr>
                <w:sz w:val="20"/>
                <w:szCs w:val="20"/>
              </w:rPr>
            </w:pPr>
            <w:r>
              <w:rPr>
                <w:spacing w:val="3"/>
                <w:sz w:val="20"/>
                <w:szCs w:val="20"/>
              </w:rPr>
              <w:t>符合</w:t>
            </w:r>
          </w:p>
        </w:tc>
      </w:tr>
    </w:tbl>
    <w:p w14:paraId="5A69D3C3">
      <w:pPr>
        <w:rPr>
          <w:rFonts w:ascii="Arial"/>
          <w:sz w:val="21"/>
        </w:rPr>
      </w:pPr>
    </w:p>
    <w:p w14:paraId="1DD259B3">
      <w:pPr>
        <w:rPr>
          <w:rFonts w:ascii="Arial" w:hAnsi="Arial" w:eastAsia="Arial" w:cs="Arial"/>
          <w:sz w:val="21"/>
          <w:szCs w:val="21"/>
        </w:rPr>
        <w:sectPr>
          <w:footerReference r:id="rId15" w:type="default"/>
          <w:pgSz w:w="11906" w:h="16839"/>
          <w:pgMar w:top="400" w:right="1395" w:bottom="1240" w:left="1565" w:header="0" w:footer="1078" w:gutter="0"/>
          <w:cols w:space="720" w:num="1"/>
        </w:sectPr>
      </w:pPr>
    </w:p>
    <w:p w14:paraId="650E4EDE">
      <w:pPr>
        <w:spacing w:before="56"/>
      </w:pPr>
    </w:p>
    <w:p w14:paraId="6C6CD1CF">
      <w:pPr>
        <w:spacing w:before="56"/>
      </w:pPr>
    </w:p>
    <w:p w14:paraId="4FF775A0">
      <w:pPr>
        <w:spacing w:before="55"/>
      </w:pPr>
    </w:p>
    <w:p w14:paraId="4D48BC7A">
      <w:pPr>
        <w:spacing w:before="55"/>
      </w:pPr>
    </w:p>
    <w:tbl>
      <w:tblPr>
        <w:tblStyle w:val="5"/>
        <w:tblW w:w="8930"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56"/>
        <w:gridCol w:w="3619"/>
        <w:gridCol w:w="3123"/>
        <w:gridCol w:w="732"/>
      </w:tblGrid>
      <w:tr w14:paraId="6711DE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6" w:hRule="atLeast"/>
        </w:trPr>
        <w:tc>
          <w:tcPr>
            <w:tcW w:w="1456" w:type="dxa"/>
            <w:vMerge w:val="restart"/>
            <w:tcBorders>
              <w:top w:val="single" w:color="000000" w:sz="6" w:space="0"/>
              <w:left w:val="single" w:color="000000" w:sz="6" w:space="0"/>
              <w:bottom w:val="nil"/>
              <w:right w:val="single" w:color="000000" w:sz="2" w:space="0"/>
            </w:tcBorders>
            <w:vAlign w:val="top"/>
          </w:tcPr>
          <w:p w14:paraId="0220F87A">
            <w:pPr>
              <w:rPr>
                <w:rFonts w:ascii="Arial"/>
                <w:sz w:val="21"/>
              </w:rPr>
            </w:pPr>
          </w:p>
        </w:tc>
        <w:tc>
          <w:tcPr>
            <w:tcW w:w="3619" w:type="dxa"/>
            <w:tcBorders>
              <w:top w:val="single" w:color="000000" w:sz="6" w:space="0"/>
              <w:left w:val="single" w:color="000000" w:sz="2" w:space="0"/>
            </w:tcBorders>
            <w:vAlign w:val="top"/>
          </w:tcPr>
          <w:p w14:paraId="3950F9CA">
            <w:pPr>
              <w:pStyle w:val="6"/>
              <w:spacing w:before="146" w:line="223" w:lineRule="auto"/>
              <w:ind w:left="16"/>
              <w:jc w:val="both"/>
              <w:rPr>
                <w:sz w:val="20"/>
                <w:szCs w:val="20"/>
              </w:rPr>
            </w:pPr>
            <w:r>
              <w:rPr>
                <w:spacing w:val="5"/>
                <w:sz w:val="20"/>
                <w:szCs w:val="20"/>
              </w:rPr>
              <w:t>施工剥离的适合复垦的表土，应当收集存放管理，作为施工结束后的复垦、复</w:t>
            </w:r>
            <w:r>
              <w:rPr>
                <w:spacing w:val="-1"/>
                <w:sz w:val="20"/>
                <w:szCs w:val="20"/>
              </w:rPr>
              <w:t>绿用土。宜将开挖的土石用于工程回填、</w:t>
            </w:r>
            <w:r>
              <w:rPr>
                <w:spacing w:val="5"/>
                <w:sz w:val="20"/>
                <w:szCs w:val="20"/>
              </w:rPr>
              <w:t>路基建设及边坡填筑。需外运土石应指</w:t>
            </w:r>
            <w:r>
              <w:rPr>
                <w:spacing w:val="4"/>
                <w:sz w:val="20"/>
                <w:szCs w:val="20"/>
              </w:rPr>
              <w:t>定位置并规范管理。</w:t>
            </w:r>
          </w:p>
        </w:tc>
        <w:tc>
          <w:tcPr>
            <w:tcW w:w="3123" w:type="dxa"/>
            <w:tcBorders>
              <w:top w:val="single" w:color="000000" w:sz="6" w:space="0"/>
            </w:tcBorders>
            <w:vAlign w:val="top"/>
          </w:tcPr>
          <w:p w14:paraId="627DA899">
            <w:pPr>
              <w:pStyle w:val="6"/>
              <w:spacing w:before="146" w:line="223" w:lineRule="auto"/>
              <w:ind w:left="9" w:firstLine="419"/>
              <w:rPr>
                <w:sz w:val="20"/>
                <w:szCs w:val="20"/>
              </w:rPr>
            </w:pPr>
            <w:r>
              <w:rPr>
                <w:spacing w:val="9"/>
                <w:sz w:val="20"/>
                <w:szCs w:val="20"/>
              </w:rPr>
              <w:t>施工前对耕作层表土进行剥</w:t>
            </w:r>
            <w:r>
              <w:rPr>
                <w:spacing w:val="6"/>
                <w:sz w:val="20"/>
                <w:szCs w:val="20"/>
              </w:rPr>
              <w:t>离和堆存，将表土集中堆放在不影响临时用地使用的边界处，堆土上铺密目网，以加强表土土堆的稳定</w:t>
            </w:r>
            <w:r>
              <w:rPr>
                <w:spacing w:val="7"/>
                <w:sz w:val="20"/>
                <w:szCs w:val="20"/>
              </w:rPr>
              <w:t>性，防止水土流失。</w:t>
            </w:r>
          </w:p>
        </w:tc>
        <w:tc>
          <w:tcPr>
            <w:tcW w:w="732" w:type="dxa"/>
            <w:tcBorders>
              <w:top w:val="single" w:color="000000" w:sz="6" w:space="0"/>
              <w:right w:val="single" w:color="000000" w:sz="6" w:space="0"/>
            </w:tcBorders>
            <w:vAlign w:val="top"/>
          </w:tcPr>
          <w:p w14:paraId="6D7A2F26">
            <w:pPr>
              <w:spacing w:line="279" w:lineRule="auto"/>
              <w:rPr>
                <w:rFonts w:ascii="Arial"/>
                <w:sz w:val="21"/>
              </w:rPr>
            </w:pPr>
          </w:p>
          <w:p w14:paraId="7C8DB413">
            <w:pPr>
              <w:spacing w:line="280" w:lineRule="auto"/>
              <w:rPr>
                <w:rFonts w:ascii="Arial"/>
                <w:sz w:val="21"/>
              </w:rPr>
            </w:pPr>
          </w:p>
          <w:p w14:paraId="70B7F805">
            <w:pPr>
              <w:pStyle w:val="6"/>
              <w:spacing w:before="65" w:line="228" w:lineRule="auto"/>
              <w:ind w:left="157"/>
              <w:rPr>
                <w:sz w:val="20"/>
                <w:szCs w:val="20"/>
              </w:rPr>
            </w:pPr>
            <w:r>
              <w:rPr>
                <w:spacing w:val="3"/>
                <w:sz w:val="20"/>
                <w:szCs w:val="20"/>
              </w:rPr>
              <w:t>符合</w:t>
            </w:r>
          </w:p>
        </w:tc>
      </w:tr>
      <w:tr w14:paraId="39D6EC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0" w:hRule="atLeast"/>
        </w:trPr>
        <w:tc>
          <w:tcPr>
            <w:tcW w:w="1456" w:type="dxa"/>
            <w:vMerge w:val="continue"/>
            <w:tcBorders>
              <w:top w:val="nil"/>
              <w:left w:val="single" w:color="000000" w:sz="6" w:space="0"/>
              <w:bottom w:val="nil"/>
              <w:right w:val="single" w:color="000000" w:sz="2" w:space="0"/>
            </w:tcBorders>
            <w:vAlign w:val="top"/>
          </w:tcPr>
          <w:p w14:paraId="0DDDE25D">
            <w:pPr>
              <w:rPr>
                <w:rFonts w:ascii="Arial"/>
                <w:sz w:val="21"/>
              </w:rPr>
            </w:pPr>
          </w:p>
        </w:tc>
        <w:tc>
          <w:tcPr>
            <w:tcW w:w="3619" w:type="dxa"/>
            <w:tcBorders>
              <w:left w:val="single" w:color="000000" w:sz="2" w:space="0"/>
            </w:tcBorders>
            <w:vAlign w:val="top"/>
          </w:tcPr>
          <w:p w14:paraId="7EE35A10">
            <w:pPr>
              <w:pStyle w:val="6"/>
              <w:spacing w:before="301" w:line="223" w:lineRule="auto"/>
              <w:ind w:left="16" w:right="33"/>
              <w:rPr>
                <w:sz w:val="20"/>
                <w:szCs w:val="20"/>
              </w:rPr>
            </w:pPr>
            <w:r>
              <w:rPr>
                <w:spacing w:val="9"/>
                <w:sz w:val="20"/>
                <w:szCs w:val="20"/>
              </w:rPr>
              <w:t>施工中挖填形成的边坡及土石堆场边坡应做好支护或拦挡，预防崩塌、滑坡、泥石流等地质灾害，尽量减少土石压占</w:t>
            </w:r>
            <w:r>
              <w:rPr>
                <w:spacing w:val="5"/>
                <w:sz w:val="20"/>
                <w:szCs w:val="20"/>
              </w:rPr>
              <w:t>土地面积。</w:t>
            </w:r>
          </w:p>
        </w:tc>
        <w:tc>
          <w:tcPr>
            <w:tcW w:w="3123" w:type="dxa"/>
            <w:vAlign w:val="top"/>
          </w:tcPr>
          <w:p w14:paraId="3B17D826">
            <w:pPr>
              <w:pStyle w:val="6"/>
              <w:spacing w:before="57" w:line="223" w:lineRule="auto"/>
              <w:ind w:left="10" w:firstLine="423"/>
              <w:rPr>
                <w:sz w:val="20"/>
                <w:szCs w:val="20"/>
              </w:rPr>
            </w:pPr>
            <w:r>
              <w:rPr>
                <w:spacing w:val="8"/>
                <w:sz w:val="20"/>
                <w:szCs w:val="20"/>
              </w:rPr>
              <w:t>项目位于河套平原，地势平</w:t>
            </w:r>
            <w:r>
              <w:rPr>
                <w:spacing w:val="9"/>
                <w:sz w:val="20"/>
                <w:szCs w:val="20"/>
              </w:rPr>
              <w:t>坦，井场平整过程中不会形成边坡。施工前对耕作层表土进行剥</w:t>
            </w:r>
            <w:r>
              <w:rPr>
                <w:spacing w:val="6"/>
                <w:sz w:val="20"/>
                <w:szCs w:val="20"/>
              </w:rPr>
              <w:t>离、堆存，为减少土石压占土地面</w:t>
            </w:r>
            <w:r>
              <w:rPr>
                <w:spacing w:val="9"/>
                <w:sz w:val="20"/>
                <w:szCs w:val="20"/>
              </w:rPr>
              <w:t>积，表土集中堆放区于井场范围</w:t>
            </w:r>
            <w:r>
              <w:rPr>
                <w:spacing w:val="7"/>
                <w:sz w:val="20"/>
                <w:szCs w:val="20"/>
              </w:rPr>
              <w:t>内，堆土上铺密目网。</w:t>
            </w:r>
          </w:p>
        </w:tc>
        <w:tc>
          <w:tcPr>
            <w:tcW w:w="732" w:type="dxa"/>
            <w:tcBorders>
              <w:right w:val="single" w:color="000000" w:sz="6" w:space="0"/>
            </w:tcBorders>
            <w:vAlign w:val="top"/>
          </w:tcPr>
          <w:p w14:paraId="14226820">
            <w:pPr>
              <w:spacing w:line="295" w:lineRule="auto"/>
              <w:rPr>
                <w:rFonts w:ascii="Arial"/>
                <w:sz w:val="21"/>
              </w:rPr>
            </w:pPr>
          </w:p>
          <w:p w14:paraId="5B92604A">
            <w:pPr>
              <w:spacing w:line="296" w:lineRule="auto"/>
              <w:rPr>
                <w:rFonts w:ascii="Arial"/>
                <w:sz w:val="21"/>
              </w:rPr>
            </w:pPr>
          </w:p>
          <w:p w14:paraId="780E7F77">
            <w:pPr>
              <w:pStyle w:val="6"/>
              <w:spacing w:before="65" w:line="228" w:lineRule="auto"/>
              <w:ind w:left="157"/>
              <w:rPr>
                <w:sz w:val="20"/>
                <w:szCs w:val="20"/>
              </w:rPr>
            </w:pPr>
            <w:r>
              <w:rPr>
                <w:spacing w:val="3"/>
                <w:sz w:val="20"/>
                <w:szCs w:val="20"/>
              </w:rPr>
              <w:t>符合</w:t>
            </w:r>
          </w:p>
        </w:tc>
      </w:tr>
      <w:tr w14:paraId="3FCC6E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1456" w:type="dxa"/>
            <w:vMerge w:val="continue"/>
            <w:tcBorders>
              <w:top w:val="nil"/>
              <w:left w:val="single" w:color="000000" w:sz="6" w:space="0"/>
              <w:bottom w:val="nil"/>
              <w:right w:val="single" w:color="000000" w:sz="2" w:space="0"/>
            </w:tcBorders>
            <w:vAlign w:val="top"/>
          </w:tcPr>
          <w:p w14:paraId="4875AA77">
            <w:pPr>
              <w:rPr>
                <w:rFonts w:ascii="Arial"/>
                <w:sz w:val="21"/>
              </w:rPr>
            </w:pPr>
          </w:p>
        </w:tc>
        <w:tc>
          <w:tcPr>
            <w:tcW w:w="3619" w:type="dxa"/>
            <w:tcBorders>
              <w:left w:val="single" w:color="000000" w:sz="2" w:space="0"/>
            </w:tcBorders>
            <w:vAlign w:val="top"/>
          </w:tcPr>
          <w:p w14:paraId="30CED1BB">
            <w:pPr>
              <w:pStyle w:val="6"/>
              <w:spacing w:before="51" w:line="224" w:lineRule="auto"/>
              <w:ind w:left="39" w:right="33" w:hanging="17"/>
              <w:rPr>
                <w:sz w:val="20"/>
                <w:szCs w:val="20"/>
              </w:rPr>
            </w:pPr>
            <w:r>
              <w:rPr>
                <w:spacing w:val="9"/>
                <w:sz w:val="20"/>
                <w:szCs w:val="20"/>
              </w:rPr>
              <w:t>统筹规划勘查场地进入通道，充分利用</w:t>
            </w:r>
            <w:r>
              <w:rPr>
                <w:spacing w:val="6"/>
                <w:sz w:val="20"/>
                <w:szCs w:val="20"/>
              </w:rPr>
              <w:t>已有可利用的公路、村道等。</w:t>
            </w:r>
          </w:p>
        </w:tc>
        <w:tc>
          <w:tcPr>
            <w:tcW w:w="3123" w:type="dxa"/>
            <w:vAlign w:val="top"/>
          </w:tcPr>
          <w:p w14:paraId="7CF8077D">
            <w:pPr>
              <w:pStyle w:val="6"/>
              <w:spacing w:before="50" w:line="225" w:lineRule="auto"/>
              <w:ind w:left="12" w:right="12" w:firstLine="421"/>
              <w:rPr>
                <w:sz w:val="20"/>
                <w:szCs w:val="20"/>
              </w:rPr>
            </w:pPr>
            <w:r>
              <w:rPr>
                <w:spacing w:val="5"/>
                <w:sz w:val="20"/>
                <w:szCs w:val="20"/>
              </w:rPr>
              <w:t>项目充分利用现有乡村道路，</w:t>
            </w:r>
            <w:r>
              <w:rPr>
                <w:spacing w:val="7"/>
                <w:sz w:val="20"/>
                <w:szCs w:val="20"/>
              </w:rPr>
              <w:t>无需新建进场道路。</w:t>
            </w:r>
          </w:p>
        </w:tc>
        <w:tc>
          <w:tcPr>
            <w:tcW w:w="732" w:type="dxa"/>
            <w:tcBorders>
              <w:right w:val="single" w:color="000000" w:sz="6" w:space="0"/>
            </w:tcBorders>
            <w:vAlign w:val="top"/>
          </w:tcPr>
          <w:p w14:paraId="4F768088">
            <w:pPr>
              <w:pStyle w:val="6"/>
              <w:spacing w:before="170" w:line="228" w:lineRule="auto"/>
              <w:ind w:left="157"/>
              <w:rPr>
                <w:sz w:val="20"/>
                <w:szCs w:val="20"/>
              </w:rPr>
            </w:pPr>
            <w:r>
              <w:rPr>
                <w:spacing w:val="3"/>
                <w:sz w:val="20"/>
                <w:szCs w:val="20"/>
              </w:rPr>
              <w:t>符合</w:t>
            </w:r>
          </w:p>
        </w:tc>
      </w:tr>
      <w:tr w14:paraId="4909F7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9" w:hRule="atLeast"/>
        </w:trPr>
        <w:tc>
          <w:tcPr>
            <w:tcW w:w="1456" w:type="dxa"/>
            <w:vMerge w:val="continue"/>
            <w:tcBorders>
              <w:top w:val="nil"/>
              <w:left w:val="single" w:color="000000" w:sz="6" w:space="0"/>
              <w:bottom w:val="nil"/>
              <w:right w:val="single" w:color="000000" w:sz="2" w:space="0"/>
            </w:tcBorders>
            <w:vAlign w:val="top"/>
          </w:tcPr>
          <w:p w14:paraId="1D0FAAC0">
            <w:pPr>
              <w:rPr>
                <w:rFonts w:ascii="Arial"/>
                <w:sz w:val="21"/>
              </w:rPr>
            </w:pPr>
          </w:p>
        </w:tc>
        <w:tc>
          <w:tcPr>
            <w:tcW w:w="3619" w:type="dxa"/>
            <w:tcBorders>
              <w:left w:val="single" w:color="000000" w:sz="2" w:space="0"/>
            </w:tcBorders>
            <w:vAlign w:val="top"/>
          </w:tcPr>
          <w:p w14:paraId="630B0361">
            <w:pPr>
              <w:pStyle w:val="6"/>
              <w:spacing w:before="76" w:line="224" w:lineRule="auto"/>
              <w:ind w:left="17" w:right="33" w:hanging="1"/>
              <w:jc w:val="both"/>
              <w:rPr>
                <w:sz w:val="20"/>
                <w:szCs w:val="20"/>
              </w:rPr>
            </w:pPr>
            <w:r>
              <w:rPr>
                <w:spacing w:val="9"/>
                <w:sz w:val="20"/>
                <w:szCs w:val="20"/>
              </w:rPr>
              <w:t>在确保安全情况下，道路修筑尽可能减少占用土地、植物移植，以及对水环境</w:t>
            </w:r>
            <w:r>
              <w:rPr>
                <w:spacing w:val="8"/>
                <w:sz w:val="20"/>
                <w:szCs w:val="20"/>
              </w:rPr>
              <w:t>和野生动物保护的影响。</w:t>
            </w:r>
          </w:p>
        </w:tc>
        <w:tc>
          <w:tcPr>
            <w:tcW w:w="3123" w:type="dxa"/>
            <w:vAlign w:val="top"/>
          </w:tcPr>
          <w:p w14:paraId="3042A694">
            <w:pPr>
              <w:pStyle w:val="6"/>
              <w:spacing w:before="196" w:line="225" w:lineRule="auto"/>
              <w:ind w:left="12" w:right="12" w:firstLine="421"/>
              <w:rPr>
                <w:sz w:val="20"/>
                <w:szCs w:val="20"/>
              </w:rPr>
            </w:pPr>
            <w:r>
              <w:rPr>
                <w:spacing w:val="5"/>
                <w:sz w:val="20"/>
                <w:szCs w:val="20"/>
              </w:rPr>
              <w:t>项目充分利用现有乡村道路，</w:t>
            </w:r>
            <w:r>
              <w:rPr>
                <w:spacing w:val="7"/>
                <w:sz w:val="20"/>
                <w:szCs w:val="20"/>
              </w:rPr>
              <w:t>无需新建进场道路。</w:t>
            </w:r>
          </w:p>
        </w:tc>
        <w:tc>
          <w:tcPr>
            <w:tcW w:w="732" w:type="dxa"/>
            <w:tcBorders>
              <w:right w:val="single" w:color="000000" w:sz="6" w:space="0"/>
            </w:tcBorders>
            <w:vAlign w:val="top"/>
          </w:tcPr>
          <w:p w14:paraId="0FDFEAA3">
            <w:pPr>
              <w:spacing w:line="250" w:lineRule="auto"/>
              <w:rPr>
                <w:rFonts w:ascii="Arial"/>
                <w:sz w:val="21"/>
              </w:rPr>
            </w:pPr>
          </w:p>
          <w:p w14:paraId="0F6AF727">
            <w:pPr>
              <w:pStyle w:val="6"/>
              <w:spacing w:before="65" w:line="228" w:lineRule="auto"/>
              <w:ind w:left="157"/>
              <w:rPr>
                <w:sz w:val="20"/>
                <w:szCs w:val="20"/>
              </w:rPr>
            </w:pPr>
            <w:r>
              <w:rPr>
                <w:spacing w:val="3"/>
                <w:sz w:val="20"/>
                <w:szCs w:val="20"/>
              </w:rPr>
              <w:t>符合</w:t>
            </w:r>
          </w:p>
        </w:tc>
      </w:tr>
      <w:tr w14:paraId="124D74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4" w:hRule="atLeast"/>
        </w:trPr>
        <w:tc>
          <w:tcPr>
            <w:tcW w:w="1456" w:type="dxa"/>
            <w:vMerge w:val="continue"/>
            <w:tcBorders>
              <w:top w:val="nil"/>
              <w:left w:val="single" w:color="000000" w:sz="6" w:space="0"/>
              <w:bottom w:val="nil"/>
              <w:right w:val="single" w:color="000000" w:sz="2" w:space="0"/>
            </w:tcBorders>
            <w:vAlign w:val="top"/>
          </w:tcPr>
          <w:p w14:paraId="7BE72487">
            <w:pPr>
              <w:rPr>
                <w:rFonts w:ascii="Arial"/>
                <w:sz w:val="21"/>
              </w:rPr>
            </w:pPr>
          </w:p>
        </w:tc>
        <w:tc>
          <w:tcPr>
            <w:tcW w:w="3619" w:type="dxa"/>
            <w:tcBorders>
              <w:left w:val="single" w:color="000000" w:sz="2" w:space="0"/>
            </w:tcBorders>
            <w:vAlign w:val="top"/>
          </w:tcPr>
          <w:p w14:paraId="2DEBDF04">
            <w:pPr>
              <w:pStyle w:val="6"/>
              <w:spacing w:before="89" w:line="222" w:lineRule="auto"/>
              <w:ind w:left="16" w:right="33"/>
              <w:rPr>
                <w:sz w:val="20"/>
                <w:szCs w:val="20"/>
              </w:rPr>
            </w:pPr>
            <w:r>
              <w:rPr>
                <w:spacing w:val="9"/>
                <w:sz w:val="20"/>
                <w:szCs w:val="20"/>
              </w:rPr>
              <w:t>钻探（钻井）施工场地一般应按照现场施工设备、附属设施安装、施工操作、钻进液循环系统、材料物资存放、临建房屋等施工需要，依据现场地形条件进</w:t>
            </w:r>
            <w:r>
              <w:rPr>
                <w:spacing w:val="7"/>
                <w:sz w:val="20"/>
                <w:szCs w:val="20"/>
              </w:rPr>
              <w:t>行分区布置，</w:t>
            </w:r>
            <w:r>
              <w:rPr>
                <w:spacing w:val="-59"/>
                <w:sz w:val="20"/>
                <w:szCs w:val="20"/>
              </w:rPr>
              <w:t xml:space="preserve"> </w:t>
            </w:r>
            <w:r>
              <w:rPr>
                <w:spacing w:val="7"/>
                <w:sz w:val="20"/>
                <w:szCs w:val="20"/>
              </w:rPr>
              <w:t>以满足减小环境影响和安</w:t>
            </w:r>
            <w:r>
              <w:rPr>
                <w:spacing w:val="9"/>
                <w:sz w:val="20"/>
                <w:szCs w:val="20"/>
              </w:rPr>
              <w:t>全文明施工为原则，严格控制场地平整</w:t>
            </w:r>
            <w:r>
              <w:rPr>
                <w:spacing w:val="7"/>
                <w:sz w:val="20"/>
                <w:szCs w:val="20"/>
              </w:rPr>
              <w:t>使用土地面积。</w:t>
            </w:r>
          </w:p>
        </w:tc>
        <w:tc>
          <w:tcPr>
            <w:tcW w:w="3123" w:type="dxa"/>
            <w:vAlign w:val="top"/>
          </w:tcPr>
          <w:p w14:paraId="3DF66D84">
            <w:pPr>
              <w:spacing w:line="248" w:lineRule="auto"/>
              <w:rPr>
                <w:rFonts w:ascii="Arial"/>
                <w:sz w:val="21"/>
              </w:rPr>
            </w:pPr>
          </w:p>
          <w:p w14:paraId="0C9E6DC5">
            <w:pPr>
              <w:spacing w:line="249" w:lineRule="auto"/>
              <w:rPr>
                <w:rFonts w:ascii="Arial"/>
                <w:sz w:val="21"/>
              </w:rPr>
            </w:pPr>
          </w:p>
          <w:p w14:paraId="4C85A602">
            <w:pPr>
              <w:pStyle w:val="6"/>
              <w:spacing w:before="65" w:line="224" w:lineRule="auto"/>
              <w:ind w:left="10" w:firstLine="422"/>
              <w:rPr>
                <w:sz w:val="20"/>
                <w:szCs w:val="20"/>
              </w:rPr>
            </w:pPr>
            <w:r>
              <w:rPr>
                <w:spacing w:val="8"/>
                <w:sz w:val="20"/>
                <w:szCs w:val="20"/>
              </w:rPr>
              <w:t>项目钻探施工场地按要求分</w:t>
            </w:r>
            <w:r>
              <w:rPr>
                <w:spacing w:val="6"/>
                <w:sz w:val="20"/>
                <w:szCs w:val="20"/>
              </w:rPr>
              <w:t>区布设，满足安全距离要求同时严格控制占地面积，进行文明施工。</w:t>
            </w:r>
          </w:p>
        </w:tc>
        <w:tc>
          <w:tcPr>
            <w:tcW w:w="732" w:type="dxa"/>
            <w:tcBorders>
              <w:right w:val="single" w:color="000000" w:sz="6" w:space="0"/>
            </w:tcBorders>
            <w:vAlign w:val="top"/>
          </w:tcPr>
          <w:p w14:paraId="5D13874B">
            <w:pPr>
              <w:spacing w:line="245" w:lineRule="auto"/>
              <w:rPr>
                <w:rFonts w:ascii="Arial"/>
                <w:sz w:val="21"/>
              </w:rPr>
            </w:pPr>
          </w:p>
          <w:p w14:paraId="641C1073">
            <w:pPr>
              <w:spacing w:line="245" w:lineRule="auto"/>
              <w:rPr>
                <w:rFonts w:ascii="Arial"/>
                <w:sz w:val="21"/>
              </w:rPr>
            </w:pPr>
          </w:p>
          <w:p w14:paraId="38EED3F2">
            <w:pPr>
              <w:spacing w:line="246" w:lineRule="auto"/>
              <w:rPr>
                <w:rFonts w:ascii="Arial"/>
                <w:sz w:val="21"/>
              </w:rPr>
            </w:pPr>
          </w:p>
          <w:p w14:paraId="6F959BA5">
            <w:pPr>
              <w:pStyle w:val="6"/>
              <w:spacing w:before="65" w:line="228" w:lineRule="auto"/>
              <w:ind w:left="157"/>
              <w:rPr>
                <w:sz w:val="20"/>
                <w:szCs w:val="20"/>
              </w:rPr>
            </w:pPr>
            <w:r>
              <w:rPr>
                <w:spacing w:val="3"/>
                <w:sz w:val="20"/>
                <w:szCs w:val="20"/>
              </w:rPr>
              <w:t>符合</w:t>
            </w:r>
          </w:p>
        </w:tc>
      </w:tr>
      <w:tr w14:paraId="07D115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9" w:hRule="atLeast"/>
        </w:trPr>
        <w:tc>
          <w:tcPr>
            <w:tcW w:w="1456" w:type="dxa"/>
            <w:vMerge w:val="continue"/>
            <w:tcBorders>
              <w:top w:val="nil"/>
              <w:left w:val="single" w:color="000000" w:sz="6" w:space="0"/>
              <w:bottom w:val="nil"/>
              <w:right w:val="single" w:color="000000" w:sz="2" w:space="0"/>
            </w:tcBorders>
            <w:vAlign w:val="top"/>
          </w:tcPr>
          <w:p w14:paraId="137C98E0">
            <w:pPr>
              <w:rPr>
                <w:rFonts w:ascii="Arial"/>
                <w:sz w:val="21"/>
              </w:rPr>
            </w:pPr>
          </w:p>
        </w:tc>
        <w:tc>
          <w:tcPr>
            <w:tcW w:w="3619" w:type="dxa"/>
            <w:tcBorders>
              <w:left w:val="single" w:color="000000" w:sz="2" w:space="0"/>
            </w:tcBorders>
            <w:vAlign w:val="top"/>
          </w:tcPr>
          <w:p w14:paraId="7D02FE5F">
            <w:pPr>
              <w:pStyle w:val="6"/>
              <w:spacing w:before="238" w:line="222" w:lineRule="auto"/>
              <w:ind w:left="16"/>
              <w:jc w:val="both"/>
              <w:rPr>
                <w:sz w:val="20"/>
                <w:szCs w:val="20"/>
              </w:rPr>
            </w:pPr>
            <w:r>
              <w:rPr>
                <w:spacing w:val="5"/>
                <w:sz w:val="20"/>
                <w:szCs w:val="20"/>
              </w:rPr>
              <w:t>钻探施工主要设备及配套技术应处于国</w:t>
            </w:r>
            <w:r>
              <w:rPr>
                <w:spacing w:val="-1"/>
                <w:sz w:val="20"/>
                <w:szCs w:val="20"/>
              </w:rPr>
              <w:t>内先进水平。施工设备应具备安拆快捷、</w:t>
            </w:r>
            <w:r>
              <w:rPr>
                <w:spacing w:val="5"/>
                <w:sz w:val="20"/>
                <w:szCs w:val="20"/>
              </w:rPr>
              <w:t>便于搬运，机械化、智能化程度高，施工操作安全简便、劳动强度低、生产效</w:t>
            </w:r>
            <w:r>
              <w:rPr>
                <w:spacing w:val="-1"/>
                <w:sz w:val="20"/>
                <w:szCs w:val="20"/>
              </w:rPr>
              <w:t>率高，工程质量好、节能、环保等特点。</w:t>
            </w:r>
            <w:r>
              <w:rPr>
                <w:spacing w:val="5"/>
                <w:sz w:val="20"/>
                <w:szCs w:val="20"/>
              </w:rPr>
              <w:t>优先采用模块化、轻便化、小型化、集成度高的钻探施工及其配套设备。</w:t>
            </w:r>
          </w:p>
        </w:tc>
        <w:tc>
          <w:tcPr>
            <w:tcW w:w="3123" w:type="dxa"/>
            <w:vAlign w:val="top"/>
          </w:tcPr>
          <w:p w14:paraId="00D26844">
            <w:pPr>
              <w:pStyle w:val="6"/>
              <w:spacing w:before="231" w:line="223" w:lineRule="auto"/>
              <w:ind w:left="8" w:firstLine="424"/>
              <w:rPr>
                <w:sz w:val="20"/>
                <w:szCs w:val="20"/>
              </w:rPr>
            </w:pPr>
            <w:r>
              <w:rPr>
                <w:spacing w:val="12"/>
                <w:sz w:val="20"/>
                <w:szCs w:val="20"/>
              </w:rPr>
              <w:t>项目采用</w:t>
            </w:r>
            <w:r>
              <w:rPr>
                <w:rFonts w:ascii="Times New Roman" w:hAnsi="Times New Roman" w:eastAsia="Times New Roman" w:cs="Times New Roman"/>
                <w:sz w:val="20"/>
                <w:szCs w:val="20"/>
              </w:rPr>
              <w:t>ZJ</w:t>
            </w:r>
            <w:r>
              <w:rPr>
                <w:rFonts w:ascii="Times New Roman" w:hAnsi="Times New Roman" w:eastAsia="Times New Roman" w:cs="Times New Roman"/>
                <w:spacing w:val="12"/>
                <w:sz w:val="20"/>
                <w:szCs w:val="20"/>
              </w:rPr>
              <w:t xml:space="preserve">70 </w:t>
            </w:r>
            <w:r>
              <w:rPr>
                <w:spacing w:val="12"/>
                <w:sz w:val="20"/>
                <w:szCs w:val="20"/>
              </w:rPr>
              <w:t>钻机及配套钻</w:t>
            </w:r>
            <w:r>
              <w:rPr>
                <w:spacing w:val="6"/>
                <w:sz w:val="20"/>
                <w:szCs w:val="20"/>
              </w:rPr>
              <w:t>井设备，属于模块化、集成度高的设备；采用泥浆不落地循环系统装置，利用防渗钻井泥浆循环罐代替泥浆池，属于目前国内先进技术，</w:t>
            </w:r>
            <w:r>
              <w:rPr>
                <w:spacing w:val="9"/>
                <w:sz w:val="20"/>
                <w:szCs w:val="20"/>
              </w:rPr>
              <w:t>有效减少了工程开挖带来的环境</w:t>
            </w:r>
            <w:r>
              <w:rPr>
                <w:spacing w:val="3"/>
                <w:sz w:val="20"/>
                <w:szCs w:val="20"/>
              </w:rPr>
              <w:t>风险。</w:t>
            </w:r>
          </w:p>
        </w:tc>
        <w:tc>
          <w:tcPr>
            <w:tcW w:w="732" w:type="dxa"/>
            <w:tcBorders>
              <w:right w:val="single" w:color="000000" w:sz="6" w:space="0"/>
            </w:tcBorders>
            <w:vAlign w:val="top"/>
          </w:tcPr>
          <w:p w14:paraId="2F125D0C">
            <w:pPr>
              <w:spacing w:line="294" w:lineRule="auto"/>
              <w:rPr>
                <w:rFonts w:ascii="Arial"/>
                <w:sz w:val="21"/>
              </w:rPr>
            </w:pPr>
          </w:p>
          <w:p w14:paraId="693D39D8">
            <w:pPr>
              <w:spacing w:line="295" w:lineRule="auto"/>
              <w:rPr>
                <w:rFonts w:ascii="Arial"/>
                <w:sz w:val="21"/>
              </w:rPr>
            </w:pPr>
          </w:p>
          <w:p w14:paraId="5EB55991">
            <w:pPr>
              <w:spacing w:line="295" w:lineRule="auto"/>
              <w:rPr>
                <w:rFonts w:ascii="Arial"/>
                <w:sz w:val="21"/>
              </w:rPr>
            </w:pPr>
          </w:p>
          <w:p w14:paraId="48157149">
            <w:pPr>
              <w:pStyle w:val="6"/>
              <w:spacing w:before="65" w:line="228" w:lineRule="auto"/>
              <w:ind w:left="157"/>
              <w:rPr>
                <w:sz w:val="20"/>
                <w:szCs w:val="20"/>
              </w:rPr>
            </w:pPr>
            <w:r>
              <w:rPr>
                <w:spacing w:val="3"/>
                <w:sz w:val="20"/>
                <w:szCs w:val="20"/>
              </w:rPr>
              <w:t>符合</w:t>
            </w:r>
          </w:p>
        </w:tc>
      </w:tr>
      <w:tr w14:paraId="0E01E3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3" w:hRule="atLeast"/>
        </w:trPr>
        <w:tc>
          <w:tcPr>
            <w:tcW w:w="1456" w:type="dxa"/>
            <w:vMerge w:val="continue"/>
            <w:tcBorders>
              <w:top w:val="nil"/>
              <w:left w:val="single" w:color="000000" w:sz="6" w:space="0"/>
              <w:bottom w:val="nil"/>
              <w:right w:val="single" w:color="000000" w:sz="2" w:space="0"/>
            </w:tcBorders>
            <w:vAlign w:val="top"/>
          </w:tcPr>
          <w:p w14:paraId="70E5F5C5">
            <w:pPr>
              <w:rPr>
                <w:rFonts w:ascii="Arial"/>
                <w:sz w:val="21"/>
              </w:rPr>
            </w:pPr>
          </w:p>
        </w:tc>
        <w:tc>
          <w:tcPr>
            <w:tcW w:w="3619" w:type="dxa"/>
            <w:tcBorders>
              <w:left w:val="single" w:color="000000" w:sz="2" w:space="0"/>
            </w:tcBorders>
            <w:vAlign w:val="top"/>
          </w:tcPr>
          <w:p w14:paraId="414AC114">
            <w:pPr>
              <w:pStyle w:val="6"/>
              <w:spacing w:before="19" w:line="218" w:lineRule="auto"/>
              <w:ind w:left="17" w:right="33"/>
              <w:jc w:val="both"/>
              <w:rPr>
                <w:sz w:val="20"/>
                <w:szCs w:val="20"/>
              </w:rPr>
            </w:pPr>
            <w:r>
              <w:rPr>
                <w:spacing w:val="9"/>
                <w:sz w:val="20"/>
                <w:szCs w:val="20"/>
              </w:rPr>
              <w:t>钻探施工循环液使用泥浆时，应采用无固相或低固相的优质环保浆液。泥浆材料及处理剂具备无毒无害、可自然降解性能，符合环保标准要求。加强循环液的现场使用管理，做好施工中防渗、护壁及净化处理，预防浆液使用中造成地</w:t>
            </w:r>
            <w:r>
              <w:rPr>
                <w:spacing w:val="7"/>
                <w:sz w:val="20"/>
                <w:szCs w:val="20"/>
              </w:rPr>
              <w:t>面及地下污染。</w:t>
            </w:r>
          </w:p>
        </w:tc>
        <w:tc>
          <w:tcPr>
            <w:tcW w:w="3123" w:type="dxa"/>
            <w:vAlign w:val="top"/>
          </w:tcPr>
          <w:p w14:paraId="01659433">
            <w:pPr>
              <w:spacing w:line="313" w:lineRule="auto"/>
              <w:rPr>
                <w:rFonts w:ascii="Arial"/>
                <w:sz w:val="21"/>
              </w:rPr>
            </w:pPr>
          </w:p>
          <w:p w14:paraId="69271720">
            <w:pPr>
              <w:pStyle w:val="6"/>
              <w:spacing w:before="65" w:line="224" w:lineRule="auto"/>
              <w:ind w:left="13" w:firstLine="419"/>
              <w:rPr>
                <w:sz w:val="20"/>
                <w:szCs w:val="20"/>
              </w:rPr>
            </w:pPr>
            <w:r>
              <w:rPr>
                <w:spacing w:val="6"/>
                <w:sz w:val="20"/>
                <w:szCs w:val="20"/>
              </w:rPr>
              <w:t>项目使用水基泥浆，采用泥浆不落地循环系统装置，并配备完善</w:t>
            </w:r>
            <w:r>
              <w:rPr>
                <w:spacing w:val="8"/>
                <w:sz w:val="20"/>
                <w:szCs w:val="20"/>
              </w:rPr>
              <w:t>的固控设备，钻井泥浆循环率</w:t>
            </w:r>
          </w:p>
          <w:p w14:paraId="0A75AF7D">
            <w:pPr>
              <w:pStyle w:val="6"/>
              <w:spacing w:before="29" w:line="186" w:lineRule="auto"/>
              <w:ind w:left="10"/>
              <w:rPr>
                <w:sz w:val="20"/>
                <w:szCs w:val="20"/>
              </w:rPr>
            </w:pPr>
            <w:r>
              <w:rPr>
                <w:rFonts w:ascii="Times New Roman" w:hAnsi="Times New Roman" w:eastAsia="Times New Roman" w:cs="Times New Roman"/>
                <w:spacing w:val="2"/>
                <w:sz w:val="20"/>
                <w:szCs w:val="20"/>
              </w:rPr>
              <w:t>95%</w:t>
            </w:r>
            <w:r>
              <w:rPr>
                <w:spacing w:val="2"/>
                <w:sz w:val="20"/>
                <w:szCs w:val="20"/>
              </w:rPr>
              <w:t>。</w:t>
            </w:r>
          </w:p>
        </w:tc>
        <w:tc>
          <w:tcPr>
            <w:tcW w:w="732" w:type="dxa"/>
            <w:tcBorders>
              <w:right w:val="single" w:color="000000" w:sz="6" w:space="0"/>
            </w:tcBorders>
            <w:vAlign w:val="top"/>
          </w:tcPr>
          <w:p w14:paraId="497BEF1A">
            <w:pPr>
              <w:spacing w:line="335" w:lineRule="auto"/>
              <w:rPr>
                <w:rFonts w:ascii="Arial"/>
                <w:sz w:val="21"/>
              </w:rPr>
            </w:pPr>
          </w:p>
          <w:p w14:paraId="167C8141">
            <w:pPr>
              <w:spacing w:line="336" w:lineRule="auto"/>
              <w:rPr>
                <w:rFonts w:ascii="Arial"/>
                <w:sz w:val="21"/>
              </w:rPr>
            </w:pPr>
          </w:p>
          <w:p w14:paraId="4B61DF6E">
            <w:pPr>
              <w:pStyle w:val="6"/>
              <w:spacing w:before="65" w:line="228" w:lineRule="auto"/>
              <w:ind w:left="157"/>
              <w:rPr>
                <w:sz w:val="20"/>
                <w:szCs w:val="20"/>
              </w:rPr>
            </w:pPr>
            <w:r>
              <w:rPr>
                <w:spacing w:val="3"/>
                <w:sz w:val="20"/>
                <w:szCs w:val="20"/>
              </w:rPr>
              <w:t>符合</w:t>
            </w:r>
          </w:p>
        </w:tc>
      </w:tr>
      <w:tr w14:paraId="599BDB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13" w:hRule="atLeast"/>
        </w:trPr>
        <w:tc>
          <w:tcPr>
            <w:tcW w:w="1456" w:type="dxa"/>
            <w:vMerge w:val="continue"/>
            <w:tcBorders>
              <w:top w:val="nil"/>
              <w:left w:val="single" w:color="000000" w:sz="6" w:space="0"/>
              <w:bottom w:val="single" w:color="000000" w:sz="6" w:space="0"/>
              <w:right w:val="single" w:color="000000" w:sz="2" w:space="0"/>
            </w:tcBorders>
            <w:vAlign w:val="top"/>
          </w:tcPr>
          <w:p w14:paraId="10D26A48">
            <w:pPr>
              <w:rPr>
                <w:rFonts w:ascii="Arial"/>
                <w:sz w:val="21"/>
              </w:rPr>
            </w:pPr>
          </w:p>
        </w:tc>
        <w:tc>
          <w:tcPr>
            <w:tcW w:w="3619" w:type="dxa"/>
            <w:tcBorders>
              <w:left w:val="single" w:color="000000" w:sz="2" w:space="0"/>
              <w:bottom w:val="single" w:color="000000" w:sz="6" w:space="0"/>
            </w:tcBorders>
            <w:vAlign w:val="top"/>
          </w:tcPr>
          <w:p w14:paraId="6A45A3E7">
            <w:pPr>
              <w:spacing w:line="433" w:lineRule="auto"/>
              <w:rPr>
                <w:rFonts w:ascii="Arial"/>
                <w:sz w:val="21"/>
              </w:rPr>
            </w:pPr>
          </w:p>
          <w:p w14:paraId="05E4F2C6">
            <w:pPr>
              <w:pStyle w:val="6"/>
              <w:spacing w:before="65" w:line="224" w:lineRule="auto"/>
              <w:ind w:left="18" w:right="33" w:hanging="2"/>
              <w:jc w:val="both"/>
              <w:rPr>
                <w:sz w:val="20"/>
                <w:szCs w:val="20"/>
              </w:rPr>
            </w:pPr>
            <w:r>
              <w:rPr>
                <w:spacing w:val="9"/>
                <w:sz w:val="20"/>
                <w:szCs w:val="20"/>
              </w:rPr>
              <w:t>勘查产生的废水可循环利用的应循环利用；对外排放应经沉淀和按规定进行技</w:t>
            </w:r>
            <w:r>
              <w:rPr>
                <w:spacing w:val="7"/>
                <w:sz w:val="20"/>
                <w:szCs w:val="20"/>
              </w:rPr>
              <w:t>术处理，按照</w:t>
            </w:r>
            <w:r>
              <w:rPr>
                <w:spacing w:val="-37"/>
                <w:sz w:val="20"/>
                <w:szCs w:val="20"/>
              </w:rPr>
              <w:t xml:space="preserve"> </w:t>
            </w:r>
            <w:r>
              <w:rPr>
                <w:rFonts w:ascii="Times New Roman" w:hAnsi="Times New Roman" w:eastAsia="Times New Roman" w:cs="Times New Roman"/>
                <w:sz w:val="20"/>
                <w:szCs w:val="20"/>
              </w:rPr>
              <w:t>GB</w:t>
            </w:r>
            <w:r>
              <w:rPr>
                <w:rFonts w:ascii="Times New Roman" w:hAnsi="Times New Roman" w:eastAsia="Times New Roman" w:cs="Times New Roman"/>
                <w:spacing w:val="7"/>
                <w:sz w:val="20"/>
                <w:szCs w:val="20"/>
              </w:rPr>
              <w:t xml:space="preserve">8978 </w:t>
            </w:r>
            <w:r>
              <w:rPr>
                <w:spacing w:val="7"/>
                <w:sz w:val="20"/>
                <w:szCs w:val="20"/>
              </w:rPr>
              <w:t>标准执行。</w:t>
            </w:r>
          </w:p>
        </w:tc>
        <w:tc>
          <w:tcPr>
            <w:tcW w:w="3123" w:type="dxa"/>
            <w:tcBorders>
              <w:bottom w:val="single" w:color="000000" w:sz="6" w:space="0"/>
            </w:tcBorders>
            <w:vAlign w:val="top"/>
          </w:tcPr>
          <w:p w14:paraId="25EF04BE">
            <w:pPr>
              <w:pStyle w:val="6"/>
              <w:spacing w:before="19" w:line="222" w:lineRule="auto"/>
              <w:ind w:left="11" w:firstLine="411"/>
              <w:rPr>
                <w:sz w:val="20"/>
                <w:szCs w:val="20"/>
              </w:rPr>
            </w:pPr>
            <w:r>
              <w:rPr>
                <w:spacing w:val="3"/>
                <w:sz w:val="20"/>
                <w:szCs w:val="20"/>
              </w:rPr>
              <w:t>废弃泥浆、钻井岩屑拉运至内</w:t>
            </w:r>
            <w:r>
              <w:rPr>
                <w:spacing w:val="5"/>
                <w:sz w:val="20"/>
                <w:szCs w:val="20"/>
              </w:rPr>
              <w:t>蒙古众宁环保科技有限公司油气</w:t>
            </w:r>
            <w:r>
              <w:rPr>
                <w:spacing w:val="3"/>
                <w:sz w:val="20"/>
                <w:szCs w:val="20"/>
              </w:rPr>
              <w:t xml:space="preserve"> 田废弃物集中处理厂处理，众宁公</w:t>
            </w:r>
            <w:r>
              <w:rPr>
                <w:spacing w:val="2"/>
                <w:sz w:val="20"/>
                <w:szCs w:val="20"/>
              </w:rPr>
              <w:t>司油气田废弃物集中处理厂环保手</w:t>
            </w:r>
            <w:r>
              <w:rPr>
                <w:spacing w:val="-7"/>
                <w:sz w:val="20"/>
                <w:szCs w:val="20"/>
              </w:rPr>
              <w:t>续齐全，企业已与众宁签订了协议，</w:t>
            </w:r>
            <w:r>
              <w:rPr>
                <w:spacing w:val="-5"/>
                <w:sz w:val="20"/>
                <w:szCs w:val="20"/>
              </w:rPr>
              <w:t>协议承诺能处理我公司产生的废弃</w:t>
            </w:r>
            <w:r>
              <w:rPr>
                <w:spacing w:val="-4"/>
                <w:sz w:val="20"/>
                <w:szCs w:val="20"/>
              </w:rPr>
              <w:t>泥浆、岩屑。</w:t>
            </w:r>
          </w:p>
        </w:tc>
        <w:tc>
          <w:tcPr>
            <w:tcW w:w="732" w:type="dxa"/>
            <w:tcBorders>
              <w:bottom w:val="single" w:color="000000" w:sz="6" w:space="0"/>
              <w:right w:val="single" w:color="000000" w:sz="6" w:space="0"/>
            </w:tcBorders>
            <w:vAlign w:val="top"/>
          </w:tcPr>
          <w:p w14:paraId="0F5CC261">
            <w:pPr>
              <w:spacing w:line="336" w:lineRule="auto"/>
              <w:rPr>
                <w:rFonts w:ascii="Arial"/>
                <w:sz w:val="21"/>
              </w:rPr>
            </w:pPr>
          </w:p>
          <w:p w14:paraId="7837A654">
            <w:pPr>
              <w:spacing w:line="337" w:lineRule="auto"/>
              <w:rPr>
                <w:rFonts w:ascii="Arial"/>
                <w:sz w:val="21"/>
              </w:rPr>
            </w:pPr>
          </w:p>
          <w:p w14:paraId="3230029B">
            <w:pPr>
              <w:pStyle w:val="6"/>
              <w:spacing w:before="65" w:line="228" w:lineRule="auto"/>
              <w:ind w:left="157"/>
              <w:rPr>
                <w:sz w:val="20"/>
                <w:szCs w:val="20"/>
              </w:rPr>
            </w:pPr>
            <w:r>
              <w:rPr>
                <w:spacing w:val="3"/>
                <w:sz w:val="20"/>
                <w:szCs w:val="20"/>
              </w:rPr>
              <w:t>符合</w:t>
            </w:r>
          </w:p>
        </w:tc>
      </w:tr>
    </w:tbl>
    <w:p w14:paraId="72BC6CAF">
      <w:pPr>
        <w:rPr>
          <w:rFonts w:ascii="Arial"/>
          <w:sz w:val="21"/>
        </w:rPr>
      </w:pPr>
    </w:p>
    <w:p w14:paraId="5E8E7935">
      <w:pPr>
        <w:rPr>
          <w:rFonts w:ascii="Arial" w:hAnsi="Arial" w:eastAsia="Arial" w:cs="Arial"/>
          <w:sz w:val="21"/>
          <w:szCs w:val="21"/>
        </w:rPr>
        <w:sectPr>
          <w:footerReference r:id="rId16" w:type="default"/>
          <w:pgSz w:w="11906" w:h="16839"/>
          <w:pgMar w:top="400" w:right="1395" w:bottom="1240" w:left="1565" w:header="0" w:footer="1078" w:gutter="0"/>
          <w:cols w:space="720" w:num="1"/>
        </w:sectPr>
      </w:pPr>
    </w:p>
    <w:p w14:paraId="7C6883F1">
      <w:pPr>
        <w:spacing w:before="56"/>
      </w:pPr>
    </w:p>
    <w:p w14:paraId="30C76FAC">
      <w:pPr>
        <w:spacing w:before="56"/>
      </w:pPr>
    </w:p>
    <w:p w14:paraId="2869ADAF">
      <w:pPr>
        <w:spacing w:before="55"/>
      </w:pPr>
    </w:p>
    <w:p w14:paraId="01562ECC">
      <w:pPr>
        <w:spacing w:before="55"/>
      </w:pPr>
    </w:p>
    <w:tbl>
      <w:tblPr>
        <w:tblStyle w:val="5"/>
        <w:tblW w:w="8930"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56"/>
        <w:gridCol w:w="786"/>
        <w:gridCol w:w="1933"/>
        <w:gridCol w:w="812"/>
        <w:gridCol w:w="88"/>
        <w:gridCol w:w="3037"/>
        <w:gridCol w:w="86"/>
        <w:gridCol w:w="72"/>
        <w:gridCol w:w="660"/>
      </w:tblGrid>
      <w:tr w14:paraId="3D3EE6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5" w:hRule="atLeast"/>
        </w:trPr>
        <w:tc>
          <w:tcPr>
            <w:tcW w:w="1456" w:type="dxa"/>
            <w:vMerge w:val="restart"/>
            <w:tcBorders>
              <w:top w:val="single" w:color="000000" w:sz="6" w:space="0"/>
              <w:left w:val="single" w:color="000000" w:sz="6" w:space="0"/>
              <w:bottom w:val="nil"/>
              <w:right w:val="single" w:color="000000" w:sz="2" w:space="0"/>
            </w:tcBorders>
            <w:vAlign w:val="top"/>
          </w:tcPr>
          <w:p w14:paraId="2C742C31">
            <w:pPr>
              <w:rPr>
                <w:rFonts w:ascii="Arial"/>
                <w:sz w:val="21"/>
              </w:rPr>
            </w:pPr>
          </w:p>
        </w:tc>
        <w:tc>
          <w:tcPr>
            <w:tcW w:w="3619" w:type="dxa"/>
            <w:gridSpan w:val="4"/>
            <w:tcBorders>
              <w:top w:val="single" w:color="000000" w:sz="6" w:space="0"/>
              <w:left w:val="single" w:color="000000" w:sz="2" w:space="0"/>
            </w:tcBorders>
            <w:vAlign w:val="top"/>
          </w:tcPr>
          <w:p w14:paraId="4B38AF81">
            <w:pPr>
              <w:spacing w:line="388" w:lineRule="auto"/>
              <w:rPr>
                <w:rFonts w:ascii="Arial"/>
                <w:sz w:val="21"/>
              </w:rPr>
            </w:pPr>
          </w:p>
          <w:p w14:paraId="6D39E495">
            <w:pPr>
              <w:pStyle w:val="6"/>
              <w:spacing w:before="65" w:line="222" w:lineRule="auto"/>
              <w:ind w:left="19" w:right="33" w:hanging="3"/>
              <w:rPr>
                <w:sz w:val="20"/>
                <w:szCs w:val="20"/>
              </w:rPr>
            </w:pPr>
            <w:r>
              <w:rPr>
                <w:spacing w:val="9"/>
                <w:sz w:val="20"/>
                <w:szCs w:val="20"/>
              </w:rPr>
              <w:t>勘查施工道路、场地平整、现场作业应充分考虑到野生动植物保护。勘查机械设备应安装消声装置或场地修隔音设</w:t>
            </w:r>
          </w:p>
          <w:p w14:paraId="3BE1EAE3">
            <w:pPr>
              <w:pStyle w:val="6"/>
              <w:spacing w:before="2" w:line="223" w:lineRule="auto"/>
              <w:ind w:left="18" w:right="33" w:hanging="2"/>
              <w:rPr>
                <w:sz w:val="20"/>
                <w:szCs w:val="20"/>
              </w:rPr>
            </w:pPr>
            <w:r>
              <w:rPr>
                <w:spacing w:val="9"/>
                <w:sz w:val="20"/>
                <w:szCs w:val="20"/>
              </w:rPr>
              <w:t>施，降低施工噪音；在有人居住区和野生动物栖息附近，夜间应停止有噪声影</w:t>
            </w:r>
            <w:r>
              <w:rPr>
                <w:spacing w:val="6"/>
                <w:sz w:val="20"/>
                <w:szCs w:val="20"/>
              </w:rPr>
              <w:t>响的作业活动。</w:t>
            </w:r>
          </w:p>
        </w:tc>
        <w:tc>
          <w:tcPr>
            <w:tcW w:w="3123" w:type="dxa"/>
            <w:gridSpan w:val="2"/>
            <w:tcBorders>
              <w:top w:val="single" w:color="000000" w:sz="6" w:space="0"/>
            </w:tcBorders>
            <w:vAlign w:val="top"/>
          </w:tcPr>
          <w:p w14:paraId="6B47E879">
            <w:pPr>
              <w:pStyle w:val="6"/>
              <w:spacing w:before="99" w:line="222" w:lineRule="auto"/>
              <w:ind w:left="9" w:firstLine="438"/>
              <w:jc w:val="both"/>
              <w:rPr>
                <w:sz w:val="20"/>
                <w:szCs w:val="20"/>
              </w:rPr>
            </w:pPr>
            <w:r>
              <w:rPr>
                <w:spacing w:val="1"/>
                <w:sz w:val="20"/>
                <w:szCs w:val="20"/>
              </w:rPr>
              <w:t>由于勘探工作为</w:t>
            </w:r>
            <w:r>
              <w:rPr>
                <w:rFonts w:ascii="Times New Roman" w:hAnsi="Times New Roman" w:eastAsia="Times New Roman" w:cs="Times New Roman"/>
                <w:spacing w:val="1"/>
                <w:sz w:val="20"/>
                <w:szCs w:val="20"/>
              </w:rPr>
              <w:t xml:space="preserve">24 </w:t>
            </w:r>
            <w:r>
              <w:rPr>
                <w:spacing w:val="1"/>
                <w:sz w:val="20"/>
                <w:szCs w:val="20"/>
              </w:rPr>
              <w:t>小时作业，</w:t>
            </w:r>
            <w:r>
              <w:rPr>
                <w:spacing w:val="3"/>
                <w:sz w:val="20"/>
                <w:szCs w:val="20"/>
              </w:rPr>
              <w:t>为了降低对周边居民生产、生活的影响，合理布置施工场地；同时选用低噪声设备和工艺，对钻机、钻井泵、柴油机等高噪声设备采取基</w:t>
            </w:r>
            <w:r>
              <w:rPr>
                <w:spacing w:val="6"/>
                <w:sz w:val="20"/>
                <w:szCs w:val="20"/>
              </w:rPr>
              <w:t>础减振等措施，并定期维护保养。</w:t>
            </w:r>
            <w:r>
              <w:rPr>
                <w:spacing w:val="3"/>
                <w:sz w:val="20"/>
                <w:szCs w:val="20"/>
              </w:rPr>
              <w:t>项目施工期较短，施工噪声对周围环境影响较小，在施工结束后噪声影响随即消失。</w:t>
            </w:r>
          </w:p>
        </w:tc>
        <w:tc>
          <w:tcPr>
            <w:tcW w:w="732" w:type="dxa"/>
            <w:gridSpan w:val="2"/>
            <w:tcBorders>
              <w:top w:val="single" w:color="000000" w:sz="6" w:space="0"/>
              <w:right w:val="single" w:color="000000" w:sz="6" w:space="0"/>
            </w:tcBorders>
            <w:vAlign w:val="top"/>
          </w:tcPr>
          <w:p w14:paraId="7E8C5ACC">
            <w:pPr>
              <w:spacing w:line="246" w:lineRule="auto"/>
              <w:rPr>
                <w:rFonts w:ascii="Arial"/>
                <w:sz w:val="21"/>
              </w:rPr>
            </w:pPr>
          </w:p>
          <w:p w14:paraId="4BE9EDC0">
            <w:pPr>
              <w:spacing w:line="246" w:lineRule="auto"/>
              <w:rPr>
                <w:rFonts w:ascii="Arial"/>
                <w:sz w:val="21"/>
              </w:rPr>
            </w:pPr>
          </w:p>
          <w:p w14:paraId="6C20731E">
            <w:pPr>
              <w:spacing w:line="247" w:lineRule="auto"/>
              <w:rPr>
                <w:rFonts w:ascii="Arial"/>
                <w:sz w:val="21"/>
              </w:rPr>
            </w:pPr>
          </w:p>
          <w:p w14:paraId="5418C7DB">
            <w:pPr>
              <w:spacing w:line="247" w:lineRule="auto"/>
              <w:rPr>
                <w:rFonts w:ascii="Arial"/>
                <w:sz w:val="21"/>
              </w:rPr>
            </w:pPr>
          </w:p>
          <w:p w14:paraId="3093CA57">
            <w:pPr>
              <w:pStyle w:val="6"/>
              <w:spacing w:before="65" w:line="228" w:lineRule="auto"/>
              <w:ind w:left="157"/>
              <w:rPr>
                <w:sz w:val="20"/>
                <w:szCs w:val="20"/>
              </w:rPr>
            </w:pPr>
            <w:r>
              <w:rPr>
                <w:spacing w:val="3"/>
                <w:sz w:val="20"/>
                <w:szCs w:val="20"/>
              </w:rPr>
              <w:t>符合</w:t>
            </w:r>
          </w:p>
        </w:tc>
      </w:tr>
      <w:tr w14:paraId="20868D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4" w:hRule="atLeast"/>
        </w:trPr>
        <w:tc>
          <w:tcPr>
            <w:tcW w:w="1456" w:type="dxa"/>
            <w:vMerge w:val="continue"/>
            <w:tcBorders>
              <w:top w:val="nil"/>
              <w:left w:val="single" w:color="000000" w:sz="6" w:space="0"/>
              <w:bottom w:val="nil"/>
              <w:right w:val="single" w:color="000000" w:sz="2" w:space="0"/>
            </w:tcBorders>
            <w:vAlign w:val="top"/>
          </w:tcPr>
          <w:p w14:paraId="6294E121">
            <w:pPr>
              <w:rPr>
                <w:rFonts w:ascii="Arial"/>
                <w:sz w:val="21"/>
              </w:rPr>
            </w:pPr>
          </w:p>
        </w:tc>
        <w:tc>
          <w:tcPr>
            <w:tcW w:w="3619" w:type="dxa"/>
            <w:gridSpan w:val="4"/>
            <w:tcBorders>
              <w:left w:val="single" w:color="000000" w:sz="2" w:space="0"/>
            </w:tcBorders>
            <w:vAlign w:val="top"/>
          </w:tcPr>
          <w:p w14:paraId="40C2605E">
            <w:pPr>
              <w:spacing w:line="304" w:lineRule="auto"/>
              <w:rPr>
                <w:rFonts w:ascii="Arial"/>
                <w:sz w:val="21"/>
              </w:rPr>
            </w:pPr>
          </w:p>
          <w:p w14:paraId="29EA28D0">
            <w:pPr>
              <w:pStyle w:val="6"/>
              <w:spacing w:before="65" w:line="224" w:lineRule="auto"/>
              <w:ind w:left="19" w:right="33" w:hanging="3"/>
              <w:jc w:val="both"/>
              <w:rPr>
                <w:sz w:val="20"/>
                <w:szCs w:val="20"/>
              </w:rPr>
            </w:pPr>
            <w:r>
              <w:rPr>
                <w:spacing w:val="9"/>
                <w:sz w:val="20"/>
                <w:szCs w:val="20"/>
              </w:rPr>
              <w:t>对容易产生粉尘的作业，采取喷雾、洒水等措施最大限度地降低勘查施工作业</w:t>
            </w:r>
            <w:r>
              <w:rPr>
                <w:spacing w:val="6"/>
                <w:sz w:val="20"/>
                <w:szCs w:val="20"/>
              </w:rPr>
              <w:t>中产生的粉尘。</w:t>
            </w:r>
          </w:p>
        </w:tc>
        <w:tc>
          <w:tcPr>
            <w:tcW w:w="3123" w:type="dxa"/>
            <w:gridSpan w:val="2"/>
            <w:vAlign w:val="top"/>
          </w:tcPr>
          <w:p w14:paraId="0237F17D">
            <w:pPr>
              <w:pStyle w:val="6"/>
              <w:spacing w:before="10" w:line="219" w:lineRule="auto"/>
              <w:ind w:left="10" w:firstLine="423"/>
              <w:jc w:val="both"/>
              <w:rPr>
                <w:sz w:val="20"/>
                <w:szCs w:val="20"/>
              </w:rPr>
            </w:pPr>
            <w:r>
              <w:rPr>
                <w:spacing w:val="6"/>
                <w:sz w:val="20"/>
                <w:szCs w:val="20"/>
              </w:rPr>
              <w:t>项目场界设置高</w:t>
            </w:r>
            <w:r>
              <w:rPr>
                <w:spacing w:val="-34"/>
                <w:sz w:val="20"/>
                <w:szCs w:val="20"/>
              </w:rPr>
              <w:t xml:space="preserve"> </w:t>
            </w:r>
            <w:r>
              <w:rPr>
                <w:rFonts w:ascii="Times New Roman" w:hAnsi="Times New Roman" w:eastAsia="Times New Roman" w:cs="Times New Roman"/>
                <w:spacing w:val="6"/>
                <w:sz w:val="20"/>
                <w:szCs w:val="20"/>
              </w:rPr>
              <w:t>2m</w:t>
            </w:r>
            <w:r>
              <w:rPr>
                <w:rFonts w:ascii="Times New Roman" w:hAnsi="Times New Roman" w:eastAsia="Times New Roman" w:cs="Times New Roman"/>
                <w:spacing w:val="28"/>
                <w:w w:val="101"/>
                <w:sz w:val="20"/>
                <w:szCs w:val="20"/>
              </w:rPr>
              <w:t xml:space="preserve"> </w:t>
            </w:r>
            <w:r>
              <w:rPr>
                <w:spacing w:val="6"/>
                <w:sz w:val="20"/>
                <w:szCs w:val="20"/>
              </w:rPr>
              <w:t>的围挡，井场内设置洒水泵定期洒水，原材料堆存区上部设苫布遮盖，表土堆放区上铺密目网。在采取抑尘措施后，可较大限度的降低施工扬尘对</w:t>
            </w:r>
            <w:r>
              <w:rPr>
                <w:spacing w:val="7"/>
                <w:sz w:val="20"/>
                <w:szCs w:val="20"/>
              </w:rPr>
              <w:t>周围环境的影响。</w:t>
            </w:r>
          </w:p>
        </w:tc>
        <w:tc>
          <w:tcPr>
            <w:tcW w:w="732" w:type="dxa"/>
            <w:gridSpan w:val="2"/>
            <w:tcBorders>
              <w:right w:val="single" w:color="000000" w:sz="6" w:space="0"/>
            </w:tcBorders>
            <w:vAlign w:val="top"/>
          </w:tcPr>
          <w:p w14:paraId="18198B10">
            <w:pPr>
              <w:spacing w:line="271" w:lineRule="auto"/>
              <w:rPr>
                <w:rFonts w:ascii="Arial"/>
                <w:sz w:val="21"/>
              </w:rPr>
            </w:pPr>
          </w:p>
          <w:p w14:paraId="663D1024">
            <w:pPr>
              <w:spacing w:line="272" w:lineRule="auto"/>
              <w:rPr>
                <w:rFonts w:ascii="Arial"/>
                <w:sz w:val="21"/>
              </w:rPr>
            </w:pPr>
          </w:p>
          <w:p w14:paraId="7A63FE13">
            <w:pPr>
              <w:pStyle w:val="6"/>
              <w:spacing w:before="65" w:line="228" w:lineRule="auto"/>
              <w:ind w:left="157"/>
              <w:rPr>
                <w:sz w:val="20"/>
                <w:szCs w:val="20"/>
              </w:rPr>
            </w:pPr>
            <w:r>
              <w:rPr>
                <w:spacing w:val="3"/>
                <w:sz w:val="20"/>
                <w:szCs w:val="20"/>
              </w:rPr>
              <w:t>符合</w:t>
            </w:r>
          </w:p>
        </w:tc>
      </w:tr>
      <w:tr w14:paraId="186352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34" w:hRule="atLeast"/>
        </w:trPr>
        <w:tc>
          <w:tcPr>
            <w:tcW w:w="1456" w:type="dxa"/>
            <w:vMerge w:val="continue"/>
            <w:tcBorders>
              <w:top w:val="nil"/>
              <w:left w:val="single" w:color="000000" w:sz="6" w:space="0"/>
              <w:bottom w:val="nil"/>
              <w:right w:val="single" w:color="000000" w:sz="2" w:space="0"/>
            </w:tcBorders>
            <w:vAlign w:val="top"/>
          </w:tcPr>
          <w:p w14:paraId="53814423">
            <w:pPr>
              <w:rPr>
                <w:rFonts w:ascii="Arial"/>
                <w:sz w:val="21"/>
              </w:rPr>
            </w:pPr>
          </w:p>
        </w:tc>
        <w:tc>
          <w:tcPr>
            <w:tcW w:w="3619" w:type="dxa"/>
            <w:gridSpan w:val="4"/>
            <w:tcBorders>
              <w:left w:val="single" w:color="000000" w:sz="2" w:space="0"/>
            </w:tcBorders>
            <w:vAlign w:val="top"/>
          </w:tcPr>
          <w:p w14:paraId="78096156">
            <w:pPr>
              <w:pStyle w:val="6"/>
              <w:spacing w:before="299" w:line="223" w:lineRule="auto"/>
              <w:ind w:left="16" w:right="33"/>
              <w:jc w:val="both"/>
              <w:rPr>
                <w:sz w:val="20"/>
                <w:szCs w:val="20"/>
              </w:rPr>
            </w:pPr>
            <w:r>
              <w:rPr>
                <w:spacing w:val="9"/>
                <w:sz w:val="20"/>
                <w:szCs w:val="20"/>
              </w:rPr>
              <w:t>勘查过程中，柴油机动力设备应安装尾气净化装置，尾气排放执行国家环保排放标准，不同地区应满足勘查所在地地</w:t>
            </w:r>
            <w:r>
              <w:rPr>
                <w:spacing w:val="7"/>
                <w:sz w:val="20"/>
                <w:szCs w:val="20"/>
              </w:rPr>
              <w:t>方相关标准要求。</w:t>
            </w:r>
          </w:p>
        </w:tc>
        <w:tc>
          <w:tcPr>
            <w:tcW w:w="3123" w:type="dxa"/>
            <w:gridSpan w:val="2"/>
            <w:vAlign w:val="top"/>
          </w:tcPr>
          <w:p w14:paraId="4438C7FA">
            <w:pPr>
              <w:pStyle w:val="6"/>
              <w:spacing w:before="55" w:line="223" w:lineRule="auto"/>
              <w:ind w:left="10" w:firstLine="419"/>
              <w:rPr>
                <w:sz w:val="20"/>
                <w:szCs w:val="20"/>
              </w:rPr>
            </w:pPr>
            <w:r>
              <w:rPr>
                <w:spacing w:val="8"/>
                <w:sz w:val="20"/>
                <w:szCs w:val="20"/>
              </w:rPr>
              <w:t>柴油发电机组使用高标准清</w:t>
            </w:r>
            <w:r>
              <w:rPr>
                <w:spacing w:val="6"/>
                <w:sz w:val="20"/>
                <w:szCs w:val="20"/>
              </w:rPr>
              <w:t>洁燃油，并定期检修，保持设备运</w:t>
            </w:r>
            <w:r>
              <w:rPr>
                <w:spacing w:val="9"/>
                <w:sz w:val="20"/>
                <w:szCs w:val="20"/>
              </w:rPr>
              <w:t>行良好，尾气通过自带排气筒排</w:t>
            </w:r>
            <w:r>
              <w:rPr>
                <w:spacing w:val="6"/>
                <w:sz w:val="20"/>
                <w:szCs w:val="20"/>
              </w:rPr>
              <w:t>放，满足《大气污染物综合排放标</w:t>
            </w:r>
            <w:r>
              <w:rPr>
                <w:sz w:val="20"/>
                <w:szCs w:val="20"/>
              </w:rPr>
              <w:t>准》（</w:t>
            </w:r>
            <w:r>
              <w:rPr>
                <w:rFonts w:ascii="Times New Roman" w:hAnsi="Times New Roman" w:eastAsia="Times New Roman" w:cs="Times New Roman"/>
                <w:sz w:val="20"/>
                <w:szCs w:val="20"/>
              </w:rPr>
              <w:t>GB16297-</w:t>
            </w:r>
            <w:r>
              <w:rPr>
                <w:rFonts w:ascii="Times New Roman" w:hAnsi="Times New Roman" w:eastAsia="Times New Roman" w:cs="Times New Roman"/>
                <w:spacing w:val="-17"/>
                <w:sz w:val="20"/>
                <w:szCs w:val="20"/>
              </w:rPr>
              <w:t xml:space="preserve"> </w:t>
            </w:r>
            <w:r>
              <w:rPr>
                <w:rFonts w:ascii="Times New Roman" w:hAnsi="Times New Roman" w:eastAsia="Times New Roman" w:cs="Times New Roman"/>
                <w:sz w:val="20"/>
                <w:szCs w:val="20"/>
              </w:rPr>
              <w:t>1996</w:t>
            </w:r>
            <w:r>
              <w:rPr>
                <w:sz w:val="20"/>
                <w:szCs w:val="20"/>
              </w:rPr>
              <w:t>）中表</w:t>
            </w:r>
            <w:r>
              <w:rPr>
                <w:spacing w:val="-41"/>
                <w:sz w:val="20"/>
                <w:szCs w:val="20"/>
              </w:rPr>
              <w:t xml:space="preserve"> </w:t>
            </w:r>
            <w:r>
              <w:rPr>
                <w:rFonts w:ascii="Times New Roman" w:hAnsi="Times New Roman" w:eastAsia="Times New Roman" w:cs="Times New Roman"/>
                <w:sz w:val="20"/>
                <w:szCs w:val="20"/>
              </w:rPr>
              <w:t>2</w:t>
            </w:r>
            <w:r>
              <w:rPr>
                <w:rFonts w:ascii="Times New Roman" w:hAnsi="Times New Roman" w:eastAsia="Times New Roman" w:cs="Times New Roman"/>
                <w:spacing w:val="15"/>
                <w:sz w:val="20"/>
                <w:szCs w:val="20"/>
              </w:rPr>
              <w:t xml:space="preserve"> </w:t>
            </w:r>
            <w:r>
              <w:rPr>
                <w:sz w:val="20"/>
                <w:szCs w:val="20"/>
              </w:rPr>
              <w:t>最高</w:t>
            </w:r>
            <w:r>
              <w:rPr>
                <w:spacing w:val="8"/>
                <w:sz w:val="20"/>
                <w:szCs w:val="20"/>
              </w:rPr>
              <w:t>允许排放浓度指标要求。</w:t>
            </w:r>
          </w:p>
        </w:tc>
        <w:tc>
          <w:tcPr>
            <w:tcW w:w="732" w:type="dxa"/>
            <w:gridSpan w:val="2"/>
            <w:tcBorders>
              <w:right w:val="single" w:color="000000" w:sz="6" w:space="0"/>
            </w:tcBorders>
            <w:vAlign w:val="top"/>
          </w:tcPr>
          <w:p w14:paraId="0BB33C12">
            <w:pPr>
              <w:spacing w:line="294" w:lineRule="auto"/>
              <w:rPr>
                <w:rFonts w:ascii="Arial"/>
                <w:sz w:val="21"/>
              </w:rPr>
            </w:pPr>
          </w:p>
          <w:p w14:paraId="5500F2CC">
            <w:pPr>
              <w:spacing w:line="295" w:lineRule="auto"/>
              <w:rPr>
                <w:rFonts w:ascii="Arial"/>
                <w:sz w:val="21"/>
              </w:rPr>
            </w:pPr>
          </w:p>
          <w:p w14:paraId="5AFE0A26">
            <w:pPr>
              <w:pStyle w:val="6"/>
              <w:spacing w:before="65" w:line="228" w:lineRule="auto"/>
              <w:ind w:left="157"/>
              <w:rPr>
                <w:sz w:val="20"/>
                <w:szCs w:val="20"/>
              </w:rPr>
            </w:pPr>
            <w:r>
              <w:rPr>
                <w:spacing w:val="3"/>
                <w:sz w:val="20"/>
                <w:szCs w:val="20"/>
              </w:rPr>
              <w:t>符合</w:t>
            </w:r>
          </w:p>
        </w:tc>
      </w:tr>
      <w:tr w14:paraId="3FE943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4" w:hRule="atLeast"/>
        </w:trPr>
        <w:tc>
          <w:tcPr>
            <w:tcW w:w="1456" w:type="dxa"/>
            <w:vMerge w:val="continue"/>
            <w:tcBorders>
              <w:top w:val="nil"/>
              <w:left w:val="single" w:color="000000" w:sz="6" w:space="0"/>
              <w:bottom w:val="nil"/>
              <w:right w:val="single" w:color="000000" w:sz="2" w:space="0"/>
            </w:tcBorders>
            <w:vAlign w:val="top"/>
          </w:tcPr>
          <w:p w14:paraId="61DD6248">
            <w:pPr>
              <w:rPr>
                <w:rFonts w:ascii="Arial"/>
                <w:sz w:val="21"/>
              </w:rPr>
            </w:pPr>
          </w:p>
        </w:tc>
        <w:tc>
          <w:tcPr>
            <w:tcW w:w="3619" w:type="dxa"/>
            <w:gridSpan w:val="4"/>
            <w:tcBorders>
              <w:left w:val="single" w:color="000000" w:sz="2" w:space="0"/>
            </w:tcBorders>
            <w:vAlign w:val="top"/>
          </w:tcPr>
          <w:p w14:paraId="50C1362C">
            <w:pPr>
              <w:pStyle w:val="6"/>
              <w:spacing w:before="133" w:line="224" w:lineRule="auto"/>
              <w:ind w:left="17" w:right="33"/>
              <w:jc w:val="both"/>
              <w:rPr>
                <w:sz w:val="20"/>
                <w:szCs w:val="20"/>
              </w:rPr>
            </w:pPr>
            <w:r>
              <w:rPr>
                <w:spacing w:val="9"/>
                <w:sz w:val="20"/>
                <w:szCs w:val="20"/>
              </w:rPr>
              <w:t>钻探现场应严格按照地质设计要求认真做好封孔工作，保证封孔质量，孔口用</w:t>
            </w:r>
            <w:r>
              <w:rPr>
                <w:spacing w:val="8"/>
                <w:sz w:val="20"/>
                <w:szCs w:val="20"/>
              </w:rPr>
              <w:t>水泥砂浆树立规范的标志桩。</w:t>
            </w:r>
          </w:p>
        </w:tc>
        <w:tc>
          <w:tcPr>
            <w:tcW w:w="3123" w:type="dxa"/>
            <w:gridSpan w:val="2"/>
            <w:vAlign w:val="top"/>
          </w:tcPr>
          <w:p w14:paraId="256C38B7">
            <w:pPr>
              <w:pStyle w:val="6"/>
              <w:spacing w:before="13" w:line="217" w:lineRule="auto"/>
              <w:ind w:left="9" w:firstLine="423"/>
              <w:jc w:val="both"/>
              <w:rPr>
                <w:sz w:val="20"/>
                <w:szCs w:val="20"/>
              </w:rPr>
            </w:pPr>
            <w:r>
              <w:rPr>
                <w:spacing w:val="6"/>
                <w:sz w:val="20"/>
                <w:szCs w:val="20"/>
              </w:rPr>
              <w:t>项目已提出封井要求，应根据相关要求认真做好封孔工作，保证封孔质量，孔口用水泥砂浆树立规范的标志桩。</w:t>
            </w:r>
          </w:p>
        </w:tc>
        <w:tc>
          <w:tcPr>
            <w:tcW w:w="732" w:type="dxa"/>
            <w:gridSpan w:val="2"/>
            <w:tcBorders>
              <w:right w:val="single" w:color="000000" w:sz="6" w:space="0"/>
            </w:tcBorders>
            <w:vAlign w:val="top"/>
          </w:tcPr>
          <w:p w14:paraId="68F749CE">
            <w:pPr>
              <w:spacing w:line="307" w:lineRule="auto"/>
              <w:rPr>
                <w:rFonts w:ascii="Arial"/>
                <w:sz w:val="21"/>
              </w:rPr>
            </w:pPr>
          </w:p>
          <w:p w14:paraId="445B69A4">
            <w:pPr>
              <w:pStyle w:val="6"/>
              <w:spacing w:before="65" w:line="228" w:lineRule="auto"/>
              <w:ind w:left="157"/>
              <w:rPr>
                <w:sz w:val="20"/>
                <w:szCs w:val="20"/>
              </w:rPr>
            </w:pPr>
            <w:r>
              <w:rPr>
                <w:spacing w:val="3"/>
                <w:sz w:val="20"/>
                <w:szCs w:val="20"/>
              </w:rPr>
              <w:t>符合</w:t>
            </w:r>
          </w:p>
        </w:tc>
      </w:tr>
      <w:tr w14:paraId="4723CD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2" w:hRule="atLeast"/>
        </w:trPr>
        <w:tc>
          <w:tcPr>
            <w:tcW w:w="1456" w:type="dxa"/>
            <w:vMerge w:val="continue"/>
            <w:tcBorders>
              <w:top w:val="nil"/>
              <w:left w:val="single" w:color="000000" w:sz="6" w:space="0"/>
              <w:bottom w:val="nil"/>
              <w:right w:val="single" w:color="000000" w:sz="2" w:space="0"/>
            </w:tcBorders>
            <w:vAlign w:val="top"/>
          </w:tcPr>
          <w:p w14:paraId="09BC7D08">
            <w:pPr>
              <w:rPr>
                <w:rFonts w:ascii="Arial"/>
                <w:sz w:val="21"/>
              </w:rPr>
            </w:pPr>
          </w:p>
        </w:tc>
        <w:tc>
          <w:tcPr>
            <w:tcW w:w="3619" w:type="dxa"/>
            <w:gridSpan w:val="4"/>
            <w:tcBorders>
              <w:left w:val="single" w:color="000000" w:sz="2" w:space="0"/>
              <w:bottom w:val="single" w:color="000000" w:sz="10" w:space="0"/>
            </w:tcBorders>
            <w:vAlign w:val="top"/>
          </w:tcPr>
          <w:p w14:paraId="1BE43776">
            <w:pPr>
              <w:pStyle w:val="6"/>
              <w:spacing w:before="285" w:line="225" w:lineRule="auto"/>
              <w:ind w:left="16" w:right="33" w:firstLine="2"/>
              <w:rPr>
                <w:sz w:val="20"/>
                <w:szCs w:val="20"/>
              </w:rPr>
            </w:pPr>
            <w:r>
              <w:rPr>
                <w:spacing w:val="9"/>
                <w:sz w:val="20"/>
                <w:szCs w:val="20"/>
              </w:rPr>
              <w:t>恢复治理工作应达到现场无污染破坏痕</w:t>
            </w:r>
            <w:r>
              <w:rPr>
                <w:spacing w:val="8"/>
                <w:sz w:val="20"/>
                <w:szCs w:val="20"/>
              </w:rPr>
              <w:t>迹，生态恢复良好，环境协调。</w:t>
            </w:r>
          </w:p>
        </w:tc>
        <w:tc>
          <w:tcPr>
            <w:tcW w:w="3123" w:type="dxa"/>
            <w:gridSpan w:val="2"/>
            <w:tcBorders>
              <w:bottom w:val="single" w:color="000000" w:sz="10" w:space="0"/>
            </w:tcBorders>
            <w:vAlign w:val="top"/>
          </w:tcPr>
          <w:p w14:paraId="7CC03712">
            <w:pPr>
              <w:pStyle w:val="6"/>
              <w:spacing w:before="46" w:line="223" w:lineRule="auto"/>
              <w:ind w:left="9" w:firstLine="423"/>
              <w:rPr>
                <w:sz w:val="20"/>
                <w:szCs w:val="20"/>
              </w:rPr>
            </w:pPr>
            <w:r>
              <w:rPr>
                <w:spacing w:val="8"/>
                <w:sz w:val="20"/>
                <w:szCs w:val="20"/>
              </w:rPr>
              <w:t>项目勘探结束后进行地表清</w:t>
            </w:r>
            <w:r>
              <w:rPr>
                <w:spacing w:val="6"/>
                <w:sz w:val="20"/>
                <w:szCs w:val="20"/>
              </w:rPr>
              <w:t>理，翻耕、表土回覆等措施对耕地及时复垦，使项目占地范围内的耕</w:t>
            </w:r>
            <w:r>
              <w:rPr>
                <w:spacing w:val="7"/>
                <w:sz w:val="20"/>
                <w:szCs w:val="20"/>
              </w:rPr>
              <w:t>地恢复到原有水平。</w:t>
            </w:r>
          </w:p>
        </w:tc>
        <w:tc>
          <w:tcPr>
            <w:tcW w:w="732" w:type="dxa"/>
            <w:gridSpan w:val="2"/>
            <w:tcBorders>
              <w:bottom w:val="single" w:color="000000" w:sz="10" w:space="0"/>
              <w:right w:val="single" w:color="000000" w:sz="6" w:space="0"/>
            </w:tcBorders>
            <w:vAlign w:val="top"/>
          </w:tcPr>
          <w:p w14:paraId="0E4F29F6">
            <w:pPr>
              <w:spacing w:line="338" w:lineRule="auto"/>
              <w:rPr>
                <w:rFonts w:ascii="Arial"/>
                <w:sz w:val="21"/>
              </w:rPr>
            </w:pPr>
          </w:p>
          <w:p w14:paraId="61D8B960">
            <w:pPr>
              <w:pStyle w:val="6"/>
              <w:spacing w:before="65" w:line="228" w:lineRule="auto"/>
              <w:ind w:left="157"/>
              <w:rPr>
                <w:sz w:val="20"/>
                <w:szCs w:val="20"/>
              </w:rPr>
            </w:pPr>
            <w:r>
              <w:rPr>
                <w:spacing w:val="3"/>
                <w:sz w:val="20"/>
                <w:szCs w:val="20"/>
              </w:rPr>
              <w:t>符合</w:t>
            </w:r>
          </w:p>
        </w:tc>
      </w:tr>
      <w:tr w14:paraId="133011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9" w:hRule="atLeast"/>
        </w:trPr>
        <w:tc>
          <w:tcPr>
            <w:tcW w:w="1456" w:type="dxa"/>
            <w:vMerge w:val="continue"/>
            <w:tcBorders>
              <w:top w:val="nil"/>
              <w:left w:val="single" w:color="000000" w:sz="6" w:space="0"/>
              <w:bottom w:val="nil"/>
              <w:right w:val="single" w:color="000000" w:sz="2" w:space="0"/>
            </w:tcBorders>
            <w:vAlign w:val="top"/>
          </w:tcPr>
          <w:p w14:paraId="034028C4">
            <w:pPr>
              <w:rPr>
                <w:rFonts w:ascii="Arial"/>
                <w:sz w:val="21"/>
              </w:rPr>
            </w:pPr>
          </w:p>
        </w:tc>
        <w:tc>
          <w:tcPr>
            <w:tcW w:w="7474" w:type="dxa"/>
            <w:gridSpan w:val="8"/>
            <w:tcBorders>
              <w:top w:val="single" w:color="000000" w:sz="10" w:space="0"/>
              <w:left w:val="single" w:color="000000" w:sz="2" w:space="0"/>
              <w:bottom w:val="single" w:color="000000" w:sz="10" w:space="0"/>
              <w:right w:val="single" w:color="000000" w:sz="6" w:space="0"/>
            </w:tcBorders>
            <w:vAlign w:val="top"/>
          </w:tcPr>
          <w:p w14:paraId="29227DD6">
            <w:pPr>
              <w:pStyle w:val="6"/>
              <w:spacing w:before="33" w:line="359" w:lineRule="auto"/>
              <w:ind w:left="19" w:right="9" w:firstLine="484"/>
            </w:pPr>
            <w:r>
              <w:rPr>
                <w:rFonts w:ascii="Times New Roman" w:hAnsi="Times New Roman" w:eastAsia="Times New Roman" w:cs="Times New Roman"/>
                <w:spacing w:val="-4"/>
              </w:rPr>
              <w:t>8</w:t>
            </w:r>
            <w:r>
              <w:rPr>
                <w:spacing w:val="-4"/>
              </w:rPr>
              <w:t>、项目与《内蒙古自治区人民政府关于划</w:t>
            </w:r>
            <w:r>
              <w:rPr>
                <w:spacing w:val="-5"/>
              </w:rPr>
              <w:t>分水土流失重点预防区和</w:t>
            </w:r>
            <w:r>
              <w:rPr>
                <w:spacing w:val="-1"/>
              </w:rPr>
              <w:t>重点治理区的通告》（内政发〔</w:t>
            </w:r>
            <w:r>
              <w:rPr>
                <w:rFonts w:ascii="Times New Roman" w:hAnsi="Times New Roman" w:eastAsia="Times New Roman" w:cs="Times New Roman"/>
                <w:spacing w:val="-1"/>
              </w:rPr>
              <w:t>2016</w:t>
            </w:r>
            <w:r>
              <w:rPr>
                <w:spacing w:val="-1"/>
              </w:rPr>
              <w:t>〕</w:t>
            </w:r>
            <w:r>
              <w:rPr>
                <w:rFonts w:ascii="Times New Roman" w:hAnsi="Times New Roman" w:eastAsia="Times New Roman" w:cs="Times New Roman"/>
                <w:spacing w:val="-1"/>
              </w:rPr>
              <w:t>44</w:t>
            </w:r>
            <w:r>
              <w:rPr>
                <w:rFonts w:ascii="Times New Roman" w:hAnsi="Times New Roman" w:eastAsia="Times New Roman" w:cs="Times New Roman"/>
                <w:spacing w:val="17"/>
                <w:w w:val="101"/>
              </w:rPr>
              <w:t xml:space="preserve"> </w:t>
            </w:r>
            <w:r>
              <w:rPr>
                <w:spacing w:val="-1"/>
              </w:rPr>
              <w:t>号）符合性分析。</w:t>
            </w:r>
          </w:p>
          <w:p w14:paraId="04223F8B">
            <w:pPr>
              <w:spacing w:line="209" w:lineRule="auto"/>
              <w:ind w:left="1304"/>
              <w:rPr>
                <w:rFonts w:ascii="黑体" w:hAnsi="黑体" w:eastAsia="黑体" w:cs="黑体"/>
                <w:sz w:val="24"/>
                <w:szCs w:val="24"/>
              </w:rPr>
            </w:pPr>
            <w:r>
              <w:rPr>
                <w:rFonts w:ascii="黑体" w:hAnsi="黑体" w:eastAsia="黑体" w:cs="黑体"/>
                <w:spacing w:val="-2"/>
                <w:sz w:val="24"/>
                <w:szCs w:val="24"/>
              </w:rPr>
              <w:t>表</w:t>
            </w:r>
            <w:r>
              <w:rPr>
                <w:rFonts w:ascii="黑体" w:hAnsi="黑体" w:eastAsia="黑体" w:cs="黑体"/>
                <w:spacing w:val="-21"/>
                <w:sz w:val="24"/>
                <w:szCs w:val="24"/>
              </w:rPr>
              <w:t xml:space="preserve"> </w:t>
            </w:r>
            <w:r>
              <w:rPr>
                <w:rFonts w:ascii="Times New Roman" w:hAnsi="Times New Roman" w:eastAsia="Times New Roman" w:cs="Times New Roman"/>
                <w:spacing w:val="-2"/>
                <w:sz w:val="24"/>
                <w:szCs w:val="24"/>
              </w:rPr>
              <w:t xml:space="preserve">1-8  </w:t>
            </w:r>
            <w:r>
              <w:rPr>
                <w:rFonts w:ascii="黑体" w:hAnsi="黑体" w:eastAsia="黑体" w:cs="黑体"/>
                <w:spacing w:val="-2"/>
                <w:sz w:val="24"/>
                <w:szCs w:val="24"/>
              </w:rPr>
              <w:t>与内政发〔</w:t>
            </w:r>
            <w:r>
              <w:rPr>
                <w:rFonts w:ascii="Times New Roman" w:hAnsi="Times New Roman" w:eastAsia="Times New Roman" w:cs="Times New Roman"/>
                <w:spacing w:val="-2"/>
                <w:sz w:val="24"/>
                <w:szCs w:val="24"/>
              </w:rPr>
              <w:t>2016</w:t>
            </w:r>
            <w:r>
              <w:rPr>
                <w:rFonts w:ascii="黑体" w:hAnsi="黑体" w:eastAsia="黑体" w:cs="黑体"/>
                <w:spacing w:val="-2"/>
                <w:sz w:val="24"/>
                <w:szCs w:val="24"/>
              </w:rPr>
              <w:t>〕</w:t>
            </w:r>
            <w:r>
              <w:rPr>
                <w:rFonts w:ascii="Times New Roman" w:hAnsi="Times New Roman" w:eastAsia="Times New Roman" w:cs="Times New Roman"/>
                <w:spacing w:val="-2"/>
                <w:sz w:val="24"/>
                <w:szCs w:val="24"/>
              </w:rPr>
              <w:t xml:space="preserve">44 </w:t>
            </w:r>
            <w:r>
              <w:rPr>
                <w:rFonts w:ascii="黑体" w:hAnsi="黑体" w:eastAsia="黑体" w:cs="黑体"/>
                <w:spacing w:val="-2"/>
                <w:sz w:val="24"/>
                <w:szCs w:val="24"/>
              </w:rPr>
              <w:t>号通告符合性分析</w:t>
            </w:r>
          </w:p>
        </w:tc>
      </w:tr>
      <w:tr w14:paraId="167B8F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 w:hRule="atLeast"/>
        </w:trPr>
        <w:tc>
          <w:tcPr>
            <w:tcW w:w="1456" w:type="dxa"/>
            <w:vMerge w:val="continue"/>
            <w:tcBorders>
              <w:top w:val="nil"/>
              <w:left w:val="single" w:color="000000" w:sz="6" w:space="0"/>
              <w:bottom w:val="nil"/>
              <w:right w:val="single" w:color="000000" w:sz="2" w:space="0"/>
            </w:tcBorders>
            <w:vAlign w:val="top"/>
          </w:tcPr>
          <w:p w14:paraId="6A1C0777">
            <w:pPr>
              <w:rPr>
                <w:rFonts w:ascii="Arial"/>
                <w:sz w:val="21"/>
              </w:rPr>
            </w:pPr>
          </w:p>
        </w:tc>
        <w:tc>
          <w:tcPr>
            <w:tcW w:w="3531" w:type="dxa"/>
            <w:gridSpan w:val="3"/>
            <w:tcBorders>
              <w:top w:val="single" w:color="000000" w:sz="10" w:space="0"/>
              <w:left w:val="single" w:color="000000" w:sz="2" w:space="0"/>
            </w:tcBorders>
            <w:vAlign w:val="top"/>
          </w:tcPr>
          <w:p w14:paraId="657398C1">
            <w:pPr>
              <w:pStyle w:val="6"/>
              <w:spacing w:before="149" w:line="226" w:lineRule="auto"/>
              <w:ind w:left="1354"/>
              <w:rPr>
                <w:sz w:val="20"/>
                <w:szCs w:val="20"/>
              </w:rPr>
            </w:pPr>
            <w:r>
              <w:rPr>
                <w:spacing w:val="7"/>
                <w:sz w:val="20"/>
                <w:szCs w:val="20"/>
              </w:rPr>
              <w:t>通告要求</w:t>
            </w:r>
          </w:p>
        </w:tc>
        <w:tc>
          <w:tcPr>
            <w:tcW w:w="3125" w:type="dxa"/>
            <w:gridSpan w:val="2"/>
            <w:tcBorders>
              <w:top w:val="single" w:color="000000" w:sz="10" w:space="0"/>
            </w:tcBorders>
            <w:vAlign w:val="top"/>
          </w:tcPr>
          <w:p w14:paraId="5B107BA6">
            <w:pPr>
              <w:pStyle w:val="6"/>
              <w:spacing w:before="149" w:line="228" w:lineRule="auto"/>
              <w:ind w:left="1152"/>
              <w:rPr>
                <w:sz w:val="20"/>
                <w:szCs w:val="20"/>
              </w:rPr>
            </w:pPr>
            <w:r>
              <w:rPr>
                <w:spacing w:val="6"/>
                <w:sz w:val="20"/>
                <w:szCs w:val="20"/>
              </w:rPr>
              <w:t>项目情况</w:t>
            </w:r>
          </w:p>
        </w:tc>
        <w:tc>
          <w:tcPr>
            <w:tcW w:w="818" w:type="dxa"/>
            <w:gridSpan w:val="3"/>
            <w:tcBorders>
              <w:top w:val="single" w:color="000000" w:sz="10" w:space="0"/>
              <w:right w:val="single" w:color="000000" w:sz="6" w:space="0"/>
            </w:tcBorders>
            <w:vAlign w:val="top"/>
          </w:tcPr>
          <w:p w14:paraId="40A550DD">
            <w:pPr>
              <w:pStyle w:val="6"/>
              <w:spacing w:before="148" w:line="228" w:lineRule="auto"/>
              <w:ind w:left="95"/>
              <w:rPr>
                <w:sz w:val="20"/>
                <w:szCs w:val="20"/>
              </w:rPr>
            </w:pPr>
            <w:r>
              <w:rPr>
                <w:spacing w:val="6"/>
                <w:sz w:val="20"/>
                <w:szCs w:val="20"/>
              </w:rPr>
              <w:t>符合性</w:t>
            </w:r>
          </w:p>
        </w:tc>
      </w:tr>
      <w:tr w14:paraId="6B7B0F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2" w:hRule="atLeast"/>
        </w:trPr>
        <w:tc>
          <w:tcPr>
            <w:tcW w:w="1456" w:type="dxa"/>
            <w:vMerge w:val="continue"/>
            <w:tcBorders>
              <w:top w:val="nil"/>
              <w:left w:val="single" w:color="000000" w:sz="6" w:space="0"/>
              <w:bottom w:val="nil"/>
              <w:right w:val="single" w:color="000000" w:sz="2" w:space="0"/>
            </w:tcBorders>
            <w:vAlign w:val="top"/>
          </w:tcPr>
          <w:p w14:paraId="7AF483BA">
            <w:pPr>
              <w:rPr>
                <w:rFonts w:ascii="Arial"/>
                <w:sz w:val="21"/>
              </w:rPr>
            </w:pPr>
          </w:p>
        </w:tc>
        <w:tc>
          <w:tcPr>
            <w:tcW w:w="3531" w:type="dxa"/>
            <w:gridSpan w:val="3"/>
            <w:tcBorders>
              <w:left w:val="single" w:color="000000" w:sz="2" w:space="0"/>
              <w:bottom w:val="single" w:color="000000" w:sz="10" w:space="0"/>
            </w:tcBorders>
            <w:vAlign w:val="top"/>
          </w:tcPr>
          <w:p w14:paraId="0F731990">
            <w:pPr>
              <w:spacing w:line="323" w:lineRule="auto"/>
              <w:rPr>
                <w:rFonts w:ascii="Arial"/>
                <w:sz w:val="21"/>
              </w:rPr>
            </w:pPr>
          </w:p>
          <w:p w14:paraId="595BF8EF">
            <w:pPr>
              <w:spacing w:line="324" w:lineRule="auto"/>
              <w:rPr>
                <w:rFonts w:ascii="Arial"/>
                <w:sz w:val="21"/>
              </w:rPr>
            </w:pPr>
          </w:p>
          <w:p w14:paraId="182DD920">
            <w:pPr>
              <w:pStyle w:val="6"/>
              <w:spacing w:before="65" w:line="252" w:lineRule="auto"/>
              <w:ind w:left="17"/>
              <w:jc w:val="both"/>
              <w:rPr>
                <w:sz w:val="20"/>
                <w:szCs w:val="20"/>
              </w:rPr>
            </w:pPr>
            <w:r>
              <w:rPr>
                <w:spacing w:val="3"/>
                <w:sz w:val="20"/>
                <w:szCs w:val="20"/>
              </w:rPr>
              <w:t>本区域要坚持“</w:t>
            </w:r>
            <w:r>
              <w:rPr>
                <w:spacing w:val="-76"/>
                <w:sz w:val="20"/>
                <w:szCs w:val="20"/>
              </w:rPr>
              <w:t xml:space="preserve"> </w:t>
            </w:r>
            <w:r>
              <w:rPr>
                <w:spacing w:val="3"/>
                <w:sz w:val="20"/>
                <w:szCs w:val="20"/>
              </w:rPr>
              <w:t>因地制宜、综合治理</w:t>
            </w:r>
            <w:r>
              <w:rPr>
                <w:spacing w:val="-71"/>
                <w:sz w:val="20"/>
                <w:szCs w:val="20"/>
              </w:rPr>
              <w:t xml:space="preserve"> </w:t>
            </w:r>
            <w:r>
              <w:rPr>
                <w:spacing w:val="3"/>
                <w:sz w:val="20"/>
                <w:szCs w:val="20"/>
              </w:rPr>
              <w:t>”</w:t>
            </w:r>
            <w:r>
              <w:rPr>
                <w:spacing w:val="-3"/>
                <w:sz w:val="20"/>
                <w:szCs w:val="20"/>
              </w:rPr>
              <w:t>的方针，开展以小流域为单元的综合治理，改善生态环境和生产条件；鼓励单</w:t>
            </w:r>
            <w:r>
              <w:rPr>
                <w:spacing w:val="9"/>
                <w:sz w:val="20"/>
                <w:szCs w:val="20"/>
              </w:rPr>
              <w:t>位和个人参与水土流失治理；加强管</w:t>
            </w:r>
            <w:r>
              <w:rPr>
                <w:spacing w:val="-1"/>
                <w:sz w:val="20"/>
                <w:szCs w:val="20"/>
              </w:rPr>
              <w:t>护，巩固治理成果。</w:t>
            </w:r>
          </w:p>
        </w:tc>
        <w:tc>
          <w:tcPr>
            <w:tcW w:w="3125" w:type="dxa"/>
            <w:gridSpan w:val="2"/>
            <w:tcBorders>
              <w:bottom w:val="single" w:color="000000" w:sz="10" w:space="0"/>
            </w:tcBorders>
            <w:vAlign w:val="top"/>
          </w:tcPr>
          <w:p w14:paraId="143E18AA">
            <w:pPr>
              <w:pStyle w:val="6"/>
              <w:spacing w:before="35" w:line="248" w:lineRule="auto"/>
              <w:ind w:left="12" w:firstLine="422"/>
              <w:jc w:val="both"/>
              <w:rPr>
                <w:sz w:val="20"/>
                <w:szCs w:val="20"/>
              </w:rPr>
            </w:pPr>
            <w:r>
              <w:rPr>
                <w:spacing w:val="17"/>
                <w:sz w:val="20"/>
                <w:szCs w:val="20"/>
              </w:rPr>
              <w:t>项</w:t>
            </w:r>
            <w:r>
              <w:rPr>
                <w:spacing w:val="-25"/>
                <w:sz w:val="20"/>
                <w:szCs w:val="20"/>
              </w:rPr>
              <w:t xml:space="preserve"> </w:t>
            </w:r>
            <w:r>
              <w:rPr>
                <w:spacing w:val="17"/>
                <w:sz w:val="20"/>
                <w:szCs w:val="20"/>
              </w:rPr>
              <w:t>目位于黄河多沙粗沙国家</w:t>
            </w:r>
            <w:r>
              <w:rPr>
                <w:spacing w:val="6"/>
                <w:sz w:val="20"/>
                <w:szCs w:val="20"/>
              </w:rPr>
              <w:t>级水土流失重点治理区。项目施工期严格控制占地范围，加强施工期</w:t>
            </w:r>
            <w:r>
              <w:rPr>
                <w:spacing w:val="18"/>
                <w:sz w:val="20"/>
                <w:szCs w:val="20"/>
              </w:rPr>
              <w:t>监督管理</w:t>
            </w:r>
            <w:r>
              <w:rPr>
                <w:spacing w:val="-51"/>
                <w:sz w:val="20"/>
                <w:szCs w:val="20"/>
              </w:rPr>
              <w:t xml:space="preserve"> </w:t>
            </w:r>
            <w:r>
              <w:rPr>
                <w:spacing w:val="18"/>
                <w:sz w:val="20"/>
                <w:szCs w:val="20"/>
              </w:rPr>
              <w:t>，减少对周边植被的破</w:t>
            </w:r>
            <w:r>
              <w:rPr>
                <w:spacing w:val="6"/>
                <w:sz w:val="20"/>
                <w:szCs w:val="20"/>
              </w:rPr>
              <w:t>坏，施工结束后，采取人工辅助进行植被恢复，避免造成水土流失。</w:t>
            </w:r>
            <w:r>
              <w:rPr>
                <w:spacing w:val="13"/>
                <w:sz w:val="20"/>
                <w:szCs w:val="20"/>
              </w:rPr>
              <w:t>项</w:t>
            </w:r>
            <w:r>
              <w:rPr>
                <w:spacing w:val="-37"/>
                <w:sz w:val="20"/>
                <w:szCs w:val="20"/>
              </w:rPr>
              <w:t xml:space="preserve"> </w:t>
            </w:r>
            <w:r>
              <w:rPr>
                <w:spacing w:val="13"/>
                <w:sz w:val="20"/>
                <w:szCs w:val="20"/>
              </w:rPr>
              <w:t>目</w:t>
            </w:r>
            <w:r>
              <w:rPr>
                <w:spacing w:val="-44"/>
                <w:sz w:val="20"/>
                <w:szCs w:val="20"/>
              </w:rPr>
              <w:t xml:space="preserve"> </w:t>
            </w:r>
            <w:r>
              <w:rPr>
                <w:spacing w:val="13"/>
                <w:sz w:val="20"/>
                <w:szCs w:val="20"/>
              </w:rPr>
              <w:t>占地现状为水浇地、农村道</w:t>
            </w:r>
            <w:r>
              <w:rPr>
                <w:spacing w:val="6"/>
                <w:sz w:val="20"/>
                <w:szCs w:val="20"/>
              </w:rPr>
              <w:t>路、沟渠，占地面积较小，在采取</w:t>
            </w:r>
            <w:r>
              <w:rPr>
                <w:spacing w:val="21"/>
                <w:sz w:val="20"/>
                <w:szCs w:val="20"/>
              </w:rPr>
              <w:t>防治措施后可有效避免人为造成</w:t>
            </w:r>
            <w:r>
              <w:rPr>
                <w:spacing w:val="5"/>
                <w:sz w:val="20"/>
                <w:szCs w:val="20"/>
              </w:rPr>
              <w:t>水土流失。</w:t>
            </w:r>
          </w:p>
        </w:tc>
        <w:tc>
          <w:tcPr>
            <w:tcW w:w="818" w:type="dxa"/>
            <w:gridSpan w:val="3"/>
            <w:tcBorders>
              <w:bottom w:val="single" w:color="000000" w:sz="10" w:space="0"/>
              <w:right w:val="single" w:color="000000" w:sz="6" w:space="0"/>
            </w:tcBorders>
            <w:vAlign w:val="top"/>
          </w:tcPr>
          <w:p w14:paraId="1F354131">
            <w:pPr>
              <w:spacing w:line="297" w:lineRule="auto"/>
              <w:rPr>
                <w:rFonts w:ascii="Arial"/>
                <w:sz w:val="21"/>
              </w:rPr>
            </w:pPr>
          </w:p>
          <w:p w14:paraId="6A94A52C">
            <w:pPr>
              <w:spacing w:line="298" w:lineRule="auto"/>
              <w:rPr>
                <w:rFonts w:ascii="Arial"/>
                <w:sz w:val="21"/>
              </w:rPr>
            </w:pPr>
          </w:p>
          <w:p w14:paraId="5CF3484B">
            <w:pPr>
              <w:spacing w:line="298" w:lineRule="auto"/>
              <w:rPr>
                <w:rFonts w:ascii="Arial"/>
                <w:sz w:val="21"/>
              </w:rPr>
            </w:pPr>
          </w:p>
          <w:p w14:paraId="59F6FF56">
            <w:pPr>
              <w:spacing w:line="298" w:lineRule="auto"/>
              <w:rPr>
                <w:rFonts w:ascii="Arial"/>
                <w:sz w:val="21"/>
              </w:rPr>
            </w:pPr>
          </w:p>
          <w:p w14:paraId="500BB6C6">
            <w:pPr>
              <w:pStyle w:val="6"/>
              <w:spacing w:before="65" w:line="228" w:lineRule="auto"/>
              <w:ind w:left="200"/>
              <w:rPr>
                <w:sz w:val="20"/>
                <w:szCs w:val="20"/>
              </w:rPr>
            </w:pPr>
            <w:r>
              <w:rPr>
                <w:spacing w:val="3"/>
                <w:sz w:val="20"/>
                <w:szCs w:val="20"/>
              </w:rPr>
              <w:t>符合</w:t>
            </w:r>
          </w:p>
        </w:tc>
      </w:tr>
      <w:tr w14:paraId="6FEA38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3" w:hRule="atLeast"/>
        </w:trPr>
        <w:tc>
          <w:tcPr>
            <w:tcW w:w="1456" w:type="dxa"/>
            <w:vMerge w:val="continue"/>
            <w:tcBorders>
              <w:top w:val="nil"/>
              <w:left w:val="single" w:color="000000" w:sz="6" w:space="0"/>
              <w:bottom w:val="nil"/>
              <w:right w:val="single" w:color="000000" w:sz="2" w:space="0"/>
            </w:tcBorders>
            <w:vAlign w:val="top"/>
          </w:tcPr>
          <w:p w14:paraId="5F432211">
            <w:pPr>
              <w:rPr>
                <w:rFonts w:ascii="Arial"/>
                <w:sz w:val="21"/>
              </w:rPr>
            </w:pPr>
          </w:p>
        </w:tc>
        <w:tc>
          <w:tcPr>
            <w:tcW w:w="7474" w:type="dxa"/>
            <w:gridSpan w:val="8"/>
            <w:tcBorders>
              <w:top w:val="single" w:color="000000" w:sz="10" w:space="0"/>
              <w:left w:val="single" w:color="000000" w:sz="2" w:space="0"/>
              <w:bottom w:val="single" w:color="000000" w:sz="10" w:space="0"/>
              <w:right w:val="single" w:color="000000" w:sz="6" w:space="0"/>
            </w:tcBorders>
            <w:vAlign w:val="top"/>
          </w:tcPr>
          <w:p w14:paraId="3EB91851">
            <w:pPr>
              <w:pStyle w:val="6"/>
              <w:spacing w:before="37" w:line="219" w:lineRule="auto"/>
              <w:ind w:left="498"/>
            </w:pPr>
            <w:r>
              <w:rPr>
                <w:rFonts w:ascii="Times New Roman" w:hAnsi="Times New Roman" w:eastAsia="Times New Roman" w:cs="Times New Roman"/>
                <w:spacing w:val="-2"/>
              </w:rPr>
              <w:t>9</w:t>
            </w:r>
            <w:r>
              <w:rPr>
                <w:rFonts w:ascii="Times New Roman" w:hAnsi="Times New Roman" w:eastAsia="Times New Roman" w:cs="Times New Roman"/>
                <w:spacing w:val="-34"/>
              </w:rPr>
              <w:t xml:space="preserve"> </w:t>
            </w:r>
            <w:r>
              <w:rPr>
                <w:spacing w:val="-2"/>
              </w:rPr>
              <w:t>、与《基本农田保护条例》符合性分析</w:t>
            </w:r>
          </w:p>
          <w:p w14:paraId="245D3FF0">
            <w:pPr>
              <w:spacing w:before="183" w:line="206" w:lineRule="auto"/>
              <w:ind w:left="1452"/>
              <w:rPr>
                <w:rFonts w:ascii="黑体" w:hAnsi="黑体" w:eastAsia="黑体" w:cs="黑体"/>
                <w:sz w:val="24"/>
                <w:szCs w:val="24"/>
              </w:rPr>
            </w:pPr>
            <w:r>
              <w:rPr>
                <w:rFonts w:ascii="黑体" w:hAnsi="黑体" w:eastAsia="黑体" w:cs="黑体"/>
                <w:spacing w:val="-2"/>
                <w:sz w:val="24"/>
                <w:szCs w:val="24"/>
              </w:rPr>
              <w:t>表</w:t>
            </w:r>
            <w:r>
              <w:rPr>
                <w:rFonts w:ascii="黑体" w:hAnsi="黑体" w:eastAsia="黑体" w:cs="黑体"/>
                <w:spacing w:val="-31"/>
                <w:sz w:val="24"/>
                <w:szCs w:val="24"/>
              </w:rPr>
              <w:t xml:space="preserve"> </w:t>
            </w:r>
            <w:r>
              <w:rPr>
                <w:rFonts w:ascii="Times New Roman" w:hAnsi="Times New Roman" w:eastAsia="Times New Roman" w:cs="Times New Roman"/>
                <w:spacing w:val="-2"/>
                <w:sz w:val="24"/>
                <w:szCs w:val="24"/>
              </w:rPr>
              <w:t xml:space="preserve">1-9  </w:t>
            </w:r>
            <w:r>
              <w:rPr>
                <w:rFonts w:ascii="黑体" w:hAnsi="黑体" w:eastAsia="黑体" w:cs="黑体"/>
                <w:spacing w:val="-2"/>
                <w:sz w:val="24"/>
                <w:szCs w:val="24"/>
              </w:rPr>
              <w:t>与《基本农田保护条例》符合性分析</w:t>
            </w:r>
          </w:p>
        </w:tc>
      </w:tr>
      <w:tr w14:paraId="5AE685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1456" w:type="dxa"/>
            <w:vMerge w:val="continue"/>
            <w:tcBorders>
              <w:top w:val="nil"/>
              <w:left w:val="single" w:color="000000" w:sz="6" w:space="0"/>
              <w:bottom w:val="nil"/>
              <w:right w:val="single" w:color="000000" w:sz="2" w:space="0"/>
            </w:tcBorders>
            <w:vAlign w:val="top"/>
          </w:tcPr>
          <w:p w14:paraId="3B82A205">
            <w:pPr>
              <w:rPr>
                <w:rFonts w:ascii="Arial"/>
                <w:sz w:val="21"/>
              </w:rPr>
            </w:pPr>
          </w:p>
        </w:tc>
        <w:tc>
          <w:tcPr>
            <w:tcW w:w="786" w:type="dxa"/>
            <w:tcBorders>
              <w:top w:val="single" w:color="000000" w:sz="10" w:space="0"/>
              <w:left w:val="single" w:color="000000" w:sz="2" w:space="0"/>
            </w:tcBorders>
            <w:vAlign w:val="top"/>
          </w:tcPr>
          <w:p w14:paraId="2202D1D9">
            <w:pPr>
              <w:pStyle w:val="6"/>
              <w:spacing w:before="168" w:line="228" w:lineRule="auto"/>
              <w:ind w:left="213"/>
              <w:rPr>
                <w:sz w:val="20"/>
                <w:szCs w:val="20"/>
              </w:rPr>
            </w:pPr>
            <w:r>
              <w:rPr>
                <w:spacing w:val="-8"/>
                <w:sz w:val="20"/>
                <w:szCs w:val="20"/>
              </w:rPr>
              <w:t>内容</w:t>
            </w:r>
          </w:p>
        </w:tc>
        <w:tc>
          <w:tcPr>
            <w:tcW w:w="1933" w:type="dxa"/>
            <w:tcBorders>
              <w:top w:val="single" w:color="000000" w:sz="10" w:space="0"/>
            </w:tcBorders>
            <w:vAlign w:val="top"/>
          </w:tcPr>
          <w:p w14:paraId="4F92A2CC">
            <w:pPr>
              <w:pStyle w:val="6"/>
              <w:spacing w:before="168" w:line="228" w:lineRule="auto"/>
              <w:ind w:left="548"/>
              <w:rPr>
                <w:sz w:val="20"/>
                <w:szCs w:val="20"/>
              </w:rPr>
            </w:pPr>
            <w:r>
              <w:rPr>
                <w:spacing w:val="6"/>
                <w:sz w:val="20"/>
                <w:szCs w:val="20"/>
              </w:rPr>
              <w:t>条例要求</w:t>
            </w:r>
          </w:p>
        </w:tc>
        <w:tc>
          <w:tcPr>
            <w:tcW w:w="4095" w:type="dxa"/>
            <w:gridSpan w:val="5"/>
            <w:tcBorders>
              <w:top w:val="single" w:color="000000" w:sz="10" w:space="0"/>
            </w:tcBorders>
            <w:vAlign w:val="top"/>
          </w:tcPr>
          <w:p w14:paraId="609AFDDA">
            <w:pPr>
              <w:pStyle w:val="6"/>
              <w:spacing w:before="168" w:line="228" w:lineRule="auto"/>
              <w:ind w:left="1636"/>
              <w:rPr>
                <w:sz w:val="20"/>
                <w:szCs w:val="20"/>
              </w:rPr>
            </w:pPr>
            <w:r>
              <w:rPr>
                <w:spacing w:val="6"/>
                <w:sz w:val="20"/>
                <w:szCs w:val="20"/>
              </w:rPr>
              <w:t>项目情况</w:t>
            </w:r>
          </w:p>
        </w:tc>
        <w:tc>
          <w:tcPr>
            <w:tcW w:w="660" w:type="dxa"/>
            <w:tcBorders>
              <w:top w:val="single" w:color="000000" w:sz="10" w:space="0"/>
              <w:right w:val="single" w:color="000000" w:sz="6" w:space="0"/>
            </w:tcBorders>
            <w:vAlign w:val="top"/>
          </w:tcPr>
          <w:p w14:paraId="53EFA470">
            <w:pPr>
              <w:pStyle w:val="6"/>
              <w:spacing w:before="34" w:line="229" w:lineRule="auto"/>
              <w:ind w:left="227" w:right="117" w:hanging="106"/>
              <w:rPr>
                <w:sz w:val="20"/>
                <w:szCs w:val="20"/>
              </w:rPr>
            </w:pPr>
            <w:r>
              <w:rPr>
                <w:spacing w:val="3"/>
                <w:sz w:val="20"/>
                <w:szCs w:val="20"/>
              </w:rPr>
              <w:t>符合</w:t>
            </w:r>
            <w:r>
              <w:rPr>
                <w:sz w:val="20"/>
                <w:szCs w:val="20"/>
              </w:rPr>
              <w:t>性</w:t>
            </w:r>
          </w:p>
        </w:tc>
      </w:tr>
      <w:tr w14:paraId="0367E9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1456" w:type="dxa"/>
            <w:vMerge w:val="continue"/>
            <w:tcBorders>
              <w:top w:val="nil"/>
              <w:left w:val="single" w:color="000000" w:sz="6" w:space="0"/>
              <w:bottom w:val="single" w:color="000000" w:sz="6" w:space="0"/>
              <w:right w:val="single" w:color="000000" w:sz="2" w:space="0"/>
            </w:tcBorders>
            <w:vAlign w:val="top"/>
          </w:tcPr>
          <w:p w14:paraId="50FF1C30">
            <w:pPr>
              <w:rPr>
                <w:rFonts w:ascii="Arial"/>
                <w:sz w:val="21"/>
              </w:rPr>
            </w:pPr>
          </w:p>
        </w:tc>
        <w:tc>
          <w:tcPr>
            <w:tcW w:w="786" w:type="dxa"/>
            <w:tcBorders>
              <w:left w:val="single" w:color="000000" w:sz="2" w:space="0"/>
              <w:bottom w:val="single" w:color="000000" w:sz="6" w:space="0"/>
            </w:tcBorders>
            <w:vAlign w:val="top"/>
          </w:tcPr>
          <w:p w14:paraId="5F75E796">
            <w:pPr>
              <w:pStyle w:val="6"/>
              <w:spacing w:before="25" w:line="225" w:lineRule="auto"/>
              <w:ind w:left="188" w:right="72" w:hanging="104"/>
              <w:rPr>
                <w:sz w:val="20"/>
                <w:szCs w:val="20"/>
              </w:rPr>
            </w:pPr>
            <w:r>
              <w:rPr>
                <w:spacing w:val="6"/>
                <w:sz w:val="20"/>
                <w:szCs w:val="20"/>
              </w:rPr>
              <w:t>第三章</w:t>
            </w:r>
            <w:r>
              <w:rPr>
                <w:spacing w:val="4"/>
                <w:sz w:val="20"/>
                <w:szCs w:val="20"/>
              </w:rPr>
              <w:t>保护</w:t>
            </w:r>
          </w:p>
        </w:tc>
        <w:tc>
          <w:tcPr>
            <w:tcW w:w="1933" w:type="dxa"/>
            <w:tcBorders>
              <w:bottom w:val="single" w:color="000000" w:sz="6" w:space="0"/>
            </w:tcBorders>
            <w:vAlign w:val="top"/>
          </w:tcPr>
          <w:p w14:paraId="34142DEF">
            <w:pPr>
              <w:pStyle w:val="6"/>
              <w:spacing w:before="25" w:line="224" w:lineRule="auto"/>
              <w:ind w:left="126" w:right="73" w:hanging="53"/>
              <w:rPr>
                <w:sz w:val="20"/>
                <w:szCs w:val="20"/>
              </w:rPr>
            </w:pPr>
            <w:r>
              <w:rPr>
                <w:spacing w:val="8"/>
                <w:sz w:val="20"/>
                <w:szCs w:val="20"/>
              </w:rPr>
              <w:t>第十五条 基本农田保护区经依法划定</w:t>
            </w:r>
          </w:p>
        </w:tc>
        <w:tc>
          <w:tcPr>
            <w:tcW w:w="4095" w:type="dxa"/>
            <w:gridSpan w:val="5"/>
            <w:tcBorders>
              <w:bottom w:val="single" w:color="000000" w:sz="6" w:space="0"/>
            </w:tcBorders>
            <w:vAlign w:val="top"/>
          </w:tcPr>
          <w:p w14:paraId="35CCC294">
            <w:pPr>
              <w:pStyle w:val="6"/>
              <w:spacing w:before="25" w:line="224" w:lineRule="auto"/>
              <w:ind w:left="11" w:right="96" w:firstLine="420"/>
              <w:rPr>
                <w:sz w:val="20"/>
                <w:szCs w:val="20"/>
              </w:rPr>
            </w:pPr>
            <w:r>
              <w:rPr>
                <w:spacing w:val="9"/>
                <w:sz w:val="20"/>
                <w:szCs w:val="20"/>
              </w:rPr>
              <w:t>项目为石油勘探工程，属于国家能源建设项目，位于河套平原产粮区，基本农田保</w:t>
            </w:r>
          </w:p>
        </w:tc>
        <w:tc>
          <w:tcPr>
            <w:tcW w:w="660" w:type="dxa"/>
            <w:tcBorders>
              <w:bottom w:val="single" w:color="000000" w:sz="6" w:space="0"/>
              <w:right w:val="single" w:color="000000" w:sz="6" w:space="0"/>
            </w:tcBorders>
            <w:vAlign w:val="top"/>
          </w:tcPr>
          <w:p w14:paraId="428E7024">
            <w:pPr>
              <w:pStyle w:val="6"/>
              <w:spacing w:before="145" w:line="228" w:lineRule="auto"/>
              <w:ind w:left="121"/>
              <w:rPr>
                <w:sz w:val="20"/>
                <w:szCs w:val="20"/>
              </w:rPr>
            </w:pPr>
            <w:r>
              <w:rPr>
                <w:spacing w:val="3"/>
                <w:sz w:val="20"/>
                <w:szCs w:val="20"/>
              </w:rPr>
              <w:t>符合</w:t>
            </w:r>
          </w:p>
        </w:tc>
      </w:tr>
    </w:tbl>
    <w:p w14:paraId="59D52E81">
      <w:pPr>
        <w:spacing w:line="184" w:lineRule="exact"/>
        <w:rPr>
          <w:rFonts w:ascii="Arial"/>
          <w:sz w:val="16"/>
        </w:rPr>
      </w:pPr>
    </w:p>
    <w:p w14:paraId="3EB07387">
      <w:pPr>
        <w:spacing w:line="184" w:lineRule="exact"/>
        <w:rPr>
          <w:rFonts w:ascii="Arial" w:hAnsi="Arial" w:eastAsia="Arial" w:cs="Arial"/>
          <w:sz w:val="16"/>
          <w:szCs w:val="16"/>
        </w:rPr>
        <w:sectPr>
          <w:footerReference r:id="rId17" w:type="default"/>
          <w:pgSz w:w="11906" w:h="16839"/>
          <w:pgMar w:top="400" w:right="1395" w:bottom="1240" w:left="1565" w:header="0" w:footer="1078" w:gutter="0"/>
          <w:cols w:space="720" w:num="1"/>
        </w:sectPr>
      </w:pPr>
    </w:p>
    <w:p w14:paraId="7DBF34A6">
      <w:pPr>
        <w:spacing w:before="56"/>
      </w:pPr>
    </w:p>
    <w:p w14:paraId="3EB01DFB">
      <w:pPr>
        <w:spacing w:before="56"/>
      </w:pPr>
    </w:p>
    <w:p w14:paraId="3F940548">
      <w:pPr>
        <w:spacing w:before="55"/>
      </w:pPr>
    </w:p>
    <w:p w14:paraId="76496E05">
      <w:pPr>
        <w:spacing w:before="55"/>
      </w:pPr>
    </w:p>
    <w:tbl>
      <w:tblPr>
        <w:tblStyle w:val="5"/>
        <w:tblW w:w="893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6"/>
        <w:gridCol w:w="786"/>
        <w:gridCol w:w="1933"/>
        <w:gridCol w:w="4095"/>
        <w:gridCol w:w="660"/>
      </w:tblGrid>
      <w:tr w14:paraId="222C77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77" w:hRule="atLeast"/>
        </w:trPr>
        <w:tc>
          <w:tcPr>
            <w:tcW w:w="1456" w:type="dxa"/>
            <w:vMerge w:val="restart"/>
            <w:tcBorders>
              <w:bottom w:val="nil"/>
              <w:right w:val="single" w:color="000000" w:sz="2" w:space="0"/>
            </w:tcBorders>
            <w:vAlign w:val="top"/>
          </w:tcPr>
          <w:p w14:paraId="1693BDA4">
            <w:pPr>
              <w:rPr>
                <w:rFonts w:ascii="Arial"/>
                <w:sz w:val="21"/>
              </w:rPr>
            </w:pPr>
          </w:p>
        </w:tc>
        <w:tc>
          <w:tcPr>
            <w:tcW w:w="786" w:type="dxa"/>
            <w:tcBorders>
              <w:left w:val="single" w:color="000000" w:sz="2" w:space="0"/>
              <w:bottom w:val="single" w:color="000000" w:sz="10" w:space="0"/>
              <w:right w:val="single" w:color="000000" w:sz="4" w:space="0"/>
            </w:tcBorders>
            <w:vAlign w:val="top"/>
          </w:tcPr>
          <w:p w14:paraId="375E9341">
            <w:pPr>
              <w:rPr>
                <w:rFonts w:ascii="Arial"/>
                <w:sz w:val="21"/>
              </w:rPr>
            </w:pPr>
          </w:p>
        </w:tc>
        <w:tc>
          <w:tcPr>
            <w:tcW w:w="1933" w:type="dxa"/>
            <w:tcBorders>
              <w:left w:val="single" w:color="000000" w:sz="4" w:space="0"/>
              <w:bottom w:val="single" w:color="000000" w:sz="10" w:space="0"/>
              <w:right w:val="single" w:color="000000" w:sz="4" w:space="0"/>
            </w:tcBorders>
            <w:vAlign w:val="top"/>
          </w:tcPr>
          <w:p w14:paraId="64F9F061">
            <w:pPr>
              <w:pStyle w:val="6"/>
              <w:spacing w:before="39" w:line="222" w:lineRule="auto"/>
              <w:ind w:left="21" w:right="21"/>
              <w:rPr>
                <w:sz w:val="20"/>
                <w:szCs w:val="20"/>
              </w:rPr>
            </w:pPr>
            <w:r>
              <w:rPr>
                <w:spacing w:val="8"/>
                <w:sz w:val="20"/>
                <w:szCs w:val="20"/>
              </w:rPr>
              <w:t>后，任何单位和个人不得改变或者占用。国家能源、交通、水利、军事设施等重点建设项目选址确实无法避开基本农田保护区，需要占用基本农田，涉及农用地转用或者征收土地的，必</w:t>
            </w:r>
            <w:r>
              <w:rPr>
                <w:spacing w:val="20"/>
                <w:sz w:val="20"/>
                <w:szCs w:val="20"/>
              </w:rPr>
              <w:t>须经国务院批准。</w:t>
            </w:r>
          </w:p>
        </w:tc>
        <w:tc>
          <w:tcPr>
            <w:tcW w:w="4095" w:type="dxa"/>
            <w:tcBorders>
              <w:left w:val="single" w:color="000000" w:sz="4" w:space="0"/>
              <w:bottom w:val="single" w:color="000000" w:sz="10" w:space="0"/>
              <w:right w:val="single" w:color="000000" w:sz="4" w:space="0"/>
            </w:tcBorders>
            <w:vAlign w:val="top"/>
          </w:tcPr>
          <w:p w14:paraId="79D2E66F">
            <w:pPr>
              <w:pStyle w:val="6"/>
              <w:spacing w:before="36" w:line="222" w:lineRule="auto"/>
              <w:ind w:left="8" w:right="96"/>
              <w:rPr>
                <w:sz w:val="20"/>
                <w:szCs w:val="20"/>
              </w:rPr>
            </w:pPr>
            <w:r>
              <w:rPr>
                <w:spacing w:val="9"/>
                <w:sz w:val="20"/>
                <w:szCs w:val="20"/>
              </w:rPr>
              <w:t>护率较高，建设用地较少，因此临时占用基</w:t>
            </w:r>
            <w:r>
              <w:rPr>
                <w:spacing w:val="7"/>
                <w:sz w:val="20"/>
                <w:szCs w:val="20"/>
              </w:rPr>
              <w:t>本农田不可避免。</w:t>
            </w:r>
          </w:p>
          <w:p w14:paraId="7482008D">
            <w:pPr>
              <w:pStyle w:val="6"/>
              <w:spacing w:before="2" w:line="221" w:lineRule="auto"/>
              <w:ind w:left="7" w:firstLine="413"/>
              <w:jc w:val="both"/>
              <w:rPr>
                <w:sz w:val="20"/>
                <w:szCs w:val="20"/>
              </w:rPr>
            </w:pPr>
            <w:r>
              <w:rPr>
                <w:spacing w:val="11"/>
                <w:sz w:val="20"/>
                <w:szCs w:val="20"/>
              </w:rPr>
              <w:t>根据项目土地勘测定界技术报告书，临</w:t>
            </w:r>
            <w:r>
              <w:rPr>
                <w:sz w:val="20"/>
                <w:szCs w:val="20"/>
              </w:rPr>
              <w:t>时占用基本农田</w:t>
            </w:r>
            <w:r>
              <w:rPr>
                <w:spacing w:val="-14"/>
                <w:sz w:val="20"/>
                <w:szCs w:val="20"/>
              </w:rPr>
              <w:t xml:space="preserve"> </w:t>
            </w:r>
            <w:r>
              <w:rPr>
                <w:rFonts w:ascii="Times New Roman" w:hAnsi="Times New Roman" w:eastAsia="Times New Roman" w:cs="Times New Roman"/>
                <w:sz w:val="20"/>
                <w:szCs w:val="20"/>
              </w:rPr>
              <w:t>12987m</w:t>
            </w:r>
            <w:r>
              <w:rPr>
                <w:rFonts w:ascii="Times New Roman" w:hAnsi="Times New Roman" w:eastAsia="Times New Roman" w:cs="Times New Roman"/>
                <w:position w:val="6"/>
                <w:sz w:val="13"/>
                <w:szCs w:val="13"/>
              </w:rPr>
              <w:t>2</w:t>
            </w:r>
            <w:r>
              <w:rPr>
                <w:sz w:val="20"/>
                <w:szCs w:val="20"/>
              </w:rPr>
              <w:t>，已编制土地复垦方</w:t>
            </w:r>
            <w:r>
              <w:rPr>
                <w:spacing w:val="10"/>
                <w:sz w:val="20"/>
                <w:szCs w:val="20"/>
              </w:rPr>
              <w:t>案并按相关规定办理临时用地手续。项目实施过程中按照土地复垦方案进行表土剥离并</w:t>
            </w:r>
            <w:r>
              <w:rPr>
                <w:spacing w:val="3"/>
                <w:sz w:val="20"/>
                <w:szCs w:val="20"/>
              </w:rPr>
              <w:t>收集堆存，施工结束后及时恢复为基本农田。</w:t>
            </w:r>
          </w:p>
          <w:p w14:paraId="5CA22FD1">
            <w:pPr>
              <w:pStyle w:val="6"/>
              <w:spacing w:line="219" w:lineRule="auto"/>
              <w:ind w:left="9" w:right="96" w:firstLine="421"/>
              <w:jc w:val="both"/>
              <w:rPr>
                <w:sz w:val="20"/>
                <w:szCs w:val="20"/>
              </w:rPr>
            </w:pPr>
            <w:r>
              <w:rPr>
                <w:spacing w:val="9"/>
                <w:sz w:val="20"/>
                <w:szCs w:val="20"/>
              </w:rPr>
              <w:t>项目不涉及永久占地，无需农用地转换或征收土地，后期若利用勘探井从事生产等活动，建设单位需按照保护条例的要求经国</w:t>
            </w:r>
            <w:r>
              <w:rPr>
                <w:spacing w:val="8"/>
                <w:sz w:val="20"/>
                <w:szCs w:val="20"/>
              </w:rPr>
              <w:t>务院批准，转换用地性质。</w:t>
            </w:r>
          </w:p>
        </w:tc>
        <w:tc>
          <w:tcPr>
            <w:tcW w:w="660" w:type="dxa"/>
            <w:tcBorders>
              <w:left w:val="single" w:color="000000" w:sz="4" w:space="0"/>
              <w:bottom w:val="single" w:color="000000" w:sz="10" w:space="0"/>
            </w:tcBorders>
            <w:vAlign w:val="top"/>
          </w:tcPr>
          <w:p w14:paraId="2346122C">
            <w:pPr>
              <w:rPr>
                <w:rFonts w:ascii="Arial"/>
                <w:sz w:val="21"/>
              </w:rPr>
            </w:pPr>
          </w:p>
        </w:tc>
      </w:tr>
      <w:tr w14:paraId="19C8B7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67" w:hRule="atLeast"/>
        </w:trPr>
        <w:tc>
          <w:tcPr>
            <w:tcW w:w="1456" w:type="dxa"/>
            <w:vMerge w:val="continue"/>
            <w:tcBorders>
              <w:top w:val="nil"/>
              <w:right w:val="single" w:color="000000" w:sz="2" w:space="0"/>
            </w:tcBorders>
            <w:vAlign w:val="top"/>
          </w:tcPr>
          <w:p w14:paraId="7AFEDE74">
            <w:pPr>
              <w:rPr>
                <w:rFonts w:ascii="Arial"/>
                <w:sz w:val="21"/>
              </w:rPr>
            </w:pPr>
          </w:p>
        </w:tc>
        <w:tc>
          <w:tcPr>
            <w:tcW w:w="7474" w:type="dxa"/>
            <w:gridSpan w:val="4"/>
            <w:tcBorders>
              <w:top w:val="single" w:color="000000" w:sz="10" w:space="0"/>
              <w:left w:val="single" w:color="000000" w:sz="2" w:space="0"/>
            </w:tcBorders>
            <w:vAlign w:val="top"/>
          </w:tcPr>
          <w:p w14:paraId="5DD727DF">
            <w:pPr>
              <w:spacing w:line="7438" w:lineRule="exact"/>
              <w:ind w:firstLine="9"/>
            </w:pPr>
            <w:r>
              <w:rPr>
                <w:position w:val="-148"/>
              </w:rPr>
              <w:drawing>
                <wp:inline distT="0" distB="0" distL="0" distR="0">
                  <wp:extent cx="4726940" cy="472313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76"/>
                          <a:stretch>
                            <a:fillRect/>
                          </a:stretch>
                        </pic:blipFill>
                        <pic:spPr>
                          <a:xfrm>
                            <a:off x="0" y="0"/>
                            <a:ext cx="4727448" cy="4723256"/>
                          </a:xfrm>
                          <a:prstGeom prst="rect">
                            <a:avLst/>
                          </a:prstGeom>
                        </pic:spPr>
                      </pic:pic>
                    </a:graphicData>
                  </a:graphic>
                </wp:inline>
              </w:drawing>
            </w:r>
          </w:p>
          <w:p w14:paraId="286B64F3">
            <w:pPr>
              <w:spacing w:before="173" w:line="222" w:lineRule="auto"/>
              <w:ind w:left="1614"/>
              <w:rPr>
                <w:rFonts w:ascii="黑体" w:hAnsi="黑体" w:eastAsia="黑体" w:cs="黑体"/>
                <w:sz w:val="24"/>
                <w:szCs w:val="24"/>
              </w:rPr>
            </w:pPr>
            <w:r>
              <w:rPr>
                <w:rFonts w:ascii="黑体" w:hAnsi="黑体" w:eastAsia="黑体" w:cs="黑体"/>
                <w:spacing w:val="-3"/>
                <w:sz w:val="24"/>
                <w:szCs w:val="24"/>
              </w:rPr>
              <w:t>图</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pacing w:val="-3"/>
                <w:sz w:val="24"/>
                <w:szCs w:val="24"/>
              </w:rPr>
              <w:t xml:space="preserve">1  </w:t>
            </w:r>
            <w:r>
              <w:rPr>
                <w:rFonts w:ascii="黑体" w:hAnsi="黑体" w:eastAsia="黑体" w:cs="黑体"/>
                <w:spacing w:val="-3"/>
                <w:sz w:val="24"/>
                <w:szCs w:val="24"/>
              </w:rPr>
              <w:t>项目占用永久基本农田规划示意图</w:t>
            </w:r>
          </w:p>
          <w:p w14:paraId="5D576CFF">
            <w:pPr>
              <w:pStyle w:val="6"/>
              <w:spacing w:before="177" w:line="219" w:lineRule="auto"/>
              <w:ind w:left="517"/>
            </w:pPr>
            <w:r>
              <w:rPr>
                <w:rFonts w:ascii="Times New Roman" w:hAnsi="Times New Roman" w:eastAsia="Times New Roman" w:cs="Times New Roman"/>
                <w:spacing w:val="-3"/>
              </w:rPr>
              <w:t>10</w:t>
            </w:r>
            <w:r>
              <w:rPr>
                <w:rFonts w:ascii="Times New Roman" w:hAnsi="Times New Roman" w:eastAsia="Times New Roman" w:cs="Times New Roman"/>
                <w:spacing w:val="-27"/>
              </w:rPr>
              <w:t xml:space="preserve"> </w:t>
            </w:r>
            <w:r>
              <w:rPr>
                <w:spacing w:val="-3"/>
              </w:rPr>
              <w:t>、项目临时用地占用基本农田的可行性分析</w:t>
            </w:r>
          </w:p>
          <w:p w14:paraId="1F5090EE">
            <w:pPr>
              <w:pStyle w:val="6"/>
              <w:spacing w:before="184" w:line="219" w:lineRule="auto"/>
              <w:ind w:left="510"/>
            </w:pPr>
            <w:r>
              <w:rPr>
                <w:spacing w:val="-3"/>
              </w:rPr>
              <w:t>（</w:t>
            </w:r>
            <w:r>
              <w:rPr>
                <w:rFonts w:ascii="Times New Roman" w:hAnsi="Times New Roman" w:eastAsia="Times New Roman" w:cs="Times New Roman"/>
                <w:spacing w:val="-3"/>
              </w:rPr>
              <w:t>1</w:t>
            </w:r>
            <w:r>
              <w:rPr>
                <w:spacing w:val="-3"/>
              </w:rPr>
              <w:t>）政策符合性分析</w:t>
            </w:r>
          </w:p>
          <w:p w14:paraId="0D39E7A7">
            <w:pPr>
              <w:pStyle w:val="6"/>
              <w:spacing w:before="185" w:line="354" w:lineRule="auto"/>
              <w:ind w:left="19" w:right="9" w:firstLine="479"/>
            </w:pPr>
            <w:r>
              <w:t>根据《自然资源部办公厅关于石油天然气用地政策的</w:t>
            </w:r>
            <w:r>
              <w:rPr>
                <w:spacing w:val="-1"/>
              </w:rPr>
              <w:t>复函》（自然</w:t>
            </w:r>
            <w:r>
              <w:t>资办〔</w:t>
            </w:r>
            <w:r>
              <w:rPr>
                <w:rFonts w:ascii="Times New Roman" w:hAnsi="Times New Roman" w:eastAsia="Times New Roman" w:cs="Times New Roman"/>
              </w:rPr>
              <w:t>2018</w:t>
            </w:r>
            <w:r>
              <w:t>〕</w:t>
            </w:r>
            <w:r>
              <w:rPr>
                <w:rFonts w:ascii="Times New Roman" w:hAnsi="Times New Roman" w:eastAsia="Times New Roman" w:cs="Times New Roman"/>
              </w:rPr>
              <w:t>1668</w:t>
            </w:r>
            <w:r>
              <w:t>号）中关于油气钻井及配套设施用地</w:t>
            </w:r>
            <w:r>
              <w:rPr>
                <w:spacing w:val="-1"/>
              </w:rPr>
              <w:t>手续办理问题的</w:t>
            </w:r>
            <w:r>
              <w:t>规定：石油、天然气、煤层气、页岩气、致密油、页岩</w:t>
            </w:r>
            <w:r>
              <w:rPr>
                <w:spacing w:val="-1"/>
              </w:rPr>
              <w:t>油、致密气等油</w:t>
            </w:r>
            <w:r>
              <w:t>气资源开发涉及的钻井及配套设施建设用地，可先由用</w:t>
            </w:r>
            <w:r>
              <w:rPr>
                <w:spacing w:val="-1"/>
              </w:rPr>
              <w:t>地所在县级以上</w:t>
            </w:r>
          </w:p>
        </w:tc>
      </w:tr>
    </w:tbl>
    <w:p w14:paraId="4AF077B3">
      <w:pPr>
        <w:rPr>
          <w:rFonts w:ascii="Arial"/>
          <w:sz w:val="21"/>
        </w:rPr>
      </w:pPr>
    </w:p>
    <w:p w14:paraId="2C0377D5">
      <w:pPr>
        <w:rPr>
          <w:rFonts w:ascii="Arial" w:hAnsi="Arial" w:eastAsia="Arial" w:cs="Arial"/>
          <w:sz w:val="21"/>
          <w:szCs w:val="21"/>
        </w:rPr>
        <w:sectPr>
          <w:footerReference r:id="rId18" w:type="default"/>
          <w:pgSz w:w="11906" w:h="16839"/>
          <w:pgMar w:top="400" w:right="1395" w:bottom="1240" w:left="1565" w:header="0" w:footer="1078" w:gutter="0"/>
          <w:cols w:space="720" w:num="1"/>
        </w:sectPr>
      </w:pPr>
    </w:p>
    <w:p w14:paraId="668625A7">
      <w:pPr>
        <w:spacing w:before="56"/>
      </w:pPr>
    </w:p>
    <w:p w14:paraId="4D4A0446">
      <w:pPr>
        <w:spacing w:before="56"/>
      </w:pPr>
    </w:p>
    <w:p w14:paraId="305A2AF9">
      <w:pPr>
        <w:spacing w:before="55"/>
      </w:pPr>
    </w:p>
    <w:p w14:paraId="610E310F">
      <w:pPr>
        <w:spacing w:before="55"/>
      </w:pPr>
    </w:p>
    <w:tbl>
      <w:tblPr>
        <w:tblStyle w:val="5"/>
        <w:tblW w:w="893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6"/>
        <w:gridCol w:w="7474"/>
      </w:tblGrid>
      <w:tr w14:paraId="4FB6DB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72" w:hRule="atLeast"/>
        </w:trPr>
        <w:tc>
          <w:tcPr>
            <w:tcW w:w="1456" w:type="dxa"/>
            <w:tcBorders>
              <w:right w:val="single" w:color="000000" w:sz="2" w:space="0"/>
            </w:tcBorders>
            <w:vAlign w:val="top"/>
          </w:tcPr>
          <w:p w14:paraId="2D734B1F">
            <w:pPr>
              <w:rPr>
                <w:rFonts w:ascii="Arial"/>
                <w:sz w:val="21"/>
              </w:rPr>
            </w:pPr>
          </w:p>
        </w:tc>
        <w:tc>
          <w:tcPr>
            <w:tcW w:w="7474" w:type="dxa"/>
            <w:tcBorders>
              <w:left w:val="single" w:color="000000" w:sz="2" w:space="0"/>
            </w:tcBorders>
            <w:vAlign w:val="top"/>
          </w:tcPr>
          <w:p w14:paraId="7BC81F8B">
            <w:pPr>
              <w:pStyle w:val="6"/>
              <w:spacing w:before="46" w:line="359" w:lineRule="auto"/>
              <w:ind w:left="19" w:right="9"/>
              <w:jc w:val="both"/>
            </w:pPr>
            <w:r>
              <w:t>人民政府自然资源主管部门按照有关法律法规的规定</w:t>
            </w:r>
            <w:r>
              <w:rPr>
                <w:spacing w:val="-1"/>
              </w:rPr>
              <w:t>以临时用地批准使</w:t>
            </w:r>
            <w:r>
              <w:t>用，办理有关手续。勘探结束转入生产的，办理建设用</w:t>
            </w:r>
            <w:r>
              <w:rPr>
                <w:spacing w:val="-1"/>
              </w:rPr>
              <w:t>地审批手续；不</w:t>
            </w:r>
            <w:r>
              <w:t>转入生产的，油气企业进行土地复垦后按期归还。每年</w:t>
            </w:r>
            <w:r>
              <w:rPr>
                <w:spacing w:val="-1"/>
              </w:rPr>
              <w:t>末，油气企业汇</w:t>
            </w:r>
            <w:r>
              <w:t>总本年度用地有关情况后，依照有关规定向用地所在县</w:t>
            </w:r>
            <w:r>
              <w:rPr>
                <w:spacing w:val="-1"/>
              </w:rPr>
              <w:t>级人民政府自然资源主管部门提出用地申请，办理建设用地审批手续。</w:t>
            </w:r>
          </w:p>
          <w:p w14:paraId="7338A27F">
            <w:pPr>
              <w:pStyle w:val="6"/>
              <w:spacing w:before="1" w:line="359" w:lineRule="auto"/>
              <w:ind w:left="18" w:firstLine="475"/>
              <w:jc w:val="both"/>
            </w:pPr>
            <w:r>
              <w:rPr>
                <w:spacing w:val="-3"/>
              </w:rPr>
              <w:t>根据《自然资源部、农业农村部关于加强和改进永久基本农田保护</w:t>
            </w:r>
            <w:r>
              <w:rPr>
                <w:spacing w:val="-6"/>
              </w:rPr>
              <w:t>工作的通知》（自然资规〔</w:t>
            </w:r>
            <w:r>
              <w:rPr>
                <w:rFonts w:ascii="Times New Roman" w:hAnsi="Times New Roman" w:eastAsia="Times New Roman" w:cs="Times New Roman"/>
                <w:spacing w:val="-6"/>
              </w:rPr>
              <w:t>2019</w:t>
            </w:r>
            <w:r>
              <w:rPr>
                <w:spacing w:val="-6"/>
              </w:rPr>
              <w:t>〕</w:t>
            </w:r>
            <w:r>
              <w:rPr>
                <w:rFonts w:ascii="Times New Roman" w:hAnsi="Times New Roman" w:eastAsia="Times New Roman" w:cs="Times New Roman"/>
                <w:spacing w:val="-6"/>
              </w:rPr>
              <w:t>1</w:t>
            </w:r>
            <w:r>
              <w:rPr>
                <w:spacing w:val="-6"/>
              </w:rPr>
              <w:t>号）要求</w:t>
            </w:r>
            <w:r>
              <w:rPr>
                <w:spacing w:val="-7"/>
              </w:rPr>
              <w:t>，</w:t>
            </w:r>
            <w:r>
              <w:rPr>
                <w:rFonts w:ascii="Times New Roman" w:hAnsi="Times New Roman" w:eastAsia="Times New Roman" w:cs="Times New Roman"/>
                <w:spacing w:val="-7"/>
              </w:rPr>
              <w:t>“</w:t>
            </w:r>
            <w:r>
              <w:rPr>
                <w:spacing w:val="-7"/>
              </w:rPr>
              <w:t>石油、天然气、页岩气、</w:t>
            </w:r>
            <w:r>
              <w:rPr>
                <w:spacing w:val="-3"/>
              </w:rPr>
              <w:t>煤层气等油气战略性矿产的地质勘查，经批准可临时占用永久基本农田布置探井。在试采和取得采矿权后转为开采井的，可直接依法办理农用地转用和土地征收审批手续，按规定补划永久基本农田</w:t>
            </w:r>
            <w:r>
              <w:rPr>
                <w:rFonts w:ascii="Times New Roman" w:hAnsi="Times New Roman" w:eastAsia="Times New Roman" w:cs="Times New Roman"/>
                <w:spacing w:val="-3"/>
              </w:rPr>
              <w:t>”</w:t>
            </w:r>
            <w:r>
              <w:rPr>
                <w:spacing w:val="-3"/>
              </w:rPr>
              <w:t>。</w:t>
            </w:r>
          </w:p>
          <w:p w14:paraId="5DE88A66">
            <w:pPr>
              <w:pStyle w:val="6"/>
              <w:spacing w:line="218" w:lineRule="auto"/>
              <w:ind w:left="510"/>
            </w:pPr>
            <w:r>
              <w:rPr>
                <w:spacing w:val="-2"/>
              </w:rPr>
              <w:t>（</w:t>
            </w:r>
            <w:r>
              <w:rPr>
                <w:rFonts w:ascii="Times New Roman" w:hAnsi="Times New Roman" w:eastAsia="Times New Roman" w:cs="Times New Roman"/>
                <w:spacing w:val="-2"/>
              </w:rPr>
              <w:t>2</w:t>
            </w:r>
            <w:r>
              <w:rPr>
                <w:spacing w:val="-2"/>
              </w:rPr>
              <w:t>）临时用地占用基本农田不可避让性分析</w:t>
            </w:r>
          </w:p>
          <w:p w14:paraId="5FDA1AE3">
            <w:pPr>
              <w:pStyle w:val="6"/>
              <w:spacing w:before="182" w:line="359" w:lineRule="auto"/>
              <w:ind w:left="18" w:right="12" w:firstLine="479"/>
            </w:pPr>
            <w:r>
              <w:t>勘探钻井井场占地需满足</w:t>
            </w:r>
            <w:r>
              <w:rPr>
                <w:rFonts w:ascii="Times New Roman" w:hAnsi="Times New Roman" w:eastAsia="Times New Roman" w:cs="Times New Roman"/>
              </w:rPr>
              <w:t>“</w:t>
            </w:r>
            <w:r>
              <w:t>地上服从地下</w:t>
            </w:r>
            <w:r>
              <w:rPr>
                <w:rFonts w:ascii="Times New Roman" w:hAnsi="Times New Roman" w:eastAsia="Times New Roman" w:cs="Times New Roman"/>
              </w:rPr>
              <w:t>”</w:t>
            </w:r>
            <w:r>
              <w:rPr>
                <w:rFonts w:ascii="Times New Roman" w:hAnsi="Times New Roman" w:eastAsia="Times New Roman" w:cs="Times New Roman"/>
                <w:spacing w:val="-30"/>
              </w:rPr>
              <w:t xml:space="preserve"> </w:t>
            </w:r>
            <w:r>
              <w:rPr>
                <w:spacing w:val="-1"/>
              </w:rPr>
              <w:t>的原则，只有地下有油，</w:t>
            </w:r>
            <w:r>
              <w:t>地上才占地钻探，河套盆地通过前期预探明确了临河</w:t>
            </w:r>
            <w:r>
              <w:rPr>
                <w:spacing w:val="-1"/>
              </w:rPr>
              <w:t>坳陷扎格构造是河套盆地石油地质条件较好的凹陷之一。</w:t>
            </w:r>
          </w:p>
          <w:p w14:paraId="0B769F89">
            <w:pPr>
              <w:pStyle w:val="6"/>
              <w:spacing w:line="359" w:lineRule="auto"/>
              <w:ind w:left="20" w:right="12" w:firstLine="480"/>
            </w:pPr>
            <w:r>
              <w:t>磴口县地处河套平原西部，土地利用现状主</w:t>
            </w:r>
            <w:r>
              <w:rPr>
                <w:spacing w:val="-1"/>
              </w:rPr>
              <w:t>要以耕地、建设用地为主，基本农田保护率较高，本项目周围村庄外围基本全部为基本农田。</w:t>
            </w:r>
          </w:p>
          <w:p w14:paraId="6C9E7872">
            <w:pPr>
              <w:pStyle w:val="6"/>
              <w:spacing w:before="1" w:line="359" w:lineRule="auto"/>
              <w:ind w:left="24" w:firstLine="471"/>
            </w:pPr>
            <w:r>
              <w:rPr>
                <w:spacing w:val="-2"/>
              </w:rPr>
              <w:t>石油勘探工作为</w:t>
            </w:r>
            <w:r>
              <w:rPr>
                <w:rFonts w:ascii="Times New Roman" w:hAnsi="Times New Roman" w:eastAsia="Times New Roman" w:cs="Times New Roman"/>
                <w:spacing w:val="-2"/>
              </w:rPr>
              <w:t>24</w:t>
            </w:r>
            <w:r>
              <w:rPr>
                <w:spacing w:val="-2"/>
              </w:rPr>
              <w:t>小时作业，为了降低对周边居民生产、生活的影响，选址尽量远离村庄居住区。根据实地踏勘，遵循</w:t>
            </w:r>
            <w:r>
              <w:rPr>
                <w:rFonts w:ascii="Times New Roman" w:hAnsi="Times New Roman" w:eastAsia="Times New Roman" w:cs="Times New Roman"/>
                <w:spacing w:val="-2"/>
              </w:rPr>
              <w:t>“</w:t>
            </w:r>
            <w:r>
              <w:rPr>
                <w:spacing w:val="-2"/>
              </w:rPr>
              <w:t>地上服从地</w:t>
            </w:r>
            <w:r>
              <w:rPr>
                <w:spacing w:val="-3"/>
              </w:rPr>
              <w:t>下</w:t>
            </w:r>
            <w:r>
              <w:rPr>
                <w:rFonts w:ascii="Times New Roman" w:hAnsi="Times New Roman" w:eastAsia="Times New Roman" w:cs="Times New Roman"/>
                <w:spacing w:val="-3"/>
              </w:rPr>
              <w:t>”</w:t>
            </w:r>
            <w:r>
              <w:rPr>
                <w:rFonts w:ascii="Times New Roman" w:hAnsi="Times New Roman" w:eastAsia="Times New Roman" w:cs="Times New Roman"/>
                <w:spacing w:val="-29"/>
              </w:rPr>
              <w:t xml:space="preserve"> </w:t>
            </w:r>
            <w:r>
              <w:rPr>
                <w:spacing w:val="-3"/>
              </w:rPr>
              <w:t>的</w:t>
            </w:r>
            <w:r>
              <w:rPr>
                <w:spacing w:val="-8"/>
              </w:rPr>
              <w:t>原则，该项目储油凹陷区上方均为基本农田，周围无可利用的建设用地，</w:t>
            </w:r>
            <w:r>
              <w:rPr>
                <w:spacing w:val="-3"/>
              </w:rPr>
              <w:t>因此占用基本农田不可避免。</w:t>
            </w:r>
          </w:p>
          <w:p w14:paraId="5A456243">
            <w:pPr>
              <w:pStyle w:val="6"/>
              <w:spacing w:before="1" w:line="218" w:lineRule="auto"/>
              <w:ind w:left="510"/>
            </w:pPr>
            <w:r>
              <w:rPr>
                <w:spacing w:val="-1"/>
              </w:rPr>
              <w:t>（</w:t>
            </w:r>
            <w:r>
              <w:rPr>
                <w:rFonts w:ascii="Times New Roman" w:hAnsi="Times New Roman" w:eastAsia="Times New Roman" w:cs="Times New Roman"/>
                <w:spacing w:val="-1"/>
              </w:rPr>
              <w:t>3</w:t>
            </w:r>
            <w:r>
              <w:rPr>
                <w:spacing w:val="-1"/>
              </w:rPr>
              <w:t>）临时用地占用基本农田的保护措施合理性分析</w:t>
            </w:r>
          </w:p>
          <w:p w14:paraId="26F94FC8">
            <w:pPr>
              <w:pStyle w:val="6"/>
              <w:spacing w:before="184" w:line="359" w:lineRule="auto"/>
              <w:ind w:left="17" w:right="68" w:firstLine="484"/>
            </w:pPr>
            <w:r>
              <w:rPr>
                <w:spacing w:val="-2"/>
              </w:rPr>
              <w:t>项目属于石油勘探钻井工程，选址受储油区</w:t>
            </w:r>
            <w:r>
              <w:rPr>
                <w:spacing w:val="-3"/>
              </w:rPr>
              <w:t>位置及地质条件影响，</w:t>
            </w:r>
            <w:r>
              <w:t>在充分考虑地形地貌条件、地质条件、探测要</w:t>
            </w:r>
            <w:r>
              <w:rPr>
                <w:spacing w:val="-1"/>
              </w:rPr>
              <w:t>求，最终确定该方案。</w:t>
            </w:r>
          </w:p>
          <w:p w14:paraId="0C7D355A">
            <w:pPr>
              <w:pStyle w:val="6"/>
              <w:spacing w:line="356" w:lineRule="auto"/>
              <w:ind w:left="17" w:right="9" w:firstLine="484"/>
              <w:jc w:val="both"/>
            </w:pPr>
            <w:r>
              <w:t>项目属于国家战略性（石油）矿产资源勘探</w:t>
            </w:r>
            <w:r>
              <w:rPr>
                <w:spacing w:val="-1"/>
              </w:rPr>
              <w:t>，为石油勘探过程的钻</w:t>
            </w:r>
            <w:r>
              <w:t>探、试采阶段，不涉及项目运营期。项目临时占地主要呈点</w:t>
            </w:r>
            <w:r>
              <w:rPr>
                <w:spacing w:val="-1"/>
              </w:rPr>
              <w:t>状分布，影</w:t>
            </w:r>
            <w:r>
              <w:t>响范围较小。建设过程中，勘探设备紧凑布局减少占地面积</w:t>
            </w:r>
            <w:r>
              <w:rPr>
                <w:spacing w:val="-1"/>
              </w:rPr>
              <w:t>，合理安排</w:t>
            </w:r>
            <w:r>
              <w:t>施工时序缩短施工时间，施工前进行表土剥离，不涉及地面</w:t>
            </w:r>
            <w:r>
              <w:rPr>
                <w:spacing w:val="-1"/>
              </w:rPr>
              <w:t>硬化。勘探</w:t>
            </w:r>
            <w:r>
              <w:t>结束后，若具有开采价值，则转为产能井（转为产能井的相</w:t>
            </w:r>
            <w:r>
              <w:rPr>
                <w:spacing w:val="-1"/>
              </w:rPr>
              <w:t>关工作内容等需另行设计和开展环境评价，并完善井场永久占地征地手续</w:t>
            </w:r>
            <w:r>
              <w:rPr>
                <w:spacing w:val="12"/>
              </w:rPr>
              <w:t>）；</w:t>
            </w:r>
            <w:r>
              <w:rPr>
                <w:spacing w:val="-1"/>
              </w:rPr>
              <w:t>若不</w:t>
            </w:r>
          </w:p>
        </w:tc>
      </w:tr>
    </w:tbl>
    <w:p w14:paraId="02859946">
      <w:pPr>
        <w:rPr>
          <w:rFonts w:ascii="Arial"/>
          <w:sz w:val="21"/>
        </w:rPr>
      </w:pPr>
    </w:p>
    <w:p w14:paraId="3051C8E8">
      <w:pPr>
        <w:rPr>
          <w:rFonts w:ascii="Arial" w:hAnsi="Arial" w:eastAsia="Arial" w:cs="Arial"/>
          <w:sz w:val="21"/>
          <w:szCs w:val="21"/>
        </w:rPr>
        <w:sectPr>
          <w:footerReference r:id="rId19" w:type="default"/>
          <w:pgSz w:w="11906" w:h="16839"/>
          <w:pgMar w:top="400" w:right="1395" w:bottom="1240" w:left="1565" w:header="0" w:footer="1078" w:gutter="0"/>
          <w:cols w:space="720" w:num="1"/>
        </w:sectPr>
      </w:pPr>
    </w:p>
    <w:p w14:paraId="5A0650D0">
      <w:pPr>
        <w:spacing w:before="56"/>
      </w:pPr>
    </w:p>
    <w:p w14:paraId="0E3DA048">
      <w:pPr>
        <w:spacing w:before="56"/>
      </w:pPr>
    </w:p>
    <w:p w14:paraId="46A6FA6E">
      <w:pPr>
        <w:spacing w:before="55"/>
      </w:pPr>
    </w:p>
    <w:p w14:paraId="744904A6">
      <w:pPr>
        <w:spacing w:before="55"/>
      </w:pPr>
    </w:p>
    <w:tbl>
      <w:tblPr>
        <w:tblStyle w:val="5"/>
        <w:tblW w:w="893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6"/>
        <w:gridCol w:w="7474"/>
      </w:tblGrid>
      <w:tr w14:paraId="6C58BD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72" w:hRule="atLeast"/>
        </w:trPr>
        <w:tc>
          <w:tcPr>
            <w:tcW w:w="1456" w:type="dxa"/>
            <w:tcBorders>
              <w:right w:val="single" w:color="000000" w:sz="2" w:space="0"/>
            </w:tcBorders>
            <w:vAlign w:val="top"/>
          </w:tcPr>
          <w:p w14:paraId="5671C8F7">
            <w:pPr>
              <w:rPr>
                <w:rFonts w:ascii="Arial"/>
                <w:sz w:val="21"/>
              </w:rPr>
            </w:pPr>
          </w:p>
        </w:tc>
        <w:tc>
          <w:tcPr>
            <w:tcW w:w="7474" w:type="dxa"/>
            <w:tcBorders>
              <w:left w:val="single" w:color="000000" w:sz="2" w:space="0"/>
            </w:tcBorders>
            <w:vAlign w:val="top"/>
          </w:tcPr>
          <w:p w14:paraId="2A8BDA4B">
            <w:pPr>
              <w:pStyle w:val="6"/>
              <w:spacing w:before="47" w:line="359" w:lineRule="auto"/>
              <w:ind w:left="20" w:right="9" w:firstLine="2"/>
              <w:jc w:val="both"/>
            </w:pPr>
            <w:r>
              <w:t>具备开采价值，则进行封井封场处理，采取减</w:t>
            </w:r>
            <w:r>
              <w:rPr>
                <w:spacing w:val="-1"/>
              </w:rPr>
              <w:t>缓生态环境影响措施，对</w:t>
            </w:r>
            <w:r>
              <w:t>用地范围内进行地表清理、表土回覆、翻耕等有效措</w:t>
            </w:r>
            <w:r>
              <w:rPr>
                <w:spacing w:val="-1"/>
              </w:rPr>
              <w:t>施，在临时用地使</w:t>
            </w:r>
            <w:r>
              <w:rPr>
                <w:spacing w:val="-4"/>
              </w:rPr>
              <w:t>用期满后</w:t>
            </w:r>
            <w:r>
              <w:rPr>
                <w:rFonts w:ascii="Times New Roman" w:hAnsi="Times New Roman" w:eastAsia="Times New Roman" w:cs="Times New Roman"/>
                <w:spacing w:val="-4"/>
              </w:rPr>
              <w:t>1</w:t>
            </w:r>
            <w:r>
              <w:rPr>
                <w:spacing w:val="-4"/>
              </w:rPr>
              <w:t>年内完成复垦并申请验收。在严格落实防治措施的前提下，项</w:t>
            </w:r>
            <w:r>
              <w:rPr>
                <w:spacing w:val="-1"/>
              </w:rPr>
              <w:t>目施工不会对区域生态环境造成影响。</w:t>
            </w:r>
          </w:p>
          <w:p w14:paraId="5ECF408D">
            <w:pPr>
              <w:pStyle w:val="6"/>
              <w:spacing w:line="218" w:lineRule="auto"/>
              <w:ind w:left="510"/>
            </w:pPr>
            <w:r>
              <w:rPr>
                <w:spacing w:val="-2"/>
              </w:rPr>
              <w:t>（</w:t>
            </w:r>
            <w:r>
              <w:rPr>
                <w:rFonts w:ascii="Times New Roman" w:hAnsi="Times New Roman" w:eastAsia="Times New Roman" w:cs="Times New Roman"/>
                <w:spacing w:val="-2"/>
              </w:rPr>
              <w:t>4</w:t>
            </w:r>
            <w:r>
              <w:rPr>
                <w:spacing w:val="-2"/>
              </w:rPr>
              <w:t>）临时用地恢复为基本农田的可行性分析</w:t>
            </w:r>
          </w:p>
          <w:p w14:paraId="5AF341D5">
            <w:pPr>
              <w:pStyle w:val="6"/>
              <w:spacing w:before="183" w:line="359" w:lineRule="auto"/>
              <w:ind w:left="18" w:right="9" w:firstLine="483"/>
            </w:pPr>
            <w:r>
              <w:t>项目临时用地过程中，不涉及永久性建筑物</w:t>
            </w:r>
            <w:r>
              <w:rPr>
                <w:spacing w:val="-1"/>
              </w:rPr>
              <w:t>、不涉及地面硬化，只</w:t>
            </w:r>
            <w:r>
              <w:t>涉及钻机设备压占。损毁类型为挖损、压占，损毁程度为</w:t>
            </w:r>
            <w:r>
              <w:rPr>
                <w:spacing w:val="-1"/>
              </w:rPr>
              <w:t>中度和轻度，</w:t>
            </w:r>
            <w:r>
              <w:t>土地复垦可行。施工前首先确保钻台、材料堆放区、施工</w:t>
            </w:r>
            <w:r>
              <w:rPr>
                <w:spacing w:val="-1"/>
              </w:rPr>
              <w:t>生产区表土剥</w:t>
            </w:r>
            <w:r>
              <w:t>离，施工完成后采取地表清理、表土回覆、平整、翻耕等</w:t>
            </w:r>
            <w:r>
              <w:rPr>
                <w:spacing w:val="-1"/>
              </w:rPr>
              <w:t>有效措施对占</w:t>
            </w:r>
            <w:r>
              <w:t>用的基本农田及时复垦，不会对区域生态环境造成不良影</w:t>
            </w:r>
            <w:r>
              <w:rPr>
                <w:spacing w:val="-1"/>
              </w:rPr>
              <w:t>响。复垦过程</w:t>
            </w:r>
            <w:r>
              <w:t>中从组织保障、费用保障、监管保障、技术保障等方面严</w:t>
            </w:r>
            <w:r>
              <w:rPr>
                <w:spacing w:val="-1"/>
              </w:rPr>
              <w:t>格落实各项土</w:t>
            </w:r>
            <w:r>
              <w:t>地复垦措施。中国石油天然气股份有限公司华北油田巴彦</w:t>
            </w:r>
            <w:r>
              <w:rPr>
                <w:spacing w:val="-1"/>
              </w:rPr>
              <w:t>勘探开发分公</w:t>
            </w:r>
            <w:r>
              <w:t>司已与相关部门建立共管账户，按时缴纳复垦费用，确保</w:t>
            </w:r>
            <w:r>
              <w:rPr>
                <w:spacing w:val="-1"/>
              </w:rPr>
              <w:t>复垦资金足额到位、安全有效、专款专用，保障土地复垦工作顺利进行。</w:t>
            </w:r>
          </w:p>
          <w:p w14:paraId="6C838959">
            <w:pPr>
              <w:pStyle w:val="6"/>
              <w:spacing w:before="1" w:line="359" w:lineRule="auto"/>
              <w:ind w:left="19" w:right="12" w:firstLine="474"/>
              <w:jc w:val="both"/>
            </w:pPr>
            <w:r>
              <w:rPr>
                <w:rFonts w:ascii="Times New Roman" w:hAnsi="Times New Roman" w:eastAsia="Times New Roman" w:cs="Times New Roman"/>
                <w:spacing w:val="-2"/>
              </w:rPr>
              <w:t xml:space="preserve">2026 </w:t>
            </w:r>
            <w:r>
              <w:rPr>
                <w:spacing w:val="-2"/>
              </w:rPr>
              <w:t>年</w:t>
            </w:r>
            <w:r>
              <w:rPr>
                <w:spacing w:val="-44"/>
              </w:rPr>
              <w:t xml:space="preserve"> </w:t>
            </w:r>
            <w:r>
              <w:rPr>
                <w:rFonts w:ascii="Times New Roman" w:hAnsi="Times New Roman" w:eastAsia="Times New Roman" w:cs="Times New Roman"/>
                <w:spacing w:val="-2"/>
              </w:rPr>
              <w:t>5</w:t>
            </w:r>
            <w:r>
              <w:rPr>
                <w:rFonts w:ascii="Times New Roman" w:hAnsi="Times New Roman" w:eastAsia="Times New Roman" w:cs="Times New Roman"/>
                <w:spacing w:val="17"/>
                <w:w w:val="101"/>
              </w:rPr>
              <w:t xml:space="preserve"> </w:t>
            </w:r>
            <w:r>
              <w:rPr>
                <w:spacing w:val="-2"/>
              </w:rPr>
              <w:t>月</w:t>
            </w:r>
            <w:r>
              <w:rPr>
                <w:spacing w:val="-30"/>
              </w:rPr>
              <w:t xml:space="preserve"> </w:t>
            </w:r>
            <w:r>
              <w:rPr>
                <w:rFonts w:ascii="Times New Roman" w:hAnsi="Times New Roman" w:eastAsia="Times New Roman" w:cs="Times New Roman"/>
                <w:spacing w:val="-2"/>
              </w:rPr>
              <w:t xml:space="preserve">19  </w:t>
            </w:r>
            <w:r>
              <w:rPr>
                <w:spacing w:val="-2"/>
              </w:rPr>
              <w:t>日巴彦淖尔市自然资源局出具“关于中国石油天然</w:t>
            </w:r>
            <w:r>
              <w:rPr>
                <w:spacing w:val="1"/>
              </w:rPr>
              <w:t>气股份有限公司华北油田巴彦勘探开发分公司扎格</w:t>
            </w:r>
            <w:r>
              <w:rPr>
                <w:spacing w:val="-35"/>
              </w:rPr>
              <w:t xml:space="preserve"> </w:t>
            </w:r>
            <w:r>
              <w:rPr>
                <w:rFonts w:ascii="Times New Roman" w:hAnsi="Times New Roman" w:eastAsia="Times New Roman" w:cs="Times New Roman"/>
                <w:spacing w:val="1"/>
              </w:rPr>
              <w:t xml:space="preserve">9X </w:t>
            </w:r>
            <w:r>
              <w:rPr>
                <w:spacing w:val="1"/>
              </w:rPr>
              <w:t>井油气勘探开发</w:t>
            </w:r>
            <w:r>
              <w:rPr>
                <w:spacing w:val="-3"/>
              </w:rPr>
              <w:t>项目临时用地的批复</w:t>
            </w:r>
            <w:r>
              <w:rPr>
                <w:spacing w:val="-75"/>
              </w:rPr>
              <w:t xml:space="preserve"> </w:t>
            </w:r>
            <w:r>
              <w:rPr>
                <w:spacing w:val="-3"/>
              </w:rPr>
              <w:t>”同意临时用地申请。</w:t>
            </w:r>
          </w:p>
          <w:p w14:paraId="20C4D1D9">
            <w:pPr>
              <w:pStyle w:val="6"/>
              <w:spacing w:before="3" w:line="358" w:lineRule="auto"/>
              <w:ind w:left="19" w:right="9" w:firstLine="482"/>
              <w:jc w:val="both"/>
            </w:pPr>
            <w:r>
              <w:t>项目完成后，若无工业油流则永久封井并恢</w:t>
            </w:r>
            <w:r>
              <w:rPr>
                <w:spacing w:val="-1"/>
              </w:rPr>
              <w:t>复原地貌；若发现工业</w:t>
            </w:r>
            <w:r>
              <w:t>油流，则按程序办理农用地转用和土地征收审批手续后</w:t>
            </w:r>
            <w:r>
              <w:rPr>
                <w:spacing w:val="-1"/>
              </w:rPr>
              <w:t>，依法实施后续开采。项目不涉及后续开发。</w:t>
            </w:r>
          </w:p>
          <w:p w14:paraId="7DFC28E5">
            <w:pPr>
              <w:pStyle w:val="6"/>
              <w:spacing w:line="219" w:lineRule="auto"/>
              <w:ind w:left="517"/>
            </w:pPr>
            <w:r>
              <w:rPr>
                <w:rFonts w:ascii="Times New Roman" w:hAnsi="Times New Roman" w:eastAsia="Times New Roman" w:cs="Times New Roman"/>
                <w:spacing w:val="-4"/>
              </w:rPr>
              <w:t>11</w:t>
            </w:r>
            <w:r>
              <w:rPr>
                <w:rFonts w:ascii="Times New Roman" w:hAnsi="Times New Roman" w:eastAsia="Times New Roman" w:cs="Times New Roman"/>
                <w:spacing w:val="-26"/>
              </w:rPr>
              <w:t xml:space="preserve"> </w:t>
            </w:r>
            <w:r>
              <w:rPr>
                <w:spacing w:val="-4"/>
              </w:rPr>
              <w:t>、生态环境分区管控符合性分析</w:t>
            </w:r>
          </w:p>
          <w:p w14:paraId="74459BF3">
            <w:pPr>
              <w:pStyle w:val="6"/>
              <w:spacing w:before="183" w:line="359" w:lineRule="auto"/>
              <w:ind w:left="21" w:firstLine="472"/>
            </w:pPr>
            <w:r>
              <w:rPr>
                <w:spacing w:val="-2"/>
              </w:rPr>
              <w:t>根据《巴彦淖尔市人民政府办公室关于巴彦淖尔市</w:t>
            </w:r>
            <w:r>
              <w:rPr>
                <w:rFonts w:ascii="Times New Roman" w:hAnsi="Times New Roman" w:eastAsia="Times New Roman" w:cs="Times New Roman"/>
                <w:spacing w:val="-2"/>
              </w:rPr>
              <w:t>20</w:t>
            </w:r>
            <w:r>
              <w:rPr>
                <w:rFonts w:ascii="Times New Roman" w:hAnsi="Times New Roman" w:eastAsia="Times New Roman" w:cs="Times New Roman"/>
                <w:spacing w:val="-3"/>
              </w:rPr>
              <w:t>23</w:t>
            </w:r>
            <w:r>
              <w:rPr>
                <w:spacing w:val="-3"/>
              </w:rPr>
              <w:t>年生态环境</w:t>
            </w:r>
            <w:r>
              <w:rPr>
                <w:spacing w:val="-6"/>
              </w:rPr>
              <w:t>分区管控成果动态更新的通知》（巴政办字〔</w:t>
            </w:r>
            <w:r>
              <w:rPr>
                <w:rFonts w:ascii="Times New Roman" w:hAnsi="Times New Roman" w:eastAsia="Times New Roman" w:cs="Times New Roman"/>
                <w:spacing w:val="-6"/>
              </w:rPr>
              <w:t>2023</w:t>
            </w:r>
            <w:r>
              <w:rPr>
                <w:spacing w:val="-6"/>
              </w:rPr>
              <w:t>〕</w:t>
            </w:r>
            <w:r>
              <w:rPr>
                <w:rFonts w:ascii="Times New Roman" w:hAnsi="Times New Roman" w:eastAsia="Times New Roman" w:cs="Times New Roman"/>
                <w:spacing w:val="-6"/>
              </w:rPr>
              <w:t>106</w:t>
            </w:r>
            <w:r>
              <w:rPr>
                <w:spacing w:val="-6"/>
              </w:rPr>
              <w:t>号</w:t>
            </w:r>
            <w:r>
              <w:rPr>
                <w:spacing w:val="1"/>
              </w:rPr>
              <w:t>），</w:t>
            </w:r>
            <w:r>
              <w:rPr>
                <w:spacing w:val="-6"/>
              </w:rPr>
              <w:t>巴彦淖尔</w:t>
            </w:r>
            <w:r>
              <w:rPr>
                <w:spacing w:val="-4"/>
              </w:rPr>
              <w:t>市全市共划定环境管控单元</w:t>
            </w:r>
            <w:r>
              <w:rPr>
                <w:rFonts w:ascii="Times New Roman" w:hAnsi="Times New Roman" w:eastAsia="Times New Roman" w:cs="Times New Roman"/>
                <w:spacing w:val="-4"/>
              </w:rPr>
              <w:t>256</w:t>
            </w:r>
            <w:r>
              <w:rPr>
                <w:spacing w:val="-4"/>
              </w:rPr>
              <w:t>个，包括优先保护单元、重点管控单元、</w:t>
            </w:r>
            <w:r>
              <w:rPr>
                <w:spacing w:val="-3"/>
              </w:rPr>
              <w:t>一般管控单元三类，实施分类管控。</w:t>
            </w:r>
          </w:p>
          <w:p w14:paraId="47706AA1">
            <w:pPr>
              <w:pStyle w:val="6"/>
              <w:spacing w:before="3" w:line="354" w:lineRule="auto"/>
              <w:ind w:left="19" w:firstLine="474"/>
              <w:jc w:val="both"/>
            </w:pPr>
            <w:r>
              <w:rPr>
                <w:spacing w:val="-5"/>
              </w:rPr>
              <w:t>优先保护单元。共</w:t>
            </w:r>
            <w:r>
              <w:rPr>
                <w:rFonts w:ascii="Times New Roman" w:hAnsi="Times New Roman" w:eastAsia="Times New Roman" w:cs="Times New Roman"/>
                <w:spacing w:val="-5"/>
              </w:rPr>
              <w:t>145</w:t>
            </w:r>
            <w:r>
              <w:rPr>
                <w:spacing w:val="-5"/>
              </w:rPr>
              <w:t>个，面积为</w:t>
            </w:r>
            <w:r>
              <w:rPr>
                <w:rFonts w:ascii="Times New Roman" w:hAnsi="Times New Roman" w:eastAsia="Times New Roman" w:cs="Times New Roman"/>
                <w:spacing w:val="-5"/>
              </w:rPr>
              <w:t>42386.65km</w:t>
            </w:r>
            <w:r>
              <w:rPr>
                <w:rFonts w:ascii="Times New Roman" w:hAnsi="Times New Roman" w:eastAsia="Times New Roman" w:cs="Times New Roman"/>
                <w:spacing w:val="-6"/>
                <w:position w:val="8"/>
                <w:sz w:val="15"/>
                <w:szCs w:val="15"/>
              </w:rPr>
              <w:t>2</w:t>
            </w:r>
            <w:r>
              <w:rPr>
                <w:spacing w:val="-6"/>
              </w:rPr>
              <w:t>，面积占比为</w:t>
            </w:r>
            <w:r>
              <w:rPr>
                <w:rFonts w:ascii="Times New Roman" w:hAnsi="Times New Roman" w:eastAsia="Times New Roman" w:cs="Times New Roman"/>
                <w:spacing w:val="-6"/>
              </w:rPr>
              <w:t>65.07%</w:t>
            </w:r>
            <w:r>
              <w:rPr>
                <w:spacing w:val="-6"/>
              </w:rPr>
              <w:t>，</w:t>
            </w:r>
            <w:r>
              <w:rPr>
                <w:spacing w:val="-2"/>
              </w:rPr>
              <w:t>主要包括生态保护红线、自然保护地、集中式饮用水水源保护区等生态功能重要区和生态环境敏感区。该区域以生态环境保护优先为原则，依法禁止或限制大规模、高强度的工业开发和城镇建设，确保生态环境功</w:t>
            </w:r>
          </w:p>
        </w:tc>
      </w:tr>
    </w:tbl>
    <w:p w14:paraId="049B8FA5">
      <w:pPr>
        <w:rPr>
          <w:rFonts w:ascii="Arial"/>
          <w:sz w:val="21"/>
        </w:rPr>
      </w:pPr>
    </w:p>
    <w:p w14:paraId="64BA495D">
      <w:pPr>
        <w:rPr>
          <w:rFonts w:ascii="Arial" w:hAnsi="Arial" w:eastAsia="Arial" w:cs="Arial"/>
          <w:sz w:val="21"/>
          <w:szCs w:val="21"/>
        </w:rPr>
        <w:sectPr>
          <w:footerReference r:id="rId20" w:type="default"/>
          <w:pgSz w:w="11906" w:h="16839"/>
          <w:pgMar w:top="400" w:right="1395" w:bottom="1240" w:left="1565" w:header="0" w:footer="1078" w:gutter="0"/>
          <w:cols w:space="720" w:num="1"/>
        </w:sectPr>
      </w:pPr>
    </w:p>
    <w:p w14:paraId="4E89A939">
      <w:pPr>
        <w:spacing w:before="56"/>
      </w:pPr>
    </w:p>
    <w:p w14:paraId="1448DC1B">
      <w:pPr>
        <w:spacing w:before="56"/>
      </w:pPr>
    </w:p>
    <w:p w14:paraId="5E9AD2BB">
      <w:pPr>
        <w:spacing w:before="55"/>
      </w:pPr>
    </w:p>
    <w:p w14:paraId="1813ABB5">
      <w:pPr>
        <w:spacing w:before="55"/>
      </w:pPr>
    </w:p>
    <w:tbl>
      <w:tblPr>
        <w:tblStyle w:val="5"/>
        <w:tblW w:w="893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6"/>
        <w:gridCol w:w="7474"/>
      </w:tblGrid>
      <w:tr w14:paraId="6767AB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819" w:hRule="atLeast"/>
        </w:trPr>
        <w:tc>
          <w:tcPr>
            <w:tcW w:w="1456" w:type="dxa"/>
            <w:tcBorders>
              <w:right w:val="single" w:color="000000" w:sz="2" w:space="0"/>
            </w:tcBorders>
            <w:vAlign w:val="top"/>
          </w:tcPr>
          <w:p w14:paraId="1BE84028">
            <w:pPr>
              <w:rPr>
                <w:rFonts w:ascii="Arial"/>
                <w:sz w:val="21"/>
              </w:rPr>
            </w:pPr>
          </w:p>
        </w:tc>
        <w:tc>
          <w:tcPr>
            <w:tcW w:w="7474" w:type="dxa"/>
            <w:tcBorders>
              <w:left w:val="single" w:color="000000" w:sz="2" w:space="0"/>
            </w:tcBorders>
            <w:vAlign w:val="top"/>
          </w:tcPr>
          <w:p w14:paraId="6C1DC01F">
            <w:pPr>
              <w:pStyle w:val="6"/>
              <w:spacing w:before="47" w:line="219" w:lineRule="auto"/>
              <w:ind w:left="28"/>
            </w:pPr>
            <w:r>
              <w:rPr>
                <w:spacing w:val="-4"/>
              </w:rPr>
              <w:t>能不降低。</w:t>
            </w:r>
          </w:p>
          <w:p w14:paraId="2F78A1F3">
            <w:pPr>
              <w:pStyle w:val="6"/>
              <w:spacing w:before="182" w:line="359" w:lineRule="auto"/>
              <w:ind w:left="18" w:firstLine="477"/>
              <w:jc w:val="both"/>
            </w:pPr>
            <w:r>
              <w:rPr>
                <w:spacing w:val="-5"/>
              </w:rPr>
              <w:t>重点管控单元。共</w:t>
            </w:r>
            <w:r>
              <w:rPr>
                <w:rFonts w:ascii="Times New Roman" w:hAnsi="Times New Roman" w:eastAsia="Times New Roman" w:cs="Times New Roman"/>
                <w:spacing w:val="-5"/>
              </w:rPr>
              <w:t>110</w:t>
            </w:r>
            <w:r>
              <w:rPr>
                <w:spacing w:val="-5"/>
              </w:rPr>
              <w:t>个，面积为</w:t>
            </w:r>
            <w:r>
              <w:rPr>
                <w:rFonts w:ascii="Times New Roman" w:hAnsi="Times New Roman" w:eastAsia="Times New Roman" w:cs="Times New Roman"/>
                <w:spacing w:val="-5"/>
              </w:rPr>
              <w:t>22746.59</w:t>
            </w:r>
            <w:r>
              <w:rPr>
                <w:rFonts w:ascii="Times New Roman" w:hAnsi="Times New Roman" w:eastAsia="Times New Roman" w:cs="Times New Roman"/>
                <w:spacing w:val="-6"/>
              </w:rPr>
              <w:t>km</w:t>
            </w:r>
            <w:r>
              <w:rPr>
                <w:rFonts w:ascii="Times New Roman" w:hAnsi="Times New Roman" w:eastAsia="Times New Roman" w:cs="Times New Roman"/>
                <w:spacing w:val="-6"/>
                <w:position w:val="8"/>
                <w:sz w:val="15"/>
                <w:szCs w:val="15"/>
              </w:rPr>
              <w:t>2</w:t>
            </w:r>
            <w:r>
              <w:rPr>
                <w:spacing w:val="-6"/>
              </w:rPr>
              <w:t>，面积占比为</w:t>
            </w:r>
            <w:r>
              <w:rPr>
                <w:rFonts w:ascii="Times New Roman" w:hAnsi="Times New Roman" w:eastAsia="Times New Roman" w:cs="Times New Roman"/>
                <w:spacing w:val="-6"/>
              </w:rPr>
              <w:t>34.92%</w:t>
            </w:r>
            <w:r>
              <w:rPr>
                <w:spacing w:val="-6"/>
              </w:rPr>
              <w:t>，</w:t>
            </w:r>
            <w:r>
              <w:rPr>
                <w:spacing w:val="-2"/>
              </w:rPr>
              <w:t>主要包括工业园区、城市、矿区等开发强度高、污染排放量大、环境问题相对集中的区域，以及生态需水补给区等。该区域应不断提升资源利用效率，有针对性地加强污染物排放控制和环境风险防控，解决生态环</w:t>
            </w:r>
            <w:r>
              <w:rPr>
                <w:spacing w:val="-3"/>
              </w:rPr>
              <w:t>境质量不达标、生态环境风险高等问题。</w:t>
            </w:r>
          </w:p>
          <w:p w14:paraId="440397C5">
            <w:pPr>
              <w:pStyle w:val="6"/>
              <w:spacing w:before="2" w:line="349" w:lineRule="auto"/>
              <w:ind w:left="19" w:right="9" w:firstLine="482"/>
              <w:jc w:val="both"/>
            </w:pPr>
            <w:r>
              <w:rPr>
                <w:spacing w:val="-3"/>
              </w:rPr>
              <w:t>一般管控单元。共</w:t>
            </w:r>
            <w:r>
              <w:rPr>
                <w:rFonts w:ascii="Times New Roman" w:hAnsi="Times New Roman" w:eastAsia="Times New Roman" w:cs="Times New Roman"/>
                <w:spacing w:val="-3"/>
              </w:rPr>
              <w:t>1</w:t>
            </w:r>
            <w:r>
              <w:rPr>
                <w:spacing w:val="-3"/>
              </w:rPr>
              <w:t>个，面积为</w:t>
            </w:r>
            <w:r>
              <w:rPr>
                <w:rFonts w:ascii="Times New Roman" w:hAnsi="Times New Roman" w:eastAsia="Times New Roman" w:cs="Times New Roman"/>
                <w:spacing w:val="-3"/>
              </w:rPr>
              <w:t>6.84km</w:t>
            </w:r>
            <w:r>
              <w:rPr>
                <w:rFonts w:ascii="Times New Roman" w:hAnsi="Times New Roman" w:eastAsia="Times New Roman" w:cs="Times New Roman"/>
                <w:spacing w:val="-3"/>
                <w:position w:val="8"/>
                <w:sz w:val="15"/>
                <w:szCs w:val="15"/>
              </w:rPr>
              <w:t>2</w:t>
            </w:r>
            <w:r>
              <w:rPr>
                <w:spacing w:val="-3"/>
              </w:rPr>
              <w:t>，面积占比为</w:t>
            </w:r>
            <w:r>
              <w:rPr>
                <w:rFonts w:ascii="Times New Roman" w:hAnsi="Times New Roman" w:eastAsia="Times New Roman" w:cs="Times New Roman"/>
                <w:spacing w:val="-3"/>
              </w:rPr>
              <w:t>0.01%</w:t>
            </w:r>
            <w:r>
              <w:rPr>
                <w:spacing w:val="-4"/>
              </w:rPr>
              <w:t>，优先保</w:t>
            </w:r>
            <w:r>
              <w:t>护单元、重点管控单元之外为一般管控单元。该区域主</w:t>
            </w:r>
            <w:r>
              <w:rPr>
                <w:spacing w:val="-1"/>
              </w:rPr>
              <w:t>要落实生态环境</w:t>
            </w:r>
            <w:r>
              <w:rPr>
                <w:spacing w:val="-2"/>
              </w:rPr>
              <w:t>保护基本要求。</w:t>
            </w:r>
          </w:p>
          <w:p w14:paraId="3AC62FB4">
            <w:pPr>
              <w:pStyle w:val="6"/>
              <w:spacing w:line="3172" w:lineRule="exact"/>
              <w:ind w:firstLine="404"/>
            </w:pPr>
            <w:r>
              <w:rPr>
                <w:position w:val="-63"/>
              </w:rPr>
              <w:pict>
                <v:group id="_x0000_s1026" o:spid="_x0000_s1026" o:spt="203" style="height:158.65pt;width:332.8pt;" coordsize="6655,3172">
                  <o:lock v:ext="edit"/>
                  <v:shape id="_x0000_s1027" o:spid="_x0000_s1027" o:spt="75" type="#_x0000_t75" style="position:absolute;left:0;top:0;height:3172;width:6655;" filled="f" stroked="f" coordsize="21600,21600">
                    <v:path/>
                    <v:fill on="f" focussize="0,0"/>
                    <v:stroke on="f"/>
                    <v:imagedata r:id="rId177" o:title=""/>
                    <o:lock v:ext="edit" aspectratio="t"/>
                  </v:shape>
                  <v:shape id="_x0000_s1028" o:spid="_x0000_s1028" o:spt="202" type="#_x0000_t202" style="position:absolute;left:1711;top:1576;height:248;width:871;" filled="f" stroked="f" coordsize="21600,21600">
                    <v:path/>
                    <v:fill on="f" focussize="0,0"/>
                    <v:stroke on="f"/>
                    <v:imagedata o:title=""/>
                    <o:lock v:ext="edit" aspectratio="f"/>
                    <v:textbox inset="0mm,0mm,0mm,0mm">
                      <w:txbxContent>
                        <w:p w14:paraId="5F967114">
                          <w:pPr>
                            <w:spacing w:before="20" w:line="228" w:lineRule="auto"/>
                            <w:ind w:left="20"/>
                            <w:rPr>
                              <w:rFonts w:ascii="宋体" w:hAnsi="宋体" w:eastAsia="宋体" w:cs="宋体"/>
                              <w:sz w:val="20"/>
                              <w:szCs w:val="20"/>
                            </w:rPr>
                          </w:pPr>
                          <w:r>
                            <w:rPr>
                              <w:rFonts w:ascii="宋体" w:hAnsi="宋体" w:eastAsia="宋体" w:cs="宋体"/>
                              <w:b/>
                              <w:bCs/>
                              <w:color w:val="FF0000"/>
                              <w:spacing w:val="5"/>
                              <w:sz w:val="20"/>
                              <w:szCs w:val="20"/>
                            </w:rPr>
                            <w:t>项目位置</w:t>
                          </w:r>
                        </w:p>
                      </w:txbxContent>
                    </v:textbox>
                  </v:shape>
                  <w10:wrap type="none"/>
                  <w10:anchorlock/>
                </v:group>
              </w:pict>
            </w:r>
          </w:p>
          <w:p w14:paraId="1921552C">
            <w:pPr>
              <w:spacing w:before="36" w:line="220" w:lineRule="auto"/>
              <w:ind w:left="1703"/>
              <w:rPr>
                <w:rFonts w:ascii="黑体" w:hAnsi="黑体" w:eastAsia="黑体" w:cs="黑体"/>
                <w:sz w:val="24"/>
                <w:szCs w:val="24"/>
              </w:rPr>
            </w:pPr>
            <w:r>
              <w:rPr>
                <w:rFonts w:ascii="黑体" w:hAnsi="黑体" w:eastAsia="黑体" w:cs="黑体"/>
                <w:spacing w:val="-3"/>
                <w:sz w:val="24"/>
                <w:szCs w:val="24"/>
              </w:rPr>
              <w:t>图</w:t>
            </w:r>
            <w:r>
              <w:rPr>
                <w:rFonts w:ascii="黑体" w:hAnsi="黑体" w:eastAsia="黑体" w:cs="黑体"/>
                <w:spacing w:val="-26"/>
                <w:sz w:val="24"/>
                <w:szCs w:val="24"/>
              </w:rPr>
              <w:t xml:space="preserve"> </w:t>
            </w:r>
            <w:r>
              <w:rPr>
                <w:rFonts w:ascii="Times New Roman" w:hAnsi="Times New Roman" w:eastAsia="Times New Roman" w:cs="Times New Roman"/>
                <w:spacing w:val="-3"/>
                <w:sz w:val="24"/>
                <w:szCs w:val="24"/>
              </w:rPr>
              <w:t xml:space="preserve">1-2  </w:t>
            </w:r>
            <w:r>
              <w:rPr>
                <w:rFonts w:ascii="黑体" w:hAnsi="黑体" w:eastAsia="黑体" w:cs="黑体"/>
                <w:spacing w:val="-3"/>
                <w:sz w:val="24"/>
                <w:szCs w:val="24"/>
              </w:rPr>
              <w:t>项目生态环境分区管控查询截图</w:t>
            </w:r>
          </w:p>
          <w:p w14:paraId="7C756641">
            <w:pPr>
              <w:pStyle w:val="6"/>
              <w:spacing w:before="180" w:line="359" w:lineRule="auto"/>
              <w:ind w:left="19" w:firstLine="477"/>
              <w:jc w:val="both"/>
            </w:pPr>
            <w:r>
              <w:rPr>
                <w:spacing w:val="-8"/>
              </w:rPr>
              <w:t>经查询，项目位于隆盛合镇油田勘查用地及采矿用地重点管控单元，</w:t>
            </w:r>
            <w:r>
              <w:rPr>
                <w:spacing w:val="-2"/>
              </w:rPr>
              <w:t>该区域应不断提升资源利用效率，有针对性地加强污染物排放控制和环境风险防控，解决生态环境质量不达标、生态环境风险高等问题。</w:t>
            </w:r>
          </w:p>
          <w:p w14:paraId="533EAB12">
            <w:pPr>
              <w:pStyle w:val="6"/>
              <w:spacing w:before="2" w:line="359" w:lineRule="auto"/>
              <w:ind w:left="17" w:right="9" w:firstLine="484"/>
            </w:pPr>
            <w:r>
              <w:t>项目属于石油资源勘探工程，不属于大规模</w:t>
            </w:r>
            <w:r>
              <w:rPr>
                <w:spacing w:val="-1"/>
              </w:rPr>
              <w:t>、高强度的工业开发，</w:t>
            </w:r>
            <w:r>
              <w:t>勘探施工期产生的废气、废水、固废等均能合理处置及利用</w:t>
            </w:r>
            <w:r>
              <w:rPr>
                <w:spacing w:val="-1"/>
              </w:rPr>
              <w:t>，不会对区域生态环境产生影响，符合重点管控单元的相关要求。</w:t>
            </w:r>
          </w:p>
          <w:p w14:paraId="137347E1">
            <w:pPr>
              <w:pStyle w:val="6"/>
              <w:spacing w:line="217" w:lineRule="auto"/>
              <w:ind w:left="497"/>
            </w:pPr>
            <w:r>
              <w:rPr>
                <w:spacing w:val="-2"/>
              </w:rPr>
              <w:t>①生态保护红线</w:t>
            </w:r>
          </w:p>
          <w:p w14:paraId="787FDF15">
            <w:pPr>
              <w:pStyle w:val="6"/>
              <w:spacing w:before="181" w:line="360" w:lineRule="auto"/>
              <w:ind w:left="38" w:right="9" w:firstLine="464"/>
            </w:pPr>
            <w:r>
              <w:t>项目位于隆盛合镇油田勘查用地及采矿用地</w:t>
            </w:r>
            <w:r>
              <w:rPr>
                <w:spacing w:val="-1"/>
              </w:rPr>
              <w:t>重点管控单元，根据磴</w:t>
            </w:r>
            <w:r>
              <w:rPr>
                <w:spacing w:val="1"/>
              </w:rPr>
              <w:t>口县自然资源局出具的关于查询扎格</w:t>
            </w:r>
            <w:r>
              <w:rPr>
                <w:spacing w:val="-51"/>
              </w:rPr>
              <w:t xml:space="preserve"> </w:t>
            </w:r>
            <w:r>
              <w:rPr>
                <w:rFonts w:ascii="Times New Roman" w:hAnsi="Times New Roman" w:eastAsia="Times New Roman" w:cs="Times New Roman"/>
                <w:spacing w:val="1"/>
              </w:rPr>
              <w:t xml:space="preserve">9X </w:t>
            </w:r>
            <w:r>
              <w:rPr>
                <w:spacing w:val="1"/>
              </w:rPr>
              <w:t>井坐标选址是否在生态</w:t>
            </w:r>
            <w:r>
              <w:t>红线范</w:t>
            </w:r>
            <w:r>
              <w:rPr>
                <w:spacing w:val="-1"/>
              </w:rPr>
              <w:t>围内的复函，不位于已划定的生态保护红线范围内，符合生态保护红线</w:t>
            </w:r>
            <w:r>
              <w:rPr>
                <w:spacing w:val="-8"/>
              </w:rPr>
              <w:t>的原则。</w:t>
            </w:r>
          </w:p>
          <w:p w14:paraId="38D9FC4B">
            <w:pPr>
              <w:pStyle w:val="6"/>
              <w:spacing w:line="217" w:lineRule="auto"/>
              <w:ind w:left="496"/>
            </w:pPr>
            <w:r>
              <w:rPr>
                <w:spacing w:val="-2"/>
              </w:rPr>
              <w:t>②环境质量底线</w:t>
            </w:r>
          </w:p>
          <w:p w14:paraId="4B9C917F">
            <w:pPr>
              <w:pStyle w:val="6"/>
              <w:spacing w:before="184" w:line="219" w:lineRule="auto"/>
              <w:ind w:right="19"/>
              <w:jc w:val="right"/>
            </w:pPr>
            <w:r>
              <w:rPr>
                <w:spacing w:val="8"/>
              </w:rPr>
              <w:t>项目所在区域属于环境空气二类区，执行《环境空气质</w:t>
            </w:r>
            <w:r>
              <w:rPr>
                <w:spacing w:val="7"/>
              </w:rPr>
              <w:t>量标准》</w:t>
            </w:r>
          </w:p>
        </w:tc>
      </w:tr>
    </w:tbl>
    <w:p w14:paraId="4BC513D9">
      <w:pPr>
        <w:spacing w:line="150" w:lineRule="exact"/>
        <w:rPr>
          <w:rFonts w:ascii="Arial"/>
          <w:sz w:val="13"/>
        </w:rPr>
      </w:pPr>
    </w:p>
    <w:p w14:paraId="0155E2B5">
      <w:pPr>
        <w:spacing w:line="150" w:lineRule="exact"/>
        <w:rPr>
          <w:rFonts w:ascii="Arial" w:hAnsi="Arial" w:eastAsia="Arial" w:cs="Arial"/>
          <w:sz w:val="13"/>
          <w:szCs w:val="13"/>
        </w:rPr>
        <w:sectPr>
          <w:footerReference r:id="rId21" w:type="default"/>
          <w:pgSz w:w="11906" w:h="16839"/>
          <w:pgMar w:top="400" w:right="1395" w:bottom="1240" w:left="1565" w:header="0" w:footer="1078" w:gutter="0"/>
          <w:cols w:space="720" w:num="1"/>
        </w:sectPr>
      </w:pPr>
    </w:p>
    <w:p w14:paraId="02064D5A">
      <w:pPr>
        <w:spacing w:before="56"/>
      </w:pPr>
    </w:p>
    <w:p w14:paraId="6654C1D9">
      <w:pPr>
        <w:spacing w:before="56"/>
      </w:pPr>
    </w:p>
    <w:p w14:paraId="15E528B5">
      <w:pPr>
        <w:spacing w:before="55"/>
      </w:pPr>
    </w:p>
    <w:p w14:paraId="165F3D22">
      <w:pPr>
        <w:spacing w:before="55"/>
      </w:pPr>
    </w:p>
    <w:tbl>
      <w:tblPr>
        <w:tblStyle w:val="5"/>
        <w:tblW w:w="893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56"/>
        <w:gridCol w:w="471"/>
        <w:gridCol w:w="4196"/>
        <w:gridCol w:w="2249"/>
        <w:gridCol w:w="558"/>
      </w:tblGrid>
      <w:tr w14:paraId="144309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95" w:hRule="atLeast"/>
        </w:trPr>
        <w:tc>
          <w:tcPr>
            <w:tcW w:w="1456" w:type="dxa"/>
            <w:vMerge w:val="restart"/>
            <w:tcBorders>
              <w:top w:val="single" w:color="000000" w:sz="6" w:space="0"/>
              <w:left w:val="single" w:color="000000" w:sz="6" w:space="0"/>
              <w:bottom w:val="nil"/>
            </w:tcBorders>
            <w:vAlign w:val="top"/>
          </w:tcPr>
          <w:p w14:paraId="267AE693">
            <w:pPr>
              <w:rPr>
                <w:rFonts w:ascii="Arial"/>
                <w:sz w:val="21"/>
              </w:rPr>
            </w:pPr>
          </w:p>
        </w:tc>
        <w:tc>
          <w:tcPr>
            <w:tcW w:w="7474" w:type="dxa"/>
            <w:gridSpan w:val="4"/>
            <w:tcBorders>
              <w:top w:val="single" w:color="000000" w:sz="6" w:space="0"/>
              <w:bottom w:val="single" w:color="000000" w:sz="10" w:space="0"/>
              <w:right w:val="single" w:color="000000" w:sz="6" w:space="0"/>
            </w:tcBorders>
            <w:vAlign w:val="top"/>
          </w:tcPr>
          <w:p w14:paraId="2CB3F691">
            <w:pPr>
              <w:pStyle w:val="6"/>
              <w:spacing w:before="47" w:line="359" w:lineRule="auto"/>
              <w:ind w:left="17" w:right="9" w:firstLine="12"/>
              <w:jc w:val="both"/>
            </w:pPr>
            <w:r>
              <w:rPr>
                <w:spacing w:val="1"/>
              </w:rPr>
              <w:t>（</w:t>
            </w:r>
            <w:r>
              <w:rPr>
                <w:rFonts w:ascii="Times New Roman" w:hAnsi="Times New Roman" w:eastAsia="Times New Roman" w:cs="Times New Roman"/>
              </w:rPr>
              <w:t>GB</w:t>
            </w:r>
            <w:r>
              <w:rPr>
                <w:rFonts w:ascii="Times New Roman" w:hAnsi="Times New Roman" w:eastAsia="Times New Roman" w:cs="Times New Roman"/>
                <w:spacing w:val="1"/>
              </w:rPr>
              <w:t>3095-2026</w:t>
            </w:r>
            <w:r>
              <w:rPr>
                <w:spacing w:val="1"/>
              </w:rPr>
              <w:t>）中过渡阶段二级浓度限值。根据《巴彦淖尔市环境质</w:t>
            </w:r>
            <w:r>
              <w:t>量状况公报（</w:t>
            </w:r>
            <w:r>
              <w:rPr>
                <w:rFonts w:ascii="Times New Roman" w:hAnsi="Times New Roman" w:eastAsia="Times New Roman" w:cs="Times New Roman"/>
              </w:rPr>
              <w:t>2024</w:t>
            </w:r>
            <w:r>
              <w:t>年）》和环境现状监测结果，项目位于达</w:t>
            </w:r>
            <w:r>
              <w:rPr>
                <w:spacing w:val="-1"/>
              </w:rPr>
              <w:t>标区。项目</w:t>
            </w:r>
            <w:r>
              <w:t>施工周期较短，在采取相关废气治理措施后，不会改变区域</w:t>
            </w:r>
            <w:r>
              <w:rPr>
                <w:spacing w:val="-1"/>
              </w:rPr>
              <w:t>大气环境功</w:t>
            </w:r>
            <w:r>
              <w:rPr>
                <w:spacing w:val="-5"/>
              </w:rPr>
              <w:t>能。</w:t>
            </w:r>
          </w:p>
          <w:p w14:paraId="11128327">
            <w:pPr>
              <w:pStyle w:val="6"/>
              <w:spacing w:before="5" w:line="358" w:lineRule="auto"/>
              <w:ind w:left="17" w:right="9" w:firstLine="484"/>
              <w:jc w:val="both"/>
            </w:pPr>
            <w:r>
              <w:rPr>
                <w:spacing w:val="-1"/>
              </w:rPr>
              <w:t>项目钻井废水随同废弃泥浆、钻井岩屑拉运至内蒙古众宁环保科技</w:t>
            </w:r>
            <w:r>
              <w:t>有限公司油气田废弃物集中处理厂处理，故项目的实施不会</w:t>
            </w:r>
            <w:r>
              <w:rPr>
                <w:spacing w:val="-1"/>
              </w:rPr>
              <w:t>对区域地表</w:t>
            </w:r>
            <w:r>
              <w:t>水体造成不利影响，不会改变区域地表水环境功能和水环境</w:t>
            </w:r>
            <w:r>
              <w:rPr>
                <w:spacing w:val="-1"/>
              </w:rPr>
              <w:t>质量，且项</w:t>
            </w:r>
            <w:r>
              <w:t>目施工过程中将对井场进行分区防渗，不会对区域地下水造</w:t>
            </w:r>
            <w:r>
              <w:rPr>
                <w:spacing w:val="-1"/>
              </w:rPr>
              <w:t>成影响，不会改变其水环境功能区划。</w:t>
            </w:r>
          </w:p>
          <w:p w14:paraId="43A22D5A">
            <w:pPr>
              <w:pStyle w:val="6"/>
              <w:spacing w:before="1" w:line="359" w:lineRule="auto"/>
              <w:ind w:left="19" w:right="9" w:firstLine="482"/>
              <w:jc w:val="both"/>
            </w:pPr>
            <w:r>
              <w:rPr>
                <w:spacing w:val="-12"/>
              </w:rPr>
              <w:t>项 目</w:t>
            </w:r>
            <w:r>
              <w:rPr>
                <w:spacing w:val="-55"/>
              </w:rPr>
              <w:t xml:space="preserve"> </w:t>
            </w:r>
            <w:r>
              <w:rPr>
                <w:spacing w:val="-12"/>
              </w:rPr>
              <w:t>所在</w:t>
            </w:r>
            <w:r>
              <w:rPr>
                <w:spacing w:val="-52"/>
              </w:rPr>
              <w:t xml:space="preserve"> </w:t>
            </w:r>
            <w:r>
              <w:rPr>
                <w:spacing w:val="-12"/>
              </w:rPr>
              <w:t>区</w:t>
            </w:r>
            <w:r>
              <w:rPr>
                <w:spacing w:val="-69"/>
              </w:rPr>
              <w:t xml:space="preserve"> </w:t>
            </w:r>
            <w:r>
              <w:rPr>
                <w:spacing w:val="-12"/>
              </w:rPr>
              <w:t>域</w:t>
            </w:r>
            <w:r>
              <w:rPr>
                <w:spacing w:val="-65"/>
              </w:rPr>
              <w:t xml:space="preserve"> </w:t>
            </w:r>
            <w:r>
              <w:rPr>
                <w:spacing w:val="-12"/>
              </w:rPr>
              <w:t>声环</w:t>
            </w:r>
            <w:r>
              <w:rPr>
                <w:spacing w:val="-69"/>
              </w:rPr>
              <w:t xml:space="preserve"> </w:t>
            </w:r>
            <w:r>
              <w:rPr>
                <w:spacing w:val="-12"/>
              </w:rPr>
              <w:t>境</w:t>
            </w:r>
            <w:r>
              <w:rPr>
                <w:spacing w:val="-69"/>
              </w:rPr>
              <w:t xml:space="preserve"> </w:t>
            </w:r>
            <w:r>
              <w:rPr>
                <w:spacing w:val="-12"/>
              </w:rPr>
              <w:t>质</w:t>
            </w:r>
            <w:r>
              <w:rPr>
                <w:spacing w:val="-70"/>
              </w:rPr>
              <w:t xml:space="preserve"> </w:t>
            </w:r>
            <w:r>
              <w:rPr>
                <w:spacing w:val="-12"/>
              </w:rPr>
              <w:t>量</w:t>
            </w:r>
            <w:r>
              <w:rPr>
                <w:spacing w:val="-33"/>
              </w:rPr>
              <w:t xml:space="preserve"> </w:t>
            </w:r>
            <w:r>
              <w:rPr>
                <w:spacing w:val="-12"/>
              </w:rPr>
              <w:t>良</w:t>
            </w:r>
            <w:r>
              <w:rPr>
                <w:spacing w:val="-70"/>
              </w:rPr>
              <w:t xml:space="preserve"> </w:t>
            </w:r>
            <w:r>
              <w:rPr>
                <w:spacing w:val="-12"/>
              </w:rPr>
              <w:t>好</w:t>
            </w:r>
            <w:r>
              <w:rPr>
                <w:spacing w:val="-50"/>
              </w:rPr>
              <w:t xml:space="preserve"> </w:t>
            </w:r>
            <w:r>
              <w:rPr>
                <w:spacing w:val="-12"/>
              </w:rPr>
              <w:t>，</w:t>
            </w:r>
            <w:r>
              <w:rPr>
                <w:spacing w:val="-70"/>
              </w:rPr>
              <w:t xml:space="preserve"> </w:t>
            </w:r>
            <w:r>
              <w:rPr>
                <w:spacing w:val="-12"/>
              </w:rPr>
              <w:t>执</w:t>
            </w:r>
            <w:r>
              <w:rPr>
                <w:spacing w:val="-69"/>
              </w:rPr>
              <w:t xml:space="preserve"> </w:t>
            </w:r>
            <w:r>
              <w:rPr>
                <w:spacing w:val="-12"/>
              </w:rPr>
              <w:t>行《</w:t>
            </w:r>
            <w:r>
              <w:rPr>
                <w:spacing w:val="-41"/>
              </w:rPr>
              <w:t xml:space="preserve"> </w:t>
            </w:r>
            <w:r>
              <w:rPr>
                <w:spacing w:val="-12"/>
              </w:rPr>
              <w:t>声</w:t>
            </w:r>
            <w:r>
              <w:rPr>
                <w:spacing w:val="-70"/>
              </w:rPr>
              <w:t xml:space="preserve"> </w:t>
            </w:r>
            <w:r>
              <w:rPr>
                <w:spacing w:val="-12"/>
              </w:rPr>
              <w:t>环</w:t>
            </w:r>
            <w:r>
              <w:rPr>
                <w:spacing w:val="-71"/>
              </w:rPr>
              <w:t xml:space="preserve"> </w:t>
            </w:r>
            <w:r>
              <w:rPr>
                <w:spacing w:val="-12"/>
              </w:rPr>
              <w:t>境</w:t>
            </w:r>
            <w:r>
              <w:rPr>
                <w:spacing w:val="-69"/>
              </w:rPr>
              <w:t xml:space="preserve"> </w:t>
            </w:r>
            <w:r>
              <w:rPr>
                <w:spacing w:val="-12"/>
              </w:rPr>
              <w:t>质</w:t>
            </w:r>
            <w:r>
              <w:rPr>
                <w:spacing w:val="-70"/>
              </w:rPr>
              <w:t xml:space="preserve"> </w:t>
            </w:r>
            <w:r>
              <w:rPr>
                <w:spacing w:val="-12"/>
              </w:rPr>
              <w:t>量</w:t>
            </w:r>
            <w:r>
              <w:rPr>
                <w:spacing w:val="-69"/>
              </w:rPr>
              <w:t xml:space="preserve"> </w:t>
            </w:r>
            <w:r>
              <w:rPr>
                <w:spacing w:val="-12"/>
              </w:rPr>
              <w:t>标</w:t>
            </w:r>
            <w:r>
              <w:rPr>
                <w:spacing w:val="-70"/>
              </w:rPr>
              <w:t xml:space="preserve"> </w:t>
            </w:r>
            <w:r>
              <w:rPr>
                <w:spacing w:val="-12"/>
              </w:rPr>
              <w:t>准</w:t>
            </w:r>
            <w:r>
              <w:rPr>
                <w:spacing w:val="-57"/>
              </w:rPr>
              <w:t xml:space="preserve"> </w:t>
            </w:r>
            <w:r>
              <w:rPr>
                <w:spacing w:val="-12"/>
              </w:rPr>
              <w:t>》</w:t>
            </w:r>
            <w:r>
              <w:t xml:space="preserve"> </w:t>
            </w:r>
            <w:r>
              <w:rPr>
                <w:spacing w:val="-2"/>
              </w:rPr>
              <w:t>（</w:t>
            </w:r>
            <w:r>
              <w:rPr>
                <w:rFonts w:ascii="Times New Roman" w:hAnsi="Times New Roman" w:eastAsia="Times New Roman" w:cs="Times New Roman"/>
                <w:spacing w:val="-2"/>
              </w:rPr>
              <w:t>GB3096-2008</w:t>
            </w:r>
            <w:r>
              <w:rPr>
                <w:spacing w:val="-2"/>
              </w:rPr>
              <w:t>）中</w:t>
            </w:r>
            <w:r>
              <w:rPr>
                <w:rFonts w:ascii="Times New Roman" w:hAnsi="Times New Roman" w:eastAsia="Times New Roman" w:cs="Times New Roman"/>
                <w:spacing w:val="-2"/>
              </w:rPr>
              <w:t>1</w:t>
            </w:r>
            <w:r>
              <w:rPr>
                <w:spacing w:val="-2"/>
              </w:rPr>
              <w:t>类区标准，项目施工期排放施工噪声，对区域声环</w:t>
            </w:r>
            <w:r>
              <w:rPr>
                <w:spacing w:val="-1"/>
              </w:rPr>
              <w:t>境将造成一定的不利影响，在施工结束后，其影响随即消失。</w:t>
            </w:r>
          </w:p>
          <w:p w14:paraId="497C07F6">
            <w:pPr>
              <w:pStyle w:val="6"/>
              <w:spacing w:before="1" w:line="359" w:lineRule="auto"/>
              <w:ind w:left="19" w:right="9" w:firstLine="482"/>
              <w:jc w:val="both"/>
            </w:pPr>
            <w:r>
              <w:t>项目采用泥浆不落地循环系统装置，利用防</w:t>
            </w:r>
            <w:r>
              <w:rPr>
                <w:spacing w:val="-1"/>
              </w:rPr>
              <w:t>渗钻井泥浆循环罐代替</w:t>
            </w:r>
            <w:r>
              <w:t>泥浆池。钻井过程中采用无害化水基钻井泥浆，钻井泥</w:t>
            </w:r>
            <w:r>
              <w:rPr>
                <w:spacing w:val="-1"/>
              </w:rPr>
              <w:t>浆循环使用，产</w:t>
            </w:r>
            <w:r>
              <w:t>生的废弃泥浆、钻井岩屑拉运至内蒙古众宁环保科技有</w:t>
            </w:r>
            <w:r>
              <w:rPr>
                <w:spacing w:val="-1"/>
              </w:rPr>
              <w:t>限公司油气田废</w:t>
            </w:r>
            <w:r>
              <w:t>弃物集中处理厂处理。废润滑油、落地油及废防渗材料</w:t>
            </w:r>
            <w:r>
              <w:rPr>
                <w:spacing w:val="-1"/>
              </w:rPr>
              <w:t>等危险废物委托</w:t>
            </w:r>
            <w:r>
              <w:rPr>
                <w:spacing w:val="-2"/>
              </w:rPr>
              <w:t>有资质单位拉运处置。</w:t>
            </w:r>
          </w:p>
          <w:p w14:paraId="1DDAE71D">
            <w:pPr>
              <w:pStyle w:val="6"/>
              <w:spacing w:line="359" w:lineRule="auto"/>
              <w:ind w:left="30" w:right="9" w:firstLine="470"/>
            </w:pPr>
            <w:r>
              <w:t>综上所述，项目采取相应的污染防治措施后不</w:t>
            </w:r>
            <w:r>
              <w:rPr>
                <w:spacing w:val="-1"/>
              </w:rPr>
              <w:t>会对区域环境造成影</w:t>
            </w:r>
            <w:r>
              <w:rPr>
                <w:spacing w:val="-2"/>
              </w:rPr>
              <w:t>响，未超出环境质量底线。</w:t>
            </w:r>
          </w:p>
          <w:p w14:paraId="2A056C7C">
            <w:pPr>
              <w:pStyle w:val="6"/>
              <w:spacing w:line="217" w:lineRule="auto"/>
              <w:ind w:left="496"/>
            </w:pPr>
            <w:r>
              <w:rPr>
                <w:spacing w:val="-2"/>
              </w:rPr>
              <w:t>③资源利用上线</w:t>
            </w:r>
          </w:p>
          <w:p w14:paraId="359A8117">
            <w:pPr>
              <w:pStyle w:val="6"/>
              <w:spacing w:before="185" w:line="359" w:lineRule="auto"/>
              <w:ind w:left="18" w:right="9" w:firstLine="483"/>
            </w:pPr>
            <w:r>
              <w:t>项目为石油勘探工程，全部为临时用地，施</w:t>
            </w:r>
            <w:r>
              <w:rPr>
                <w:spacing w:val="-1"/>
              </w:rPr>
              <w:t>工中消耗少量柴油和少</w:t>
            </w:r>
            <w:r>
              <w:t>量水资源。项目资源消耗量相对区域资源利用总量较小，</w:t>
            </w:r>
            <w:r>
              <w:rPr>
                <w:spacing w:val="-1"/>
              </w:rPr>
              <w:t>不会突破资源</w:t>
            </w:r>
            <w:r>
              <w:rPr>
                <w:spacing w:val="-2"/>
              </w:rPr>
              <w:t>利用上线。</w:t>
            </w:r>
          </w:p>
          <w:p w14:paraId="76B640CB">
            <w:pPr>
              <w:pStyle w:val="6"/>
              <w:spacing w:line="217" w:lineRule="auto"/>
              <w:ind w:left="496"/>
            </w:pPr>
            <w:r>
              <w:rPr>
                <w:spacing w:val="-1"/>
              </w:rPr>
              <w:t>④生态环境准入清单</w:t>
            </w:r>
          </w:p>
          <w:p w14:paraId="548FA730">
            <w:pPr>
              <w:pStyle w:val="6"/>
              <w:spacing w:before="186" w:line="219" w:lineRule="auto"/>
              <w:ind w:left="502"/>
            </w:pPr>
            <w:r>
              <w:rPr>
                <w:spacing w:val="-1"/>
              </w:rPr>
              <w:t>项目与巴彦淖尔市总体准入要求中的总体要求符合性分析如下。</w:t>
            </w:r>
          </w:p>
          <w:p w14:paraId="5B6E579E">
            <w:pPr>
              <w:spacing w:before="181" w:line="205" w:lineRule="auto"/>
              <w:ind w:left="1272"/>
              <w:rPr>
                <w:rFonts w:ascii="黑体" w:hAnsi="黑体" w:eastAsia="黑体" w:cs="黑体"/>
                <w:sz w:val="24"/>
                <w:szCs w:val="24"/>
              </w:rPr>
            </w:pPr>
            <w:r>
              <w:rPr>
                <w:rFonts w:ascii="黑体" w:hAnsi="黑体" w:eastAsia="黑体" w:cs="黑体"/>
                <w:spacing w:val="-3"/>
                <w:sz w:val="24"/>
                <w:szCs w:val="24"/>
              </w:rPr>
              <w:t>表</w:t>
            </w:r>
            <w:r>
              <w:rPr>
                <w:rFonts w:ascii="黑体" w:hAnsi="黑体" w:eastAsia="黑体" w:cs="黑体"/>
                <w:spacing w:val="-31"/>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 xml:space="preserve">10  </w:t>
            </w:r>
            <w:r>
              <w:rPr>
                <w:rFonts w:ascii="黑体" w:hAnsi="黑体" w:eastAsia="黑体" w:cs="黑体"/>
                <w:spacing w:val="-3"/>
                <w:sz w:val="24"/>
                <w:szCs w:val="24"/>
              </w:rPr>
              <w:t>与巴彦淖尔市准入总体要求符合性分析</w:t>
            </w:r>
          </w:p>
        </w:tc>
      </w:tr>
      <w:tr w14:paraId="288035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1456" w:type="dxa"/>
            <w:vMerge w:val="continue"/>
            <w:tcBorders>
              <w:top w:val="nil"/>
              <w:left w:val="single" w:color="000000" w:sz="6" w:space="0"/>
              <w:bottom w:val="nil"/>
            </w:tcBorders>
            <w:vAlign w:val="top"/>
          </w:tcPr>
          <w:p w14:paraId="662CB8FA">
            <w:pPr>
              <w:rPr>
                <w:rFonts w:ascii="Arial"/>
                <w:sz w:val="21"/>
              </w:rPr>
            </w:pPr>
          </w:p>
        </w:tc>
        <w:tc>
          <w:tcPr>
            <w:tcW w:w="471" w:type="dxa"/>
            <w:tcBorders>
              <w:top w:val="single" w:color="000000" w:sz="10" w:space="0"/>
            </w:tcBorders>
            <w:vAlign w:val="top"/>
          </w:tcPr>
          <w:p w14:paraId="46905EB5">
            <w:pPr>
              <w:pStyle w:val="6"/>
              <w:spacing w:before="101" w:line="228" w:lineRule="auto"/>
              <w:ind w:left="36"/>
              <w:rPr>
                <w:sz w:val="20"/>
                <w:szCs w:val="20"/>
              </w:rPr>
            </w:pPr>
            <w:r>
              <w:rPr>
                <w:spacing w:val="2"/>
                <w:sz w:val="20"/>
                <w:szCs w:val="20"/>
              </w:rPr>
              <w:t>管控</w:t>
            </w:r>
          </w:p>
          <w:p w14:paraId="7EEC0675">
            <w:pPr>
              <w:pStyle w:val="6"/>
              <w:spacing w:before="26" w:line="228" w:lineRule="auto"/>
              <w:ind w:left="31"/>
              <w:rPr>
                <w:sz w:val="20"/>
                <w:szCs w:val="20"/>
              </w:rPr>
            </w:pPr>
            <w:r>
              <w:rPr>
                <w:spacing w:val="4"/>
                <w:sz w:val="20"/>
                <w:szCs w:val="20"/>
              </w:rPr>
              <w:t>类型</w:t>
            </w:r>
          </w:p>
        </w:tc>
        <w:tc>
          <w:tcPr>
            <w:tcW w:w="4196" w:type="dxa"/>
            <w:tcBorders>
              <w:top w:val="single" w:color="000000" w:sz="10" w:space="0"/>
            </w:tcBorders>
            <w:vAlign w:val="top"/>
          </w:tcPr>
          <w:p w14:paraId="611E4E0C">
            <w:pPr>
              <w:pStyle w:val="6"/>
              <w:spacing w:before="238" w:line="228" w:lineRule="auto"/>
              <w:ind w:left="1687"/>
              <w:rPr>
                <w:sz w:val="20"/>
                <w:szCs w:val="20"/>
              </w:rPr>
            </w:pPr>
            <w:r>
              <w:rPr>
                <w:spacing w:val="6"/>
                <w:sz w:val="20"/>
                <w:szCs w:val="20"/>
              </w:rPr>
              <w:t>管控要求</w:t>
            </w:r>
          </w:p>
        </w:tc>
        <w:tc>
          <w:tcPr>
            <w:tcW w:w="2249" w:type="dxa"/>
            <w:tcBorders>
              <w:top w:val="single" w:color="000000" w:sz="10" w:space="0"/>
            </w:tcBorders>
            <w:vAlign w:val="top"/>
          </w:tcPr>
          <w:p w14:paraId="583CE18F">
            <w:pPr>
              <w:pStyle w:val="6"/>
              <w:spacing w:before="238" w:line="228" w:lineRule="auto"/>
              <w:ind w:left="717"/>
              <w:rPr>
                <w:sz w:val="20"/>
                <w:szCs w:val="20"/>
              </w:rPr>
            </w:pPr>
            <w:r>
              <w:rPr>
                <w:spacing w:val="6"/>
                <w:sz w:val="20"/>
                <w:szCs w:val="20"/>
              </w:rPr>
              <w:t>项目情况</w:t>
            </w:r>
          </w:p>
        </w:tc>
        <w:tc>
          <w:tcPr>
            <w:tcW w:w="558" w:type="dxa"/>
            <w:tcBorders>
              <w:top w:val="single" w:color="000000" w:sz="10" w:space="0"/>
              <w:right w:val="single" w:color="000000" w:sz="6" w:space="0"/>
            </w:tcBorders>
            <w:vAlign w:val="top"/>
          </w:tcPr>
          <w:p w14:paraId="1959E50D">
            <w:pPr>
              <w:pStyle w:val="6"/>
              <w:spacing w:before="102" w:line="228" w:lineRule="auto"/>
              <w:ind w:left="74"/>
              <w:rPr>
                <w:sz w:val="20"/>
                <w:szCs w:val="20"/>
              </w:rPr>
            </w:pPr>
            <w:r>
              <w:rPr>
                <w:spacing w:val="3"/>
                <w:sz w:val="20"/>
                <w:szCs w:val="20"/>
              </w:rPr>
              <w:t>是否</w:t>
            </w:r>
          </w:p>
          <w:p w14:paraId="73CA2E88">
            <w:pPr>
              <w:pStyle w:val="6"/>
              <w:spacing w:before="25" w:line="228" w:lineRule="auto"/>
              <w:ind w:left="72"/>
              <w:rPr>
                <w:sz w:val="20"/>
                <w:szCs w:val="20"/>
              </w:rPr>
            </w:pPr>
            <w:r>
              <w:rPr>
                <w:spacing w:val="3"/>
                <w:sz w:val="20"/>
                <w:szCs w:val="20"/>
              </w:rPr>
              <w:t>符合</w:t>
            </w:r>
          </w:p>
        </w:tc>
      </w:tr>
      <w:tr w14:paraId="42364E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1456" w:type="dxa"/>
            <w:vMerge w:val="continue"/>
            <w:tcBorders>
              <w:top w:val="nil"/>
              <w:left w:val="single" w:color="000000" w:sz="6" w:space="0"/>
              <w:bottom w:val="single" w:color="000000" w:sz="6" w:space="0"/>
            </w:tcBorders>
            <w:vAlign w:val="top"/>
          </w:tcPr>
          <w:p w14:paraId="27CFCBF4">
            <w:pPr>
              <w:rPr>
                <w:rFonts w:ascii="Arial"/>
                <w:sz w:val="21"/>
              </w:rPr>
            </w:pPr>
          </w:p>
        </w:tc>
        <w:tc>
          <w:tcPr>
            <w:tcW w:w="471" w:type="dxa"/>
            <w:tcBorders>
              <w:bottom w:val="single" w:color="000000" w:sz="6" w:space="0"/>
            </w:tcBorders>
            <w:vAlign w:val="top"/>
          </w:tcPr>
          <w:p w14:paraId="2C0D2326">
            <w:pPr>
              <w:pStyle w:val="6"/>
              <w:spacing w:before="183" w:line="252" w:lineRule="auto"/>
              <w:ind w:left="32" w:right="24" w:firstLine="4"/>
              <w:rPr>
                <w:sz w:val="20"/>
                <w:szCs w:val="20"/>
              </w:rPr>
            </w:pPr>
            <w:r>
              <w:rPr>
                <w:spacing w:val="2"/>
                <w:sz w:val="20"/>
                <w:szCs w:val="20"/>
              </w:rPr>
              <w:t>总体</w:t>
            </w:r>
            <w:r>
              <w:rPr>
                <w:spacing w:val="4"/>
                <w:sz w:val="20"/>
                <w:szCs w:val="20"/>
              </w:rPr>
              <w:t>要求</w:t>
            </w:r>
          </w:p>
        </w:tc>
        <w:tc>
          <w:tcPr>
            <w:tcW w:w="4196" w:type="dxa"/>
            <w:tcBorders>
              <w:bottom w:val="single" w:color="000000" w:sz="6" w:space="0"/>
            </w:tcBorders>
            <w:vAlign w:val="top"/>
          </w:tcPr>
          <w:p w14:paraId="173274B2">
            <w:pPr>
              <w:pStyle w:val="6"/>
              <w:spacing w:before="46" w:line="252" w:lineRule="auto"/>
              <w:ind w:left="8" w:firstLine="15"/>
              <w:jc w:val="both"/>
              <w:rPr>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15"/>
                <w:sz w:val="20"/>
                <w:szCs w:val="20"/>
              </w:rPr>
              <w:t xml:space="preserve"> </w:t>
            </w:r>
            <w:r>
              <w:rPr>
                <w:spacing w:val="4"/>
                <w:sz w:val="20"/>
                <w:szCs w:val="20"/>
              </w:rPr>
              <w:t>、根据《内蒙古自治区进一步规范化工行业</w:t>
            </w:r>
            <w:r>
              <w:rPr>
                <w:spacing w:val="-1"/>
                <w:sz w:val="20"/>
                <w:szCs w:val="20"/>
              </w:rPr>
              <w:t>项目建设的若干规定》，现有园区扩大面积的，</w:t>
            </w:r>
            <w:r>
              <w:rPr>
                <w:spacing w:val="6"/>
                <w:sz w:val="20"/>
                <w:szCs w:val="20"/>
              </w:rPr>
              <w:t>要与黄河中上游流域巴彦淖尔段及主要支流</w:t>
            </w:r>
          </w:p>
        </w:tc>
        <w:tc>
          <w:tcPr>
            <w:tcW w:w="2249" w:type="dxa"/>
            <w:tcBorders>
              <w:bottom w:val="single" w:color="000000" w:sz="6" w:space="0"/>
            </w:tcBorders>
            <w:vAlign w:val="top"/>
          </w:tcPr>
          <w:p w14:paraId="3B547C25">
            <w:pPr>
              <w:pStyle w:val="6"/>
              <w:spacing w:before="46" w:line="251" w:lineRule="auto"/>
              <w:ind w:left="15" w:right="193" w:firstLine="14"/>
              <w:rPr>
                <w:sz w:val="20"/>
                <w:szCs w:val="20"/>
              </w:rPr>
            </w:pPr>
            <w:r>
              <w:rPr>
                <w:rFonts w:ascii="Times New Roman" w:hAnsi="Times New Roman" w:eastAsia="Times New Roman" w:cs="Times New Roman"/>
                <w:spacing w:val="6"/>
                <w:sz w:val="20"/>
                <w:szCs w:val="20"/>
              </w:rPr>
              <w:t>1.</w:t>
            </w:r>
            <w:r>
              <w:rPr>
                <w:spacing w:val="6"/>
                <w:sz w:val="20"/>
                <w:szCs w:val="20"/>
              </w:rPr>
              <w:t>项目不涉及化工园区</w:t>
            </w:r>
            <w:r>
              <w:rPr>
                <w:spacing w:val="4"/>
                <w:sz w:val="20"/>
                <w:szCs w:val="20"/>
              </w:rPr>
              <w:t>等内容。</w:t>
            </w:r>
          </w:p>
          <w:p w14:paraId="654DDD90">
            <w:pPr>
              <w:pStyle w:val="6"/>
              <w:spacing w:line="227" w:lineRule="auto"/>
              <w:jc w:val="right"/>
              <w:rPr>
                <w:sz w:val="20"/>
                <w:szCs w:val="20"/>
              </w:rPr>
            </w:pPr>
            <w:r>
              <w:rPr>
                <w:rFonts w:ascii="Times New Roman" w:hAnsi="Times New Roman" w:eastAsia="Times New Roman" w:cs="Times New Roman"/>
                <w:spacing w:val="7"/>
                <w:sz w:val="20"/>
                <w:szCs w:val="20"/>
              </w:rPr>
              <w:t>2.</w:t>
            </w:r>
            <w:r>
              <w:rPr>
                <w:spacing w:val="7"/>
                <w:sz w:val="20"/>
                <w:szCs w:val="20"/>
              </w:rPr>
              <w:t>项目属于石油勘探，不</w:t>
            </w:r>
          </w:p>
        </w:tc>
        <w:tc>
          <w:tcPr>
            <w:tcW w:w="558" w:type="dxa"/>
            <w:tcBorders>
              <w:bottom w:val="single" w:color="000000" w:sz="6" w:space="0"/>
              <w:right w:val="single" w:color="000000" w:sz="6" w:space="0"/>
            </w:tcBorders>
            <w:vAlign w:val="top"/>
          </w:tcPr>
          <w:p w14:paraId="16F6F462">
            <w:pPr>
              <w:spacing w:line="249" w:lineRule="auto"/>
              <w:rPr>
                <w:rFonts w:ascii="Arial"/>
                <w:sz w:val="21"/>
              </w:rPr>
            </w:pPr>
          </w:p>
          <w:p w14:paraId="231F9193">
            <w:pPr>
              <w:pStyle w:val="6"/>
              <w:spacing w:before="65" w:line="228" w:lineRule="auto"/>
              <w:ind w:left="20"/>
              <w:rPr>
                <w:sz w:val="20"/>
                <w:szCs w:val="20"/>
              </w:rPr>
            </w:pPr>
            <w:r>
              <w:rPr>
                <w:spacing w:val="3"/>
                <w:sz w:val="20"/>
                <w:szCs w:val="20"/>
              </w:rPr>
              <w:t>符合</w:t>
            </w:r>
          </w:p>
        </w:tc>
      </w:tr>
    </w:tbl>
    <w:p w14:paraId="7A014AE1">
      <w:pPr>
        <w:rPr>
          <w:rFonts w:ascii="Arial"/>
          <w:sz w:val="21"/>
        </w:rPr>
      </w:pPr>
    </w:p>
    <w:p w14:paraId="6FCB228A">
      <w:pPr>
        <w:rPr>
          <w:rFonts w:ascii="Arial" w:hAnsi="Arial" w:eastAsia="Arial" w:cs="Arial"/>
          <w:sz w:val="21"/>
          <w:szCs w:val="21"/>
        </w:rPr>
        <w:sectPr>
          <w:footerReference r:id="rId22" w:type="default"/>
          <w:pgSz w:w="11906" w:h="16839"/>
          <w:pgMar w:top="400" w:right="1395" w:bottom="1240" w:left="1565" w:header="0" w:footer="1078" w:gutter="0"/>
          <w:cols w:space="720" w:num="1"/>
        </w:sectPr>
      </w:pPr>
    </w:p>
    <w:p w14:paraId="2D804C88">
      <w:pPr>
        <w:spacing w:before="56"/>
      </w:pPr>
    </w:p>
    <w:p w14:paraId="599ED59B">
      <w:pPr>
        <w:spacing w:before="56"/>
      </w:pPr>
    </w:p>
    <w:p w14:paraId="44A51B24">
      <w:pPr>
        <w:spacing w:before="55"/>
      </w:pPr>
    </w:p>
    <w:p w14:paraId="1D187D70">
      <w:pPr>
        <w:spacing w:before="55"/>
      </w:pPr>
    </w:p>
    <w:tbl>
      <w:tblPr>
        <w:tblStyle w:val="5"/>
        <w:tblW w:w="893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6"/>
        <w:gridCol w:w="471"/>
        <w:gridCol w:w="4196"/>
        <w:gridCol w:w="2249"/>
        <w:gridCol w:w="558"/>
      </w:tblGrid>
      <w:tr w14:paraId="3C6BCD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90" w:hRule="atLeast"/>
        </w:trPr>
        <w:tc>
          <w:tcPr>
            <w:tcW w:w="1456" w:type="dxa"/>
            <w:tcBorders>
              <w:right w:val="single" w:color="000000" w:sz="2" w:space="0"/>
            </w:tcBorders>
            <w:vAlign w:val="top"/>
          </w:tcPr>
          <w:p w14:paraId="5C96D80D">
            <w:pPr>
              <w:rPr>
                <w:rFonts w:ascii="Arial"/>
                <w:sz w:val="21"/>
              </w:rPr>
            </w:pPr>
          </w:p>
        </w:tc>
        <w:tc>
          <w:tcPr>
            <w:tcW w:w="471" w:type="dxa"/>
            <w:tcBorders>
              <w:left w:val="single" w:color="000000" w:sz="2" w:space="0"/>
              <w:right w:val="single" w:color="000000" w:sz="2" w:space="0"/>
            </w:tcBorders>
            <w:vAlign w:val="top"/>
          </w:tcPr>
          <w:p w14:paraId="699B4D52">
            <w:pPr>
              <w:rPr>
                <w:rFonts w:ascii="Arial"/>
                <w:sz w:val="21"/>
              </w:rPr>
            </w:pPr>
          </w:p>
        </w:tc>
        <w:tc>
          <w:tcPr>
            <w:tcW w:w="4196" w:type="dxa"/>
            <w:tcBorders>
              <w:left w:val="single" w:color="000000" w:sz="2" w:space="0"/>
              <w:right w:val="single" w:color="000000" w:sz="2" w:space="0"/>
            </w:tcBorders>
            <w:vAlign w:val="top"/>
          </w:tcPr>
          <w:p w14:paraId="368B26E1">
            <w:pPr>
              <w:pStyle w:val="6"/>
              <w:spacing w:before="51" w:line="228" w:lineRule="auto"/>
              <w:ind w:left="7"/>
              <w:rPr>
                <w:sz w:val="20"/>
                <w:szCs w:val="20"/>
              </w:rPr>
            </w:pPr>
            <w:r>
              <w:rPr>
                <w:spacing w:val="4"/>
                <w:sz w:val="20"/>
                <w:szCs w:val="20"/>
              </w:rPr>
              <w:t>岸线至少保持</w:t>
            </w:r>
            <w:r>
              <w:rPr>
                <w:spacing w:val="-20"/>
                <w:sz w:val="20"/>
                <w:szCs w:val="20"/>
              </w:rPr>
              <w:t xml:space="preserve"> </w:t>
            </w:r>
            <w:r>
              <w:rPr>
                <w:rFonts w:ascii="Times New Roman" w:hAnsi="Times New Roman" w:eastAsia="Times New Roman" w:cs="Times New Roman"/>
                <w:spacing w:val="4"/>
                <w:sz w:val="20"/>
                <w:szCs w:val="20"/>
              </w:rPr>
              <w:t>1</w:t>
            </w:r>
            <w:r>
              <w:rPr>
                <w:rFonts w:ascii="Times New Roman" w:hAnsi="Times New Roman" w:eastAsia="Times New Roman" w:cs="Times New Roman"/>
                <w:spacing w:val="19"/>
                <w:sz w:val="20"/>
                <w:szCs w:val="20"/>
              </w:rPr>
              <w:t xml:space="preserve"> </w:t>
            </w:r>
            <w:r>
              <w:rPr>
                <w:spacing w:val="4"/>
                <w:sz w:val="20"/>
                <w:szCs w:val="20"/>
              </w:rPr>
              <w:t>公里距离。</w:t>
            </w:r>
          </w:p>
          <w:p w14:paraId="3DBA4835">
            <w:pPr>
              <w:pStyle w:val="6"/>
              <w:spacing w:before="21" w:line="252" w:lineRule="auto"/>
              <w:ind w:left="5" w:right="1" w:hanging="2"/>
              <w:rPr>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14"/>
                <w:sz w:val="20"/>
                <w:szCs w:val="20"/>
              </w:rPr>
              <w:t xml:space="preserve"> </w:t>
            </w:r>
            <w:r>
              <w:rPr>
                <w:spacing w:val="6"/>
                <w:sz w:val="20"/>
                <w:szCs w:val="20"/>
              </w:rPr>
              <w:t>、新建、改建、扩建“两高</w:t>
            </w:r>
            <w:r>
              <w:rPr>
                <w:spacing w:val="-70"/>
                <w:sz w:val="20"/>
                <w:szCs w:val="20"/>
              </w:rPr>
              <w:t xml:space="preserve"> </w:t>
            </w:r>
            <w:r>
              <w:rPr>
                <w:spacing w:val="6"/>
                <w:sz w:val="20"/>
                <w:szCs w:val="20"/>
              </w:rPr>
              <w:t>”项目须符合生</w:t>
            </w:r>
            <w:r>
              <w:rPr>
                <w:spacing w:val="9"/>
                <w:sz w:val="20"/>
                <w:szCs w:val="20"/>
              </w:rPr>
              <w:t>态环境保护法律法规和相关法定规划，满足重点污染物排放总量控制、碳排放达峰目标、生态环境准入清单、相关规划环评和相应行业建设项目环境准入条件、环评文件审批要求。新建、扩建石化、化工、焦化、有色金属冶炼、平板玻璃项目应布设在依法合规设立并经划</w:t>
            </w:r>
          </w:p>
          <w:p w14:paraId="4DED8CD2">
            <w:pPr>
              <w:pStyle w:val="6"/>
              <w:spacing w:before="3" w:line="251" w:lineRule="auto"/>
              <w:ind w:left="6" w:right="1" w:firstLine="1"/>
              <w:rPr>
                <w:sz w:val="20"/>
                <w:szCs w:val="20"/>
              </w:rPr>
            </w:pPr>
            <w:r>
              <w:rPr>
                <w:spacing w:val="8"/>
                <w:sz w:val="20"/>
                <w:szCs w:val="20"/>
              </w:rPr>
              <w:t>规环评的产业园区。化工园区（集中区）外已</w:t>
            </w:r>
            <w:r>
              <w:rPr>
                <w:spacing w:val="9"/>
                <w:sz w:val="20"/>
                <w:szCs w:val="20"/>
              </w:rPr>
              <w:t>认定为化工重点监控点的企业，在项目审批、建设和管理方面参照化工园区内企业执行。企业可按照化工项目建设管理有关规定，依法依规在厂区内或紧邻厂区新建、改扩建现有装备同类产品、产业链延链补链、循环经济利用、安全环保节能项目，但原则上不能新建上游产</w:t>
            </w:r>
            <w:r>
              <w:rPr>
                <w:sz w:val="20"/>
                <w:szCs w:val="20"/>
              </w:rPr>
              <w:t>业。</w:t>
            </w:r>
          </w:p>
          <w:p w14:paraId="68624D18">
            <w:pPr>
              <w:pStyle w:val="6"/>
              <w:spacing w:line="251" w:lineRule="auto"/>
              <w:ind w:left="9" w:hanging="2"/>
              <w:rPr>
                <w:sz w:val="20"/>
                <w:szCs w:val="20"/>
              </w:rPr>
            </w:pPr>
            <w:r>
              <w:rPr>
                <w:rFonts w:ascii="Times New Roman" w:hAnsi="Times New Roman" w:eastAsia="Times New Roman" w:cs="Times New Roman"/>
                <w:spacing w:val="11"/>
                <w:sz w:val="20"/>
                <w:szCs w:val="20"/>
              </w:rPr>
              <w:t>3</w:t>
            </w:r>
            <w:r>
              <w:rPr>
                <w:rFonts w:ascii="Times New Roman" w:hAnsi="Times New Roman" w:eastAsia="Times New Roman" w:cs="Times New Roman"/>
                <w:spacing w:val="-18"/>
                <w:sz w:val="20"/>
                <w:szCs w:val="20"/>
              </w:rPr>
              <w:t xml:space="preserve"> </w:t>
            </w:r>
            <w:r>
              <w:rPr>
                <w:spacing w:val="11"/>
                <w:sz w:val="20"/>
                <w:szCs w:val="20"/>
              </w:rPr>
              <w:t>、为改善区域环境质量，严格控制“两高</w:t>
            </w:r>
            <w:r>
              <w:rPr>
                <w:spacing w:val="-70"/>
                <w:sz w:val="20"/>
                <w:szCs w:val="20"/>
              </w:rPr>
              <w:t xml:space="preserve"> </w:t>
            </w:r>
            <w:r>
              <w:rPr>
                <w:spacing w:val="11"/>
                <w:sz w:val="20"/>
                <w:szCs w:val="20"/>
              </w:rPr>
              <w:t>”</w:t>
            </w:r>
            <w:r>
              <w:rPr>
                <w:spacing w:val="8"/>
                <w:sz w:val="20"/>
                <w:szCs w:val="20"/>
              </w:rPr>
              <w:t>项目新增主要污染物排放，确保环境影响报告</w:t>
            </w:r>
            <w:r>
              <w:rPr>
                <w:spacing w:val="9"/>
                <w:sz w:val="20"/>
                <w:szCs w:val="20"/>
              </w:rPr>
              <w:t>书及其批复文件要求的主要污染物排放量区</w:t>
            </w:r>
          </w:p>
          <w:p w14:paraId="461E085F">
            <w:pPr>
              <w:pStyle w:val="6"/>
              <w:spacing w:before="5" w:line="251" w:lineRule="auto"/>
              <w:ind w:left="6" w:right="1" w:firstLine="1"/>
              <w:rPr>
                <w:sz w:val="20"/>
                <w:szCs w:val="20"/>
              </w:rPr>
            </w:pPr>
            <w:r>
              <w:rPr>
                <w:spacing w:val="9"/>
                <w:sz w:val="20"/>
                <w:szCs w:val="20"/>
              </w:rPr>
              <w:t>域削减措施落实到位。建设项目应满足区域、流域控制单元环境质量改善目标管理要求。所在区域、流域控制单元环境质量未达到国家或者地方环境质量标准的，建设项目应提出有效的区域削减方案，主要污染物实行区域倍量削减，确保项目投产后区域环境质量有改善。所在区域、流域控制单元环境质量达到国家或者地方环境质量标准的，原则上建设项目主要污染物实行区域等量削减，确保项目投产后区域</w:t>
            </w:r>
            <w:r>
              <w:rPr>
                <w:spacing w:val="7"/>
                <w:sz w:val="20"/>
                <w:szCs w:val="20"/>
              </w:rPr>
              <w:t>环境质量不恶化。</w:t>
            </w:r>
          </w:p>
          <w:p w14:paraId="35ECD373">
            <w:pPr>
              <w:pStyle w:val="6"/>
              <w:spacing w:before="1" w:line="251" w:lineRule="auto"/>
              <w:ind w:left="7" w:right="99" w:hanging="5"/>
              <w:rPr>
                <w:sz w:val="20"/>
                <w:szCs w:val="20"/>
              </w:rPr>
            </w:pPr>
            <w:r>
              <w:rPr>
                <w:rFonts w:ascii="Times New Roman" w:hAnsi="Times New Roman" w:eastAsia="Times New Roman" w:cs="Times New Roman"/>
                <w:spacing w:val="8"/>
                <w:sz w:val="20"/>
                <w:szCs w:val="20"/>
              </w:rPr>
              <w:t>4</w:t>
            </w:r>
            <w:r>
              <w:rPr>
                <w:rFonts w:ascii="Times New Roman" w:hAnsi="Times New Roman" w:eastAsia="Times New Roman" w:cs="Times New Roman"/>
                <w:spacing w:val="-23"/>
                <w:sz w:val="20"/>
                <w:szCs w:val="20"/>
              </w:rPr>
              <w:t xml:space="preserve"> </w:t>
            </w:r>
            <w:r>
              <w:rPr>
                <w:spacing w:val="8"/>
                <w:sz w:val="20"/>
                <w:szCs w:val="20"/>
              </w:rPr>
              <w:t>、各类园区及建设项目选址应当符合当地国</w:t>
            </w:r>
            <w:r>
              <w:rPr>
                <w:spacing w:val="6"/>
                <w:sz w:val="20"/>
                <w:szCs w:val="20"/>
              </w:rPr>
              <w:t>土空间规划。</w:t>
            </w:r>
          </w:p>
          <w:p w14:paraId="65DEDA86">
            <w:pPr>
              <w:pStyle w:val="6"/>
              <w:spacing w:before="2" w:line="251" w:lineRule="auto"/>
              <w:ind w:left="7" w:right="1" w:firstLine="1"/>
              <w:rPr>
                <w:sz w:val="20"/>
                <w:szCs w:val="20"/>
              </w:rPr>
            </w:pPr>
            <w:r>
              <w:rPr>
                <w:rFonts w:ascii="Times New Roman" w:hAnsi="Times New Roman" w:eastAsia="Times New Roman" w:cs="Times New Roman"/>
                <w:spacing w:val="8"/>
                <w:sz w:val="20"/>
                <w:szCs w:val="20"/>
              </w:rPr>
              <w:t>5</w:t>
            </w:r>
            <w:r>
              <w:rPr>
                <w:rFonts w:ascii="Times New Roman" w:hAnsi="Times New Roman" w:eastAsia="Times New Roman" w:cs="Times New Roman"/>
                <w:spacing w:val="-29"/>
                <w:sz w:val="20"/>
                <w:szCs w:val="20"/>
              </w:rPr>
              <w:t xml:space="preserve"> </w:t>
            </w:r>
            <w:r>
              <w:rPr>
                <w:spacing w:val="8"/>
                <w:sz w:val="20"/>
                <w:szCs w:val="20"/>
              </w:rPr>
              <w:t>、畜禽养殖禁养区内不得新建、扩建和改建</w:t>
            </w:r>
            <w:r>
              <w:rPr>
                <w:spacing w:val="9"/>
                <w:sz w:val="20"/>
                <w:szCs w:val="20"/>
              </w:rPr>
              <w:t>各类畜禽养殖场，限养区内严格限制新建和扩建各类规模化畜禽养殖场。适养区内现有的各类畜禽养殖场必须落实污染防治措施，对污</w:t>
            </w:r>
          </w:p>
          <w:p w14:paraId="7B88B889">
            <w:pPr>
              <w:pStyle w:val="6"/>
              <w:spacing w:line="250" w:lineRule="auto"/>
              <w:ind w:left="9" w:right="1"/>
              <w:rPr>
                <w:sz w:val="20"/>
                <w:szCs w:val="20"/>
              </w:rPr>
            </w:pPr>
            <w:r>
              <w:rPr>
                <w:spacing w:val="8"/>
                <w:sz w:val="20"/>
                <w:szCs w:val="20"/>
              </w:rPr>
              <w:t>水、废渣和恶臭应进行定期监测，确保排放的污染物达到《畜禽养殖业污染物排放标准》</w:t>
            </w:r>
          </w:p>
          <w:p w14:paraId="5DA7C8B1">
            <w:pPr>
              <w:pStyle w:val="6"/>
              <w:spacing w:before="5" w:line="251" w:lineRule="auto"/>
              <w:ind w:left="6" w:right="1" w:firstLine="10"/>
              <w:rPr>
                <w:sz w:val="20"/>
                <w:szCs w:val="20"/>
              </w:rPr>
            </w:pPr>
            <w:r>
              <w:rPr>
                <w:spacing w:val="8"/>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8"/>
                <w:sz w:val="20"/>
                <w:szCs w:val="20"/>
              </w:rPr>
              <w:t>18596</w:t>
            </w:r>
            <w:r>
              <w:rPr>
                <w:spacing w:val="8"/>
                <w:sz w:val="20"/>
                <w:szCs w:val="20"/>
              </w:rPr>
              <w:t>）的限制要求，并符合污染物排放</w:t>
            </w:r>
            <w:r>
              <w:rPr>
                <w:spacing w:val="9"/>
                <w:sz w:val="20"/>
                <w:szCs w:val="20"/>
              </w:rPr>
              <w:t>总量控制要求。禁养区范围内的已建成的畜禽养殖场（小区）和养殖专业户，由所在地人民</w:t>
            </w:r>
            <w:r>
              <w:rPr>
                <w:spacing w:val="8"/>
                <w:sz w:val="20"/>
                <w:szCs w:val="20"/>
              </w:rPr>
              <w:t>政府负责责令限期搬迁、关闭或取缔。</w:t>
            </w:r>
          </w:p>
          <w:p w14:paraId="191533DB">
            <w:pPr>
              <w:pStyle w:val="6"/>
              <w:spacing w:line="250" w:lineRule="auto"/>
              <w:ind w:left="7" w:right="99"/>
              <w:rPr>
                <w:sz w:val="20"/>
                <w:szCs w:val="20"/>
              </w:rPr>
            </w:pPr>
            <w:r>
              <w:rPr>
                <w:rFonts w:ascii="Times New Roman" w:hAnsi="Times New Roman" w:eastAsia="Times New Roman" w:cs="Times New Roman"/>
                <w:spacing w:val="8"/>
                <w:sz w:val="20"/>
                <w:szCs w:val="20"/>
              </w:rPr>
              <w:t>6</w:t>
            </w:r>
            <w:r>
              <w:rPr>
                <w:rFonts w:ascii="Times New Roman" w:hAnsi="Times New Roman" w:eastAsia="Times New Roman" w:cs="Times New Roman"/>
                <w:spacing w:val="-28"/>
                <w:sz w:val="20"/>
                <w:szCs w:val="20"/>
              </w:rPr>
              <w:t xml:space="preserve"> </w:t>
            </w:r>
            <w:r>
              <w:rPr>
                <w:spacing w:val="8"/>
                <w:sz w:val="20"/>
                <w:szCs w:val="20"/>
              </w:rPr>
              <w:t>、建设对环境有影响的项目，建设单位应当</w:t>
            </w:r>
            <w:r>
              <w:rPr>
                <w:spacing w:val="9"/>
                <w:sz w:val="20"/>
                <w:szCs w:val="20"/>
              </w:rPr>
              <w:t>根据国家关于建设项目环境保护分类管理的</w:t>
            </w:r>
          </w:p>
          <w:p w14:paraId="3A23086A">
            <w:pPr>
              <w:pStyle w:val="6"/>
              <w:spacing w:before="3" w:line="251" w:lineRule="auto"/>
              <w:ind w:left="7" w:right="1"/>
              <w:rPr>
                <w:sz w:val="20"/>
                <w:szCs w:val="20"/>
              </w:rPr>
            </w:pPr>
            <w:r>
              <w:rPr>
                <w:spacing w:val="9"/>
                <w:sz w:val="20"/>
                <w:szCs w:val="20"/>
              </w:rPr>
              <w:t>规定，按照对环境造成影响的程度，组织编制环境影响报告书、环境影响报告表或者填写环境影响登记表。严格落实排污许可管理要求，加强排污许可证实施监管，督促企业采取有效措施控制污染物排放，达到排污许可证规定的</w:t>
            </w:r>
            <w:r>
              <w:rPr>
                <w:spacing w:val="7"/>
                <w:sz w:val="20"/>
                <w:szCs w:val="20"/>
              </w:rPr>
              <w:t>许可排放量要求。</w:t>
            </w:r>
          </w:p>
          <w:p w14:paraId="520CEEEA">
            <w:pPr>
              <w:pStyle w:val="6"/>
              <w:spacing w:before="1" w:line="226" w:lineRule="auto"/>
              <w:ind w:left="6"/>
              <w:rPr>
                <w:sz w:val="20"/>
                <w:szCs w:val="20"/>
              </w:rPr>
            </w:pPr>
            <w:r>
              <w:rPr>
                <w:rFonts w:ascii="Times New Roman" w:hAnsi="Times New Roman" w:eastAsia="Times New Roman" w:cs="Times New Roman"/>
                <w:spacing w:val="8"/>
                <w:sz w:val="20"/>
                <w:szCs w:val="20"/>
              </w:rPr>
              <w:t>7</w:t>
            </w:r>
            <w:r>
              <w:rPr>
                <w:rFonts w:ascii="Times New Roman" w:hAnsi="Times New Roman" w:eastAsia="Times New Roman" w:cs="Times New Roman"/>
                <w:spacing w:val="-27"/>
                <w:sz w:val="20"/>
                <w:szCs w:val="20"/>
              </w:rPr>
              <w:t xml:space="preserve"> </w:t>
            </w:r>
            <w:r>
              <w:rPr>
                <w:spacing w:val="8"/>
                <w:sz w:val="20"/>
                <w:szCs w:val="20"/>
              </w:rPr>
              <w:t>、入园项目需符合园区产业定位、布局、规</w:t>
            </w:r>
          </w:p>
        </w:tc>
        <w:tc>
          <w:tcPr>
            <w:tcW w:w="2249" w:type="dxa"/>
            <w:tcBorders>
              <w:left w:val="single" w:color="000000" w:sz="2" w:space="0"/>
              <w:right w:val="single" w:color="000000" w:sz="2" w:space="0"/>
            </w:tcBorders>
            <w:vAlign w:val="top"/>
          </w:tcPr>
          <w:p w14:paraId="0BF39AEC">
            <w:pPr>
              <w:pStyle w:val="6"/>
              <w:spacing w:before="53" w:line="251" w:lineRule="auto"/>
              <w:ind w:left="13" w:firstLine="1"/>
              <w:jc w:val="both"/>
              <w:rPr>
                <w:sz w:val="20"/>
                <w:szCs w:val="20"/>
              </w:rPr>
            </w:pPr>
            <w:r>
              <w:rPr>
                <w:sz w:val="20"/>
                <w:szCs w:val="20"/>
              </w:rPr>
              <w:t>属于国家规定的“两高</w:t>
            </w:r>
            <w:r>
              <w:rPr>
                <w:spacing w:val="-73"/>
                <w:sz w:val="20"/>
                <w:szCs w:val="20"/>
              </w:rPr>
              <w:t xml:space="preserve"> </w:t>
            </w:r>
            <w:r>
              <w:rPr>
                <w:sz w:val="20"/>
                <w:szCs w:val="20"/>
              </w:rPr>
              <w:t>”</w:t>
            </w:r>
            <w:r>
              <w:rPr>
                <w:spacing w:val="-17"/>
                <w:sz w:val="20"/>
                <w:szCs w:val="20"/>
              </w:rPr>
              <w:t>项目，不属于石化、化工、</w:t>
            </w:r>
            <w:r>
              <w:rPr>
                <w:spacing w:val="-12"/>
                <w:sz w:val="20"/>
                <w:szCs w:val="20"/>
              </w:rPr>
              <w:t>焦化、有色金属冶炼、平板玻璃项目，不涉及化工</w:t>
            </w:r>
            <w:r>
              <w:rPr>
                <w:spacing w:val="-6"/>
                <w:sz w:val="20"/>
                <w:szCs w:val="20"/>
              </w:rPr>
              <w:t>园区等。</w:t>
            </w:r>
          </w:p>
          <w:p w14:paraId="1FABE03E">
            <w:pPr>
              <w:pStyle w:val="6"/>
              <w:spacing w:line="226" w:lineRule="auto"/>
              <w:ind w:left="14"/>
              <w:rPr>
                <w:sz w:val="20"/>
                <w:szCs w:val="20"/>
              </w:rPr>
            </w:pPr>
            <w:r>
              <w:rPr>
                <w:rFonts w:ascii="Times New Roman" w:hAnsi="Times New Roman" w:eastAsia="Times New Roman" w:cs="Times New Roman"/>
                <w:spacing w:val="7"/>
                <w:sz w:val="20"/>
                <w:szCs w:val="20"/>
              </w:rPr>
              <w:t>3.</w:t>
            </w:r>
            <w:r>
              <w:rPr>
                <w:spacing w:val="7"/>
                <w:sz w:val="20"/>
                <w:szCs w:val="20"/>
              </w:rPr>
              <w:t>项目施工过程中采取</w:t>
            </w:r>
          </w:p>
          <w:p w14:paraId="25143947">
            <w:pPr>
              <w:pStyle w:val="6"/>
              <w:spacing w:before="34" w:line="251" w:lineRule="auto"/>
              <w:ind w:left="12"/>
              <w:rPr>
                <w:sz w:val="20"/>
                <w:szCs w:val="20"/>
              </w:rPr>
            </w:pPr>
            <w:r>
              <w:rPr>
                <w:spacing w:val="-1"/>
                <w:sz w:val="20"/>
                <w:szCs w:val="20"/>
              </w:rPr>
              <w:t>相关废气治理措施后，不</w:t>
            </w:r>
            <w:r>
              <w:rPr>
                <w:spacing w:val="5"/>
                <w:sz w:val="20"/>
                <w:szCs w:val="20"/>
              </w:rPr>
              <w:t>会改变区域大气环境功</w:t>
            </w:r>
            <w:r>
              <w:rPr>
                <w:spacing w:val="-1"/>
                <w:sz w:val="20"/>
                <w:szCs w:val="20"/>
              </w:rPr>
              <w:t>能；钻井废水随同废弃泥浆、钻井岩屑拉运至内蒙</w:t>
            </w:r>
            <w:r>
              <w:rPr>
                <w:spacing w:val="5"/>
                <w:sz w:val="20"/>
                <w:szCs w:val="20"/>
              </w:rPr>
              <w:t>古众宁环保科技有限公司油气田废弃物集中处</w:t>
            </w:r>
            <w:r>
              <w:rPr>
                <w:spacing w:val="-1"/>
                <w:sz w:val="20"/>
                <w:szCs w:val="20"/>
              </w:rPr>
              <w:t>理厂处理，并且对井场进行分区防渗，因此不会改变区域水环境功能；废弃泥浆、钻井岩屑拉运至内</w:t>
            </w:r>
            <w:r>
              <w:rPr>
                <w:spacing w:val="5"/>
                <w:sz w:val="20"/>
                <w:szCs w:val="20"/>
              </w:rPr>
              <w:t>蒙古众宁环保科技有限公司油气田废弃物集中</w:t>
            </w:r>
            <w:r>
              <w:rPr>
                <w:spacing w:val="-1"/>
                <w:sz w:val="20"/>
                <w:szCs w:val="20"/>
              </w:rPr>
              <w:t>处理厂处理；危险废物委</w:t>
            </w:r>
            <w:r>
              <w:rPr>
                <w:spacing w:val="2"/>
                <w:sz w:val="20"/>
                <w:szCs w:val="20"/>
              </w:rPr>
              <w:t>托有资质单位拉运处置。</w:t>
            </w:r>
            <w:r>
              <w:rPr>
                <w:spacing w:val="5"/>
                <w:sz w:val="20"/>
                <w:szCs w:val="20"/>
              </w:rPr>
              <w:t>综上，施工期产生的废</w:t>
            </w:r>
            <w:r>
              <w:rPr>
                <w:spacing w:val="-1"/>
                <w:sz w:val="20"/>
                <w:szCs w:val="20"/>
              </w:rPr>
              <w:t>气、废水、固废等均能合理处置及利用，不会对区</w:t>
            </w:r>
            <w:r>
              <w:rPr>
                <w:spacing w:val="5"/>
                <w:sz w:val="20"/>
                <w:szCs w:val="20"/>
              </w:rPr>
              <w:t>域生态环境产生影响。</w:t>
            </w:r>
          </w:p>
          <w:p w14:paraId="6F8A37D5">
            <w:pPr>
              <w:pStyle w:val="6"/>
              <w:spacing w:line="227" w:lineRule="auto"/>
              <w:ind w:left="8"/>
              <w:rPr>
                <w:sz w:val="20"/>
                <w:szCs w:val="20"/>
              </w:rPr>
            </w:pPr>
            <w:r>
              <w:rPr>
                <w:rFonts w:ascii="Times New Roman" w:hAnsi="Times New Roman" w:eastAsia="Times New Roman" w:cs="Times New Roman"/>
                <w:spacing w:val="8"/>
                <w:sz w:val="20"/>
                <w:szCs w:val="20"/>
              </w:rPr>
              <w:t>4.</w:t>
            </w:r>
            <w:r>
              <w:rPr>
                <w:spacing w:val="8"/>
                <w:sz w:val="20"/>
                <w:szCs w:val="20"/>
              </w:rPr>
              <w:t>项目属于国家能源矿</w:t>
            </w:r>
          </w:p>
          <w:p w14:paraId="3114C7FD">
            <w:pPr>
              <w:pStyle w:val="6"/>
              <w:spacing w:before="30" w:line="251" w:lineRule="auto"/>
              <w:ind w:left="12"/>
              <w:rPr>
                <w:sz w:val="20"/>
                <w:szCs w:val="20"/>
              </w:rPr>
            </w:pPr>
            <w:r>
              <w:rPr>
                <w:spacing w:val="-1"/>
                <w:sz w:val="20"/>
                <w:szCs w:val="20"/>
              </w:rPr>
              <w:t>产资源勘探，钻井井场选</w:t>
            </w:r>
            <w:r>
              <w:rPr>
                <w:spacing w:val="5"/>
                <w:sz w:val="20"/>
                <w:szCs w:val="20"/>
              </w:rPr>
              <w:t>址需满足“地上服从地</w:t>
            </w:r>
            <w:r>
              <w:rPr>
                <w:spacing w:val="-3"/>
                <w:sz w:val="20"/>
                <w:szCs w:val="20"/>
              </w:rPr>
              <w:t>下</w:t>
            </w:r>
            <w:r>
              <w:rPr>
                <w:spacing w:val="-69"/>
                <w:sz w:val="20"/>
                <w:szCs w:val="20"/>
              </w:rPr>
              <w:t xml:space="preserve"> </w:t>
            </w:r>
            <w:r>
              <w:rPr>
                <w:spacing w:val="-3"/>
                <w:sz w:val="20"/>
                <w:szCs w:val="20"/>
              </w:rPr>
              <w:t>”的原则，钻井井场不</w:t>
            </w:r>
            <w:r>
              <w:rPr>
                <w:spacing w:val="2"/>
                <w:sz w:val="20"/>
                <w:szCs w:val="20"/>
              </w:rPr>
              <w:t>在生态保护红线范围内，周边区域无自然保护区、</w:t>
            </w:r>
            <w:r>
              <w:rPr>
                <w:spacing w:val="-1"/>
                <w:sz w:val="20"/>
                <w:szCs w:val="20"/>
              </w:rPr>
              <w:t>风景名胜区、文化遗产保护区、水源保护地等环境敏感保护对象。项目已取</w:t>
            </w:r>
            <w:r>
              <w:rPr>
                <w:spacing w:val="4"/>
                <w:sz w:val="20"/>
                <w:szCs w:val="20"/>
              </w:rPr>
              <w:t>得临时用地的批复。</w:t>
            </w:r>
          </w:p>
          <w:p w14:paraId="5006F97B">
            <w:pPr>
              <w:pStyle w:val="6"/>
              <w:spacing w:before="1" w:line="251" w:lineRule="auto"/>
              <w:ind w:left="15" w:right="193"/>
              <w:rPr>
                <w:sz w:val="20"/>
                <w:szCs w:val="20"/>
              </w:rPr>
            </w:pPr>
            <w:r>
              <w:rPr>
                <w:rFonts w:ascii="Times New Roman" w:hAnsi="Times New Roman" w:eastAsia="Times New Roman" w:cs="Times New Roman"/>
                <w:spacing w:val="7"/>
                <w:sz w:val="20"/>
                <w:szCs w:val="20"/>
              </w:rPr>
              <w:t>5.</w:t>
            </w:r>
            <w:r>
              <w:rPr>
                <w:spacing w:val="7"/>
                <w:sz w:val="20"/>
                <w:szCs w:val="20"/>
              </w:rPr>
              <w:t>项目不涉及畜禽养殖</w:t>
            </w:r>
            <w:r>
              <w:rPr>
                <w:spacing w:val="4"/>
                <w:sz w:val="20"/>
                <w:szCs w:val="20"/>
              </w:rPr>
              <w:t>等内容。</w:t>
            </w:r>
          </w:p>
          <w:p w14:paraId="59E1ACB6">
            <w:pPr>
              <w:pStyle w:val="6"/>
              <w:spacing w:before="1" w:line="226" w:lineRule="auto"/>
              <w:ind w:left="14"/>
              <w:rPr>
                <w:sz w:val="20"/>
                <w:szCs w:val="20"/>
              </w:rPr>
            </w:pPr>
            <w:r>
              <w:rPr>
                <w:rFonts w:ascii="Times New Roman" w:hAnsi="Times New Roman" w:eastAsia="Times New Roman" w:cs="Times New Roman"/>
                <w:spacing w:val="7"/>
                <w:sz w:val="20"/>
                <w:szCs w:val="20"/>
              </w:rPr>
              <w:t>6.</w:t>
            </w:r>
            <w:r>
              <w:rPr>
                <w:spacing w:val="7"/>
                <w:sz w:val="20"/>
                <w:szCs w:val="20"/>
              </w:rPr>
              <w:t>项目位于依法设立的</w:t>
            </w:r>
          </w:p>
          <w:p w14:paraId="4AB94A70">
            <w:pPr>
              <w:pStyle w:val="6"/>
              <w:spacing w:before="22" w:line="252" w:lineRule="auto"/>
              <w:ind w:left="14" w:firstLine="24"/>
              <w:rPr>
                <w:sz w:val="20"/>
                <w:szCs w:val="20"/>
              </w:rPr>
            </w:pPr>
            <w:r>
              <w:rPr>
                <w:spacing w:val="4"/>
                <w:sz w:val="20"/>
                <w:szCs w:val="20"/>
              </w:rPr>
              <w:t>内蒙古河套盆地吉锦油</w:t>
            </w:r>
            <w:r>
              <w:rPr>
                <w:spacing w:val="1"/>
                <w:sz w:val="20"/>
                <w:szCs w:val="20"/>
              </w:rPr>
              <w:t>气勘查探矿权范围内，属</w:t>
            </w:r>
            <w:r>
              <w:rPr>
                <w:spacing w:val="7"/>
                <w:sz w:val="20"/>
                <w:szCs w:val="20"/>
              </w:rPr>
              <w:t>于未确定产能建设规模</w:t>
            </w:r>
            <w:r>
              <w:rPr>
                <w:spacing w:val="2"/>
                <w:sz w:val="20"/>
                <w:szCs w:val="20"/>
              </w:rPr>
              <w:t>的陆地油气开采新区块，</w:t>
            </w:r>
            <w:r>
              <w:rPr>
                <w:spacing w:val="7"/>
                <w:sz w:val="20"/>
                <w:szCs w:val="20"/>
              </w:rPr>
              <w:t>因此按照建设项目环境保护分类管理的规定编</w:t>
            </w:r>
            <w:r>
              <w:rPr>
                <w:spacing w:val="6"/>
                <w:sz w:val="20"/>
                <w:szCs w:val="20"/>
              </w:rPr>
              <w:t>制了环境影响报告表。</w:t>
            </w:r>
          </w:p>
          <w:p w14:paraId="54968423">
            <w:pPr>
              <w:pStyle w:val="6"/>
              <w:spacing w:before="3" w:line="252" w:lineRule="auto"/>
              <w:ind w:left="12" w:firstLine="1"/>
              <w:rPr>
                <w:sz w:val="20"/>
                <w:szCs w:val="20"/>
              </w:rPr>
            </w:pPr>
            <w:r>
              <w:rPr>
                <w:rFonts w:ascii="Times New Roman" w:hAnsi="Times New Roman" w:eastAsia="Times New Roman" w:cs="Times New Roman"/>
                <w:spacing w:val="6"/>
                <w:sz w:val="20"/>
                <w:szCs w:val="20"/>
              </w:rPr>
              <w:t>7.</w:t>
            </w:r>
            <w:r>
              <w:rPr>
                <w:spacing w:val="6"/>
                <w:sz w:val="20"/>
                <w:szCs w:val="20"/>
              </w:rPr>
              <w:t>本项目位于园区，项目</w:t>
            </w:r>
            <w:r>
              <w:rPr>
                <w:spacing w:val="2"/>
                <w:sz w:val="20"/>
                <w:szCs w:val="20"/>
              </w:rPr>
              <w:t>不涉及危险废物焚烧、填埋、水泥窑协同等集中处置设施。项目产生的危险</w:t>
            </w:r>
            <w:r>
              <w:rPr>
                <w:spacing w:val="8"/>
                <w:sz w:val="20"/>
                <w:szCs w:val="20"/>
              </w:rPr>
              <w:t>废物委托有资质单位拉</w:t>
            </w:r>
            <w:r>
              <w:rPr>
                <w:spacing w:val="5"/>
                <w:sz w:val="20"/>
                <w:szCs w:val="20"/>
              </w:rPr>
              <w:t>运处置。</w:t>
            </w:r>
          </w:p>
        </w:tc>
        <w:tc>
          <w:tcPr>
            <w:tcW w:w="558" w:type="dxa"/>
            <w:tcBorders>
              <w:left w:val="single" w:color="000000" w:sz="2" w:space="0"/>
            </w:tcBorders>
            <w:vAlign w:val="top"/>
          </w:tcPr>
          <w:p w14:paraId="6BDB1C9A">
            <w:pPr>
              <w:rPr>
                <w:rFonts w:ascii="Arial"/>
                <w:sz w:val="21"/>
              </w:rPr>
            </w:pPr>
          </w:p>
        </w:tc>
      </w:tr>
    </w:tbl>
    <w:p w14:paraId="62320CB6">
      <w:pPr>
        <w:rPr>
          <w:rFonts w:ascii="Arial"/>
          <w:sz w:val="21"/>
        </w:rPr>
      </w:pPr>
    </w:p>
    <w:p w14:paraId="04C2A938">
      <w:pPr>
        <w:rPr>
          <w:rFonts w:ascii="Arial" w:hAnsi="Arial" w:eastAsia="Arial" w:cs="Arial"/>
          <w:sz w:val="21"/>
          <w:szCs w:val="21"/>
        </w:rPr>
        <w:sectPr>
          <w:footerReference r:id="rId23" w:type="default"/>
          <w:pgSz w:w="11906" w:h="16839"/>
          <w:pgMar w:top="400" w:right="1395" w:bottom="1240" w:left="1565" w:header="0" w:footer="1078" w:gutter="0"/>
          <w:cols w:space="720" w:num="1"/>
        </w:sectPr>
      </w:pPr>
    </w:p>
    <w:p w14:paraId="72FC6DAC">
      <w:pPr>
        <w:spacing w:before="56"/>
      </w:pPr>
    </w:p>
    <w:p w14:paraId="2D45A46B">
      <w:pPr>
        <w:spacing w:before="56"/>
      </w:pPr>
    </w:p>
    <w:p w14:paraId="293BAFF8">
      <w:pPr>
        <w:spacing w:before="55"/>
      </w:pPr>
    </w:p>
    <w:p w14:paraId="1D96F1A9">
      <w:pPr>
        <w:spacing w:before="55"/>
      </w:pPr>
    </w:p>
    <w:tbl>
      <w:tblPr>
        <w:tblStyle w:val="5"/>
        <w:tblW w:w="893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56"/>
        <w:gridCol w:w="471"/>
        <w:gridCol w:w="179"/>
        <w:gridCol w:w="748"/>
        <w:gridCol w:w="601"/>
        <w:gridCol w:w="2398"/>
        <w:gridCol w:w="270"/>
        <w:gridCol w:w="2215"/>
        <w:gridCol w:w="34"/>
        <w:gridCol w:w="558"/>
      </w:tblGrid>
      <w:tr w14:paraId="505434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3" w:hRule="atLeast"/>
        </w:trPr>
        <w:tc>
          <w:tcPr>
            <w:tcW w:w="1456" w:type="dxa"/>
            <w:vMerge w:val="restart"/>
            <w:tcBorders>
              <w:top w:val="single" w:color="000000" w:sz="6" w:space="0"/>
              <w:left w:val="single" w:color="000000" w:sz="6" w:space="0"/>
              <w:bottom w:val="nil"/>
            </w:tcBorders>
            <w:vAlign w:val="top"/>
          </w:tcPr>
          <w:p w14:paraId="5254ED86">
            <w:pPr>
              <w:rPr>
                <w:rFonts w:ascii="Arial"/>
                <w:sz w:val="21"/>
              </w:rPr>
            </w:pPr>
          </w:p>
        </w:tc>
        <w:tc>
          <w:tcPr>
            <w:tcW w:w="471" w:type="dxa"/>
            <w:tcBorders>
              <w:top w:val="single" w:color="000000" w:sz="6" w:space="0"/>
              <w:bottom w:val="single" w:color="000000" w:sz="10" w:space="0"/>
            </w:tcBorders>
            <w:vAlign w:val="top"/>
          </w:tcPr>
          <w:p w14:paraId="6D5F41F6">
            <w:pPr>
              <w:rPr>
                <w:rFonts w:ascii="Arial"/>
                <w:sz w:val="21"/>
              </w:rPr>
            </w:pPr>
          </w:p>
        </w:tc>
        <w:tc>
          <w:tcPr>
            <w:tcW w:w="4196" w:type="dxa"/>
            <w:gridSpan w:val="5"/>
            <w:tcBorders>
              <w:top w:val="single" w:color="000000" w:sz="6" w:space="0"/>
              <w:bottom w:val="single" w:color="000000" w:sz="10" w:space="0"/>
            </w:tcBorders>
            <w:vAlign w:val="top"/>
          </w:tcPr>
          <w:p w14:paraId="1474413F">
            <w:pPr>
              <w:pStyle w:val="6"/>
              <w:spacing w:before="51" w:line="245" w:lineRule="auto"/>
              <w:ind w:left="7" w:right="1" w:hanging="1"/>
              <w:jc w:val="both"/>
              <w:rPr>
                <w:sz w:val="20"/>
                <w:szCs w:val="20"/>
              </w:rPr>
            </w:pPr>
            <w:r>
              <w:rPr>
                <w:spacing w:val="7"/>
                <w:sz w:val="20"/>
                <w:szCs w:val="20"/>
              </w:rPr>
              <w:t>划环评等；根据《内蒙古自治区“十四五</w:t>
            </w:r>
            <w:r>
              <w:rPr>
                <w:spacing w:val="-58"/>
                <w:sz w:val="20"/>
                <w:szCs w:val="20"/>
              </w:rPr>
              <w:t xml:space="preserve"> </w:t>
            </w:r>
            <w:r>
              <w:rPr>
                <w:spacing w:val="7"/>
                <w:sz w:val="20"/>
                <w:szCs w:val="20"/>
              </w:rPr>
              <w:t>”危</w:t>
            </w:r>
            <w:r>
              <w:rPr>
                <w:spacing w:val="9"/>
                <w:sz w:val="20"/>
                <w:szCs w:val="20"/>
              </w:rPr>
              <w:t>险废物集中处置设施建设规划》，原则上限制新建、扩建危险废物焚烧、填埋、水泥窑协同</w:t>
            </w:r>
            <w:r>
              <w:rPr>
                <w:spacing w:val="7"/>
                <w:sz w:val="20"/>
                <w:szCs w:val="20"/>
              </w:rPr>
              <w:t>等集中处置设施。</w:t>
            </w:r>
          </w:p>
        </w:tc>
        <w:tc>
          <w:tcPr>
            <w:tcW w:w="2249" w:type="dxa"/>
            <w:gridSpan w:val="2"/>
            <w:tcBorders>
              <w:top w:val="single" w:color="000000" w:sz="6" w:space="0"/>
              <w:bottom w:val="single" w:color="000000" w:sz="10" w:space="0"/>
            </w:tcBorders>
            <w:vAlign w:val="top"/>
          </w:tcPr>
          <w:p w14:paraId="5D4EF65E">
            <w:pPr>
              <w:rPr>
                <w:rFonts w:ascii="Arial"/>
                <w:sz w:val="21"/>
              </w:rPr>
            </w:pPr>
          </w:p>
        </w:tc>
        <w:tc>
          <w:tcPr>
            <w:tcW w:w="558" w:type="dxa"/>
            <w:tcBorders>
              <w:top w:val="single" w:color="000000" w:sz="6" w:space="0"/>
              <w:bottom w:val="single" w:color="000000" w:sz="10" w:space="0"/>
              <w:right w:val="single" w:color="000000" w:sz="6" w:space="0"/>
            </w:tcBorders>
            <w:vAlign w:val="top"/>
          </w:tcPr>
          <w:p w14:paraId="3329C911">
            <w:pPr>
              <w:rPr>
                <w:rFonts w:ascii="Arial"/>
                <w:sz w:val="21"/>
              </w:rPr>
            </w:pPr>
          </w:p>
        </w:tc>
      </w:tr>
      <w:tr w14:paraId="7D8F6C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5" w:hRule="atLeast"/>
        </w:trPr>
        <w:tc>
          <w:tcPr>
            <w:tcW w:w="1456" w:type="dxa"/>
            <w:vMerge w:val="continue"/>
            <w:tcBorders>
              <w:top w:val="nil"/>
              <w:left w:val="single" w:color="000000" w:sz="6" w:space="0"/>
              <w:bottom w:val="nil"/>
            </w:tcBorders>
            <w:vAlign w:val="top"/>
          </w:tcPr>
          <w:p w14:paraId="121F3DC4">
            <w:pPr>
              <w:rPr>
                <w:rFonts w:ascii="Arial"/>
                <w:sz w:val="21"/>
              </w:rPr>
            </w:pPr>
          </w:p>
        </w:tc>
        <w:tc>
          <w:tcPr>
            <w:tcW w:w="7474" w:type="dxa"/>
            <w:gridSpan w:val="9"/>
            <w:tcBorders>
              <w:top w:val="single" w:color="000000" w:sz="10" w:space="0"/>
              <w:bottom w:val="single" w:color="000000" w:sz="10" w:space="0"/>
              <w:right w:val="single" w:color="000000" w:sz="6" w:space="0"/>
            </w:tcBorders>
            <w:vAlign w:val="top"/>
          </w:tcPr>
          <w:p w14:paraId="7A5A87B0">
            <w:pPr>
              <w:pStyle w:val="6"/>
              <w:spacing w:before="28" w:line="359" w:lineRule="auto"/>
              <w:ind w:left="12" w:right="12" w:firstLine="486"/>
              <w:jc w:val="both"/>
            </w:pPr>
            <w:r>
              <w:rPr>
                <w:spacing w:val="-2"/>
              </w:rPr>
              <w:t>根据在内蒙古自治区“三线一单</w:t>
            </w:r>
            <w:r>
              <w:rPr>
                <w:spacing w:val="-70"/>
              </w:rPr>
              <w:t xml:space="preserve"> </w:t>
            </w:r>
            <w:r>
              <w:rPr>
                <w:spacing w:val="-2"/>
              </w:rPr>
              <w:t>”公众端应用平台查询，项目位于</w:t>
            </w:r>
            <w:r>
              <w:rPr>
                <w:rFonts w:ascii="Times New Roman" w:hAnsi="Times New Roman" w:eastAsia="Times New Roman" w:cs="Times New Roman"/>
              </w:rPr>
              <w:t>ZH</w:t>
            </w:r>
            <w:r>
              <w:rPr>
                <w:rFonts w:ascii="Times New Roman" w:hAnsi="Times New Roman" w:eastAsia="Times New Roman" w:cs="Times New Roman"/>
                <w:spacing w:val="1"/>
              </w:rPr>
              <w:t>15082220012</w:t>
            </w:r>
            <w:r>
              <w:rPr>
                <w:spacing w:val="1"/>
              </w:rPr>
              <w:t>隆盛合镇油田勘查用地及采矿用地，管控要求符合性分</w:t>
            </w:r>
            <w:r>
              <w:rPr>
                <w:spacing w:val="-1"/>
              </w:rPr>
              <w:t>析如下。</w:t>
            </w:r>
          </w:p>
          <w:p w14:paraId="79644991">
            <w:pPr>
              <w:spacing w:line="212" w:lineRule="auto"/>
              <w:ind w:left="372"/>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32"/>
                <w:sz w:val="24"/>
                <w:szCs w:val="24"/>
              </w:rPr>
              <w:t xml:space="preserve"> </w:t>
            </w:r>
            <w:r>
              <w:rPr>
                <w:rFonts w:ascii="Times New Roman" w:hAnsi="Times New Roman" w:eastAsia="Times New Roman" w:cs="Times New Roman"/>
                <w:spacing w:val="-1"/>
                <w:sz w:val="24"/>
                <w:szCs w:val="24"/>
              </w:rPr>
              <w:t xml:space="preserve">1-4  </w:t>
            </w:r>
            <w:r>
              <w:rPr>
                <w:rFonts w:ascii="黑体" w:hAnsi="黑体" w:eastAsia="黑体" w:cs="黑体"/>
                <w:spacing w:val="-1"/>
                <w:sz w:val="24"/>
                <w:szCs w:val="24"/>
              </w:rPr>
              <w:t>与隆盛合镇油田勘查用地及采</w:t>
            </w:r>
            <w:r>
              <w:rPr>
                <w:rFonts w:ascii="黑体" w:hAnsi="黑体" w:eastAsia="黑体" w:cs="黑体"/>
                <w:spacing w:val="-2"/>
                <w:sz w:val="24"/>
                <w:szCs w:val="24"/>
              </w:rPr>
              <w:t>矿用地管控单元符合性分析</w:t>
            </w:r>
          </w:p>
        </w:tc>
      </w:tr>
      <w:tr w14:paraId="15B670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1456" w:type="dxa"/>
            <w:vMerge w:val="continue"/>
            <w:tcBorders>
              <w:top w:val="nil"/>
              <w:left w:val="single" w:color="000000" w:sz="6" w:space="0"/>
              <w:bottom w:val="nil"/>
            </w:tcBorders>
            <w:vAlign w:val="top"/>
          </w:tcPr>
          <w:p w14:paraId="1DF64F91">
            <w:pPr>
              <w:rPr>
                <w:rFonts w:ascii="Arial"/>
                <w:sz w:val="21"/>
              </w:rPr>
            </w:pPr>
          </w:p>
        </w:tc>
        <w:tc>
          <w:tcPr>
            <w:tcW w:w="650" w:type="dxa"/>
            <w:gridSpan w:val="2"/>
            <w:tcBorders>
              <w:top w:val="single" w:color="000000" w:sz="10" w:space="0"/>
            </w:tcBorders>
            <w:vAlign w:val="top"/>
          </w:tcPr>
          <w:p w14:paraId="7D2858D3">
            <w:pPr>
              <w:pStyle w:val="6"/>
              <w:spacing w:before="92" w:line="252" w:lineRule="auto"/>
              <w:ind w:left="227" w:right="6" w:hanging="205"/>
              <w:rPr>
                <w:sz w:val="20"/>
                <w:szCs w:val="20"/>
              </w:rPr>
            </w:pPr>
            <w:r>
              <w:rPr>
                <w:spacing w:val="5"/>
                <w:sz w:val="20"/>
                <w:szCs w:val="20"/>
              </w:rPr>
              <w:t>管控单</w:t>
            </w:r>
            <w:r>
              <w:rPr>
                <w:sz w:val="20"/>
                <w:szCs w:val="20"/>
              </w:rPr>
              <w:t>元</w:t>
            </w:r>
          </w:p>
        </w:tc>
        <w:tc>
          <w:tcPr>
            <w:tcW w:w="748" w:type="dxa"/>
            <w:tcBorders>
              <w:top w:val="single" w:color="000000" w:sz="10" w:space="0"/>
            </w:tcBorders>
            <w:vAlign w:val="top"/>
          </w:tcPr>
          <w:p w14:paraId="43470CDB">
            <w:pPr>
              <w:pStyle w:val="6"/>
              <w:spacing w:before="92" w:line="228" w:lineRule="auto"/>
              <w:ind w:left="62"/>
              <w:rPr>
                <w:sz w:val="20"/>
                <w:szCs w:val="20"/>
              </w:rPr>
            </w:pPr>
            <w:r>
              <w:rPr>
                <w:spacing w:val="6"/>
                <w:sz w:val="20"/>
                <w:szCs w:val="20"/>
              </w:rPr>
              <w:t>生态保</w:t>
            </w:r>
          </w:p>
          <w:p w14:paraId="266A6C03">
            <w:pPr>
              <w:pStyle w:val="6"/>
              <w:spacing w:before="24" w:line="228" w:lineRule="auto"/>
              <w:ind w:left="61"/>
              <w:rPr>
                <w:sz w:val="20"/>
                <w:szCs w:val="20"/>
              </w:rPr>
            </w:pPr>
            <w:r>
              <w:rPr>
                <w:spacing w:val="6"/>
                <w:sz w:val="20"/>
                <w:szCs w:val="20"/>
              </w:rPr>
              <w:t>护重点</w:t>
            </w:r>
          </w:p>
        </w:tc>
        <w:tc>
          <w:tcPr>
            <w:tcW w:w="601" w:type="dxa"/>
            <w:tcBorders>
              <w:top w:val="single" w:color="000000" w:sz="10" w:space="0"/>
            </w:tcBorders>
            <w:vAlign w:val="top"/>
          </w:tcPr>
          <w:p w14:paraId="67D1C385">
            <w:pPr>
              <w:pStyle w:val="6"/>
              <w:spacing w:before="229" w:line="228" w:lineRule="auto"/>
              <w:ind w:left="96"/>
              <w:rPr>
                <w:sz w:val="20"/>
                <w:szCs w:val="20"/>
              </w:rPr>
            </w:pPr>
            <w:r>
              <w:rPr>
                <w:spacing w:val="3"/>
                <w:sz w:val="20"/>
                <w:szCs w:val="20"/>
              </w:rPr>
              <w:t>维度</w:t>
            </w:r>
          </w:p>
        </w:tc>
        <w:tc>
          <w:tcPr>
            <w:tcW w:w="2398" w:type="dxa"/>
            <w:tcBorders>
              <w:top w:val="single" w:color="000000" w:sz="10" w:space="0"/>
            </w:tcBorders>
            <w:vAlign w:val="top"/>
          </w:tcPr>
          <w:p w14:paraId="528109CF">
            <w:pPr>
              <w:pStyle w:val="6"/>
              <w:spacing w:before="228" w:line="228" w:lineRule="auto"/>
              <w:ind w:left="790"/>
              <w:rPr>
                <w:sz w:val="20"/>
                <w:szCs w:val="20"/>
              </w:rPr>
            </w:pPr>
            <w:r>
              <w:rPr>
                <w:spacing w:val="6"/>
                <w:sz w:val="20"/>
                <w:szCs w:val="20"/>
              </w:rPr>
              <w:t>管控措施</w:t>
            </w:r>
          </w:p>
        </w:tc>
        <w:tc>
          <w:tcPr>
            <w:tcW w:w="2485" w:type="dxa"/>
            <w:gridSpan w:val="2"/>
            <w:tcBorders>
              <w:top w:val="single" w:color="000000" w:sz="10" w:space="0"/>
            </w:tcBorders>
            <w:vAlign w:val="top"/>
          </w:tcPr>
          <w:p w14:paraId="356110FD">
            <w:pPr>
              <w:pStyle w:val="6"/>
              <w:spacing w:before="229" w:line="228" w:lineRule="auto"/>
              <w:ind w:left="836"/>
              <w:rPr>
                <w:sz w:val="20"/>
                <w:szCs w:val="20"/>
              </w:rPr>
            </w:pPr>
            <w:r>
              <w:rPr>
                <w:spacing w:val="6"/>
                <w:sz w:val="20"/>
                <w:szCs w:val="20"/>
              </w:rPr>
              <w:t>项目情况</w:t>
            </w:r>
          </w:p>
        </w:tc>
        <w:tc>
          <w:tcPr>
            <w:tcW w:w="592" w:type="dxa"/>
            <w:gridSpan w:val="2"/>
            <w:tcBorders>
              <w:top w:val="single" w:color="000000" w:sz="10" w:space="0"/>
              <w:right w:val="single" w:color="000000" w:sz="6" w:space="0"/>
            </w:tcBorders>
            <w:vAlign w:val="top"/>
          </w:tcPr>
          <w:p w14:paraId="7FFD45EA">
            <w:pPr>
              <w:pStyle w:val="6"/>
              <w:spacing w:before="92" w:line="228" w:lineRule="auto"/>
              <w:ind w:left="91"/>
              <w:rPr>
                <w:sz w:val="20"/>
                <w:szCs w:val="20"/>
              </w:rPr>
            </w:pPr>
            <w:r>
              <w:rPr>
                <w:spacing w:val="3"/>
                <w:sz w:val="20"/>
                <w:szCs w:val="20"/>
              </w:rPr>
              <w:t>是否</w:t>
            </w:r>
          </w:p>
          <w:p w14:paraId="76C718B4">
            <w:pPr>
              <w:pStyle w:val="6"/>
              <w:spacing w:before="23" w:line="228" w:lineRule="auto"/>
              <w:ind w:left="90"/>
              <w:rPr>
                <w:sz w:val="20"/>
                <w:szCs w:val="20"/>
              </w:rPr>
            </w:pPr>
            <w:r>
              <w:rPr>
                <w:spacing w:val="3"/>
                <w:sz w:val="20"/>
                <w:szCs w:val="20"/>
              </w:rPr>
              <w:t>符合</w:t>
            </w:r>
          </w:p>
        </w:tc>
      </w:tr>
      <w:tr w14:paraId="2ED614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03" w:hRule="atLeast"/>
        </w:trPr>
        <w:tc>
          <w:tcPr>
            <w:tcW w:w="1456" w:type="dxa"/>
            <w:vMerge w:val="continue"/>
            <w:tcBorders>
              <w:top w:val="nil"/>
              <w:left w:val="single" w:color="000000" w:sz="6" w:space="0"/>
              <w:bottom w:val="single" w:color="000000" w:sz="6" w:space="0"/>
            </w:tcBorders>
            <w:vAlign w:val="top"/>
          </w:tcPr>
          <w:p w14:paraId="1DF0A17A">
            <w:pPr>
              <w:rPr>
                <w:rFonts w:ascii="Arial"/>
                <w:sz w:val="21"/>
              </w:rPr>
            </w:pPr>
          </w:p>
        </w:tc>
        <w:tc>
          <w:tcPr>
            <w:tcW w:w="650" w:type="dxa"/>
            <w:gridSpan w:val="2"/>
            <w:tcBorders>
              <w:bottom w:val="single" w:color="000000" w:sz="6" w:space="0"/>
            </w:tcBorders>
            <w:vAlign w:val="top"/>
          </w:tcPr>
          <w:p w14:paraId="4EE49076">
            <w:pPr>
              <w:spacing w:line="247" w:lineRule="auto"/>
              <w:rPr>
                <w:rFonts w:ascii="Arial"/>
                <w:sz w:val="21"/>
              </w:rPr>
            </w:pPr>
          </w:p>
          <w:p w14:paraId="201936EF">
            <w:pPr>
              <w:spacing w:line="247" w:lineRule="auto"/>
              <w:rPr>
                <w:rFonts w:ascii="Arial"/>
                <w:sz w:val="21"/>
              </w:rPr>
            </w:pPr>
          </w:p>
          <w:p w14:paraId="4B17BDF3">
            <w:pPr>
              <w:spacing w:line="247" w:lineRule="auto"/>
              <w:rPr>
                <w:rFonts w:ascii="Arial"/>
                <w:sz w:val="21"/>
              </w:rPr>
            </w:pPr>
          </w:p>
          <w:p w14:paraId="2B92FF65">
            <w:pPr>
              <w:spacing w:line="247" w:lineRule="auto"/>
              <w:rPr>
                <w:rFonts w:ascii="Arial"/>
                <w:sz w:val="21"/>
              </w:rPr>
            </w:pPr>
          </w:p>
          <w:p w14:paraId="2EF64278">
            <w:pPr>
              <w:spacing w:line="247" w:lineRule="auto"/>
              <w:rPr>
                <w:rFonts w:ascii="Arial"/>
                <w:sz w:val="21"/>
              </w:rPr>
            </w:pPr>
          </w:p>
          <w:p w14:paraId="73B04D30">
            <w:pPr>
              <w:spacing w:line="247" w:lineRule="auto"/>
              <w:rPr>
                <w:rFonts w:ascii="Arial"/>
                <w:sz w:val="21"/>
              </w:rPr>
            </w:pPr>
          </w:p>
          <w:p w14:paraId="3D50C76D">
            <w:pPr>
              <w:spacing w:line="248" w:lineRule="auto"/>
              <w:rPr>
                <w:rFonts w:ascii="Arial"/>
                <w:sz w:val="21"/>
              </w:rPr>
            </w:pPr>
          </w:p>
          <w:p w14:paraId="2DA9C1AF">
            <w:pPr>
              <w:spacing w:line="248" w:lineRule="auto"/>
              <w:rPr>
                <w:rFonts w:ascii="Arial"/>
                <w:sz w:val="21"/>
              </w:rPr>
            </w:pPr>
          </w:p>
          <w:p w14:paraId="5D37E895">
            <w:pPr>
              <w:spacing w:line="248" w:lineRule="auto"/>
              <w:rPr>
                <w:rFonts w:ascii="Arial"/>
                <w:sz w:val="21"/>
              </w:rPr>
            </w:pPr>
          </w:p>
          <w:p w14:paraId="2476DFF2">
            <w:pPr>
              <w:spacing w:line="248" w:lineRule="auto"/>
              <w:rPr>
                <w:rFonts w:ascii="Arial"/>
                <w:sz w:val="21"/>
              </w:rPr>
            </w:pPr>
          </w:p>
          <w:p w14:paraId="604DEBB1">
            <w:pPr>
              <w:spacing w:line="248" w:lineRule="auto"/>
              <w:rPr>
                <w:rFonts w:ascii="Arial"/>
                <w:sz w:val="21"/>
              </w:rPr>
            </w:pPr>
          </w:p>
          <w:p w14:paraId="108FB69F">
            <w:pPr>
              <w:spacing w:line="248" w:lineRule="auto"/>
              <w:rPr>
                <w:rFonts w:ascii="Arial"/>
                <w:sz w:val="21"/>
              </w:rPr>
            </w:pPr>
          </w:p>
          <w:p w14:paraId="7B1AED90">
            <w:pPr>
              <w:spacing w:line="248" w:lineRule="auto"/>
              <w:rPr>
                <w:rFonts w:ascii="Arial"/>
                <w:sz w:val="21"/>
              </w:rPr>
            </w:pPr>
          </w:p>
          <w:p w14:paraId="37A67837">
            <w:pPr>
              <w:spacing w:line="248" w:lineRule="auto"/>
              <w:rPr>
                <w:rFonts w:ascii="Arial"/>
                <w:sz w:val="21"/>
              </w:rPr>
            </w:pPr>
          </w:p>
          <w:p w14:paraId="7863FD37">
            <w:pPr>
              <w:spacing w:line="248" w:lineRule="auto"/>
              <w:rPr>
                <w:rFonts w:ascii="Arial"/>
                <w:sz w:val="21"/>
              </w:rPr>
            </w:pPr>
          </w:p>
          <w:p w14:paraId="4FCDC4D6">
            <w:pPr>
              <w:spacing w:line="248" w:lineRule="auto"/>
              <w:rPr>
                <w:rFonts w:ascii="Arial"/>
                <w:sz w:val="21"/>
              </w:rPr>
            </w:pPr>
          </w:p>
          <w:p w14:paraId="10475688">
            <w:pPr>
              <w:spacing w:line="248" w:lineRule="auto"/>
              <w:rPr>
                <w:rFonts w:ascii="Arial"/>
                <w:sz w:val="21"/>
              </w:rPr>
            </w:pPr>
          </w:p>
          <w:p w14:paraId="74886A80">
            <w:pPr>
              <w:spacing w:line="248" w:lineRule="auto"/>
              <w:rPr>
                <w:rFonts w:ascii="Arial"/>
                <w:sz w:val="21"/>
              </w:rPr>
            </w:pPr>
          </w:p>
          <w:p w14:paraId="1A681667">
            <w:pPr>
              <w:spacing w:line="248" w:lineRule="auto"/>
              <w:rPr>
                <w:rFonts w:ascii="Arial"/>
                <w:sz w:val="21"/>
              </w:rPr>
            </w:pPr>
          </w:p>
          <w:p w14:paraId="42A9EC20">
            <w:pPr>
              <w:pStyle w:val="6"/>
              <w:spacing w:before="65" w:line="252" w:lineRule="auto"/>
              <w:ind w:left="16" w:right="6" w:firstLine="1"/>
              <w:rPr>
                <w:sz w:val="20"/>
                <w:szCs w:val="20"/>
              </w:rPr>
            </w:pPr>
            <w:r>
              <w:rPr>
                <w:spacing w:val="6"/>
                <w:sz w:val="20"/>
                <w:szCs w:val="20"/>
              </w:rPr>
              <w:t>重点管</w:t>
            </w:r>
            <w:r>
              <w:rPr>
                <w:spacing w:val="7"/>
                <w:sz w:val="20"/>
                <w:szCs w:val="20"/>
              </w:rPr>
              <w:t>控单元</w:t>
            </w:r>
          </w:p>
        </w:tc>
        <w:tc>
          <w:tcPr>
            <w:tcW w:w="748" w:type="dxa"/>
            <w:tcBorders>
              <w:bottom w:val="single" w:color="000000" w:sz="6" w:space="0"/>
            </w:tcBorders>
            <w:vAlign w:val="top"/>
          </w:tcPr>
          <w:p w14:paraId="12AE8FF3">
            <w:pPr>
              <w:spacing w:line="254" w:lineRule="auto"/>
              <w:rPr>
                <w:rFonts w:ascii="Arial"/>
                <w:sz w:val="21"/>
              </w:rPr>
            </w:pPr>
          </w:p>
          <w:p w14:paraId="55BD8213">
            <w:pPr>
              <w:spacing w:line="254" w:lineRule="auto"/>
              <w:rPr>
                <w:rFonts w:ascii="Arial"/>
                <w:sz w:val="21"/>
              </w:rPr>
            </w:pPr>
          </w:p>
          <w:p w14:paraId="775DD3E9">
            <w:pPr>
              <w:spacing w:line="254" w:lineRule="auto"/>
              <w:rPr>
                <w:rFonts w:ascii="Arial"/>
                <w:sz w:val="21"/>
              </w:rPr>
            </w:pPr>
          </w:p>
          <w:p w14:paraId="53810CB7">
            <w:pPr>
              <w:spacing w:line="254" w:lineRule="auto"/>
              <w:rPr>
                <w:rFonts w:ascii="Arial"/>
                <w:sz w:val="21"/>
              </w:rPr>
            </w:pPr>
          </w:p>
          <w:p w14:paraId="67AED56B">
            <w:pPr>
              <w:spacing w:line="254" w:lineRule="auto"/>
              <w:rPr>
                <w:rFonts w:ascii="Arial"/>
                <w:sz w:val="21"/>
              </w:rPr>
            </w:pPr>
          </w:p>
          <w:p w14:paraId="768679CE">
            <w:pPr>
              <w:spacing w:line="254" w:lineRule="auto"/>
              <w:rPr>
                <w:rFonts w:ascii="Arial"/>
                <w:sz w:val="21"/>
              </w:rPr>
            </w:pPr>
          </w:p>
          <w:p w14:paraId="237B2597">
            <w:pPr>
              <w:spacing w:line="254" w:lineRule="auto"/>
              <w:rPr>
                <w:rFonts w:ascii="Arial"/>
                <w:sz w:val="21"/>
              </w:rPr>
            </w:pPr>
          </w:p>
          <w:p w14:paraId="411C7DF0">
            <w:pPr>
              <w:spacing w:line="254" w:lineRule="auto"/>
              <w:rPr>
                <w:rFonts w:ascii="Arial"/>
                <w:sz w:val="21"/>
              </w:rPr>
            </w:pPr>
          </w:p>
          <w:p w14:paraId="2DC0162E">
            <w:pPr>
              <w:spacing w:line="254" w:lineRule="auto"/>
              <w:rPr>
                <w:rFonts w:ascii="Arial"/>
                <w:sz w:val="21"/>
              </w:rPr>
            </w:pPr>
          </w:p>
          <w:p w14:paraId="485A035E">
            <w:pPr>
              <w:spacing w:line="254" w:lineRule="auto"/>
              <w:rPr>
                <w:rFonts w:ascii="Arial"/>
                <w:sz w:val="21"/>
              </w:rPr>
            </w:pPr>
          </w:p>
          <w:p w14:paraId="7F3BA8D9">
            <w:pPr>
              <w:pStyle w:val="6"/>
              <w:spacing w:before="65" w:line="228" w:lineRule="auto"/>
              <w:ind w:left="63"/>
              <w:rPr>
                <w:sz w:val="20"/>
                <w:szCs w:val="20"/>
              </w:rPr>
            </w:pPr>
            <w:r>
              <w:rPr>
                <w:spacing w:val="6"/>
                <w:sz w:val="20"/>
                <w:szCs w:val="20"/>
              </w:rPr>
              <w:t>大气环</w:t>
            </w:r>
          </w:p>
          <w:p w14:paraId="7F598FB1">
            <w:pPr>
              <w:pStyle w:val="6"/>
              <w:spacing w:before="25" w:line="228" w:lineRule="auto"/>
              <w:ind w:left="61"/>
              <w:rPr>
                <w:sz w:val="20"/>
                <w:szCs w:val="20"/>
              </w:rPr>
            </w:pPr>
            <w:r>
              <w:rPr>
                <w:spacing w:val="6"/>
                <w:sz w:val="20"/>
                <w:szCs w:val="20"/>
              </w:rPr>
              <w:t>境高排</w:t>
            </w:r>
          </w:p>
          <w:p w14:paraId="382A9F26">
            <w:pPr>
              <w:pStyle w:val="6"/>
              <w:spacing w:before="24" w:line="229" w:lineRule="auto"/>
              <w:ind w:left="61"/>
              <w:rPr>
                <w:sz w:val="20"/>
                <w:szCs w:val="20"/>
              </w:rPr>
            </w:pPr>
            <w:r>
              <w:rPr>
                <w:spacing w:val="6"/>
                <w:sz w:val="20"/>
                <w:szCs w:val="20"/>
              </w:rPr>
              <w:t>放重点</w:t>
            </w:r>
          </w:p>
          <w:p w14:paraId="76DBE133">
            <w:pPr>
              <w:pStyle w:val="6"/>
              <w:spacing w:before="25" w:line="228" w:lineRule="auto"/>
              <w:jc w:val="right"/>
              <w:rPr>
                <w:sz w:val="20"/>
                <w:szCs w:val="20"/>
              </w:rPr>
            </w:pPr>
            <w:r>
              <w:rPr>
                <w:spacing w:val="-17"/>
                <w:sz w:val="20"/>
                <w:szCs w:val="20"/>
              </w:rPr>
              <w:t>管控区、</w:t>
            </w:r>
          </w:p>
          <w:p w14:paraId="546A120F">
            <w:pPr>
              <w:pStyle w:val="6"/>
              <w:spacing w:before="25" w:line="228" w:lineRule="auto"/>
              <w:ind w:left="63"/>
              <w:rPr>
                <w:sz w:val="20"/>
                <w:szCs w:val="20"/>
              </w:rPr>
            </w:pPr>
            <w:r>
              <w:rPr>
                <w:spacing w:val="6"/>
                <w:sz w:val="20"/>
                <w:szCs w:val="20"/>
              </w:rPr>
              <w:t>大气环</w:t>
            </w:r>
          </w:p>
          <w:p w14:paraId="000D5C51">
            <w:pPr>
              <w:pStyle w:val="6"/>
              <w:spacing w:before="23" w:line="227" w:lineRule="auto"/>
              <w:ind w:left="61"/>
              <w:rPr>
                <w:sz w:val="20"/>
                <w:szCs w:val="20"/>
              </w:rPr>
            </w:pPr>
            <w:r>
              <w:rPr>
                <w:spacing w:val="6"/>
                <w:sz w:val="20"/>
                <w:szCs w:val="20"/>
              </w:rPr>
              <w:t>境布局</w:t>
            </w:r>
          </w:p>
          <w:p w14:paraId="6E9E77BC">
            <w:pPr>
              <w:pStyle w:val="6"/>
              <w:spacing w:before="28" w:line="228" w:lineRule="auto"/>
              <w:ind w:left="61"/>
              <w:rPr>
                <w:sz w:val="20"/>
                <w:szCs w:val="20"/>
              </w:rPr>
            </w:pPr>
            <w:r>
              <w:rPr>
                <w:spacing w:val="6"/>
                <w:sz w:val="20"/>
                <w:szCs w:val="20"/>
              </w:rPr>
              <w:t>敏感重</w:t>
            </w:r>
          </w:p>
          <w:p w14:paraId="28FC70D8">
            <w:pPr>
              <w:pStyle w:val="6"/>
              <w:spacing w:before="24" w:line="228" w:lineRule="auto"/>
              <w:ind w:left="71"/>
              <w:rPr>
                <w:sz w:val="20"/>
                <w:szCs w:val="20"/>
              </w:rPr>
            </w:pPr>
            <w:r>
              <w:rPr>
                <w:spacing w:val="3"/>
                <w:sz w:val="20"/>
                <w:szCs w:val="20"/>
              </w:rPr>
              <w:t>点管控</w:t>
            </w:r>
          </w:p>
          <w:p w14:paraId="56B6ADD0">
            <w:pPr>
              <w:pStyle w:val="6"/>
              <w:spacing w:before="27" w:line="228" w:lineRule="auto"/>
              <w:ind w:left="21"/>
              <w:rPr>
                <w:sz w:val="20"/>
                <w:szCs w:val="20"/>
              </w:rPr>
            </w:pPr>
            <w:r>
              <w:rPr>
                <w:spacing w:val="-23"/>
                <w:sz w:val="20"/>
                <w:szCs w:val="20"/>
              </w:rPr>
              <w:t>区、水</w:t>
            </w:r>
            <w:r>
              <w:rPr>
                <w:spacing w:val="-19"/>
                <w:sz w:val="20"/>
                <w:szCs w:val="20"/>
              </w:rPr>
              <w:t>环</w:t>
            </w:r>
          </w:p>
          <w:p w14:paraId="25E88A19">
            <w:pPr>
              <w:pStyle w:val="6"/>
              <w:spacing w:before="24" w:line="228" w:lineRule="auto"/>
              <w:ind w:left="61"/>
              <w:rPr>
                <w:sz w:val="20"/>
                <w:szCs w:val="20"/>
              </w:rPr>
            </w:pPr>
            <w:r>
              <w:rPr>
                <w:spacing w:val="6"/>
                <w:sz w:val="20"/>
                <w:szCs w:val="20"/>
              </w:rPr>
              <w:t>境农业</w:t>
            </w:r>
          </w:p>
          <w:p w14:paraId="1A497655">
            <w:pPr>
              <w:pStyle w:val="6"/>
              <w:spacing w:before="27" w:line="228" w:lineRule="auto"/>
              <w:ind w:left="62"/>
              <w:rPr>
                <w:sz w:val="20"/>
                <w:szCs w:val="20"/>
              </w:rPr>
            </w:pPr>
            <w:r>
              <w:rPr>
                <w:spacing w:val="6"/>
                <w:sz w:val="20"/>
                <w:szCs w:val="20"/>
              </w:rPr>
              <w:t>污染重</w:t>
            </w:r>
          </w:p>
          <w:p w14:paraId="70890415">
            <w:pPr>
              <w:pStyle w:val="6"/>
              <w:spacing w:before="24" w:line="228" w:lineRule="auto"/>
              <w:ind w:left="71"/>
              <w:rPr>
                <w:sz w:val="20"/>
                <w:szCs w:val="20"/>
              </w:rPr>
            </w:pPr>
            <w:r>
              <w:rPr>
                <w:spacing w:val="3"/>
                <w:sz w:val="20"/>
                <w:szCs w:val="20"/>
              </w:rPr>
              <w:t>点管控</w:t>
            </w:r>
          </w:p>
          <w:p w14:paraId="11D749E0">
            <w:pPr>
              <w:pStyle w:val="6"/>
              <w:spacing w:before="26" w:line="233" w:lineRule="auto"/>
              <w:ind w:left="21"/>
              <w:rPr>
                <w:sz w:val="20"/>
                <w:szCs w:val="20"/>
              </w:rPr>
            </w:pPr>
            <w:r>
              <w:rPr>
                <w:spacing w:val="-23"/>
                <w:sz w:val="20"/>
                <w:szCs w:val="20"/>
              </w:rPr>
              <w:t>区、生</w:t>
            </w:r>
            <w:r>
              <w:rPr>
                <w:spacing w:val="-19"/>
                <w:sz w:val="20"/>
                <w:szCs w:val="20"/>
              </w:rPr>
              <w:t>态</w:t>
            </w:r>
          </w:p>
          <w:p w14:paraId="675B96AE">
            <w:pPr>
              <w:pStyle w:val="6"/>
              <w:spacing w:before="19" w:line="228" w:lineRule="auto"/>
              <w:ind w:left="62"/>
              <w:rPr>
                <w:sz w:val="20"/>
                <w:szCs w:val="20"/>
              </w:rPr>
            </w:pPr>
            <w:r>
              <w:rPr>
                <w:spacing w:val="6"/>
                <w:sz w:val="20"/>
                <w:szCs w:val="20"/>
              </w:rPr>
              <w:t>用水补</w:t>
            </w:r>
          </w:p>
          <w:p w14:paraId="3ADB0DFB">
            <w:pPr>
              <w:pStyle w:val="6"/>
              <w:spacing w:before="27" w:line="228" w:lineRule="auto"/>
              <w:ind w:left="6"/>
              <w:rPr>
                <w:sz w:val="20"/>
                <w:szCs w:val="20"/>
              </w:rPr>
            </w:pPr>
            <w:r>
              <w:rPr>
                <w:spacing w:val="-19"/>
                <w:sz w:val="20"/>
                <w:szCs w:val="20"/>
              </w:rPr>
              <w:t>给区</w:t>
            </w:r>
            <w:r>
              <w:rPr>
                <w:spacing w:val="-18"/>
                <w:sz w:val="20"/>
                <w:szCs w:val="20"/>
              </w:rPr>
              <w:t>、</w:t>
            </w:r>
            <w:r>
              <w:rPr>
                <w:spacing w:val="-16"/>
                <w:sz w:val="20"/>
                <w:szCs w:val="20"/>
              </w:rPr>
              <w:t>土</w:t>
            </w:r>
          </w:p>
          <w:p w14:paraId="0CFC741E">
            <w:pPr>
              <w:pStyle w:val="6"/>
              <w:spacing w:before="24" w:line="229" w:lineRule="auto"/>
              <w:ind w:left="61"/>
              <w:rPr>
                <w:sz w:val="20"/>
                <w:szCs w:val="20"/>
              </w:rPr>
            </w:pPr>
            <w:r>
              <w:rPr>
                <w:spacing w:val="6"/>
                <w:sz w:val="20"/>
                <w:szCs w:val="20"/>
              </w:rPr>
              <w:t>地资源</w:t>
            </w:r>
          </w:p>
          <w:p w14:paraId="63A853CB">
            <w:pPr>
              <w:pStyle w:val="6"/>
              <w:spacing w:before="25" w:line="228" w:lineRule="auto"/>
              <w:ind w:left="61"/>
              <w:rPr>
                <w:sz w:val="20"/>
                <w:szCs w:val="20"/>
              </w:rPr>
            </w:pPr>
            <w:r>
              <w:rPr>
                <w:spacing w:val="6"/>
                <w:sz w:val="20"/>
                <w:szCs w:val="20"/>
              </w:rPr>
              <w:t>重点管</w:t>
            </w:r>
          </w:p>
          <w:p w14:paraId="38BEBF0A">
            <w:pPr>
              <w:pStyle w:val="6"/>
              <w:spacing w:before="25" w:line="228" w:lineRule="auto"/>
              <w:ind w:left="165"/>
              <w:rPr>
                <w:sz w:val="20"/>
                <w:szCs w:val="20"/>
              </w:rPr>
            </w:pPr>
            <w:r>
              <w:rPr>
                <w:spacing w:val="5"/>
                <w:sz w:val="20"/>
                <w:szCs w:val="20"/>
              </w:rPr>
              <w:t>控区</w:t>
            </w:r>
          </w:p>
        </w:tc>
        <w:tc>
          <w:tcPr>
            <w:tcW w:w="601" w:type="dxa"/>
            <w:tcBorders>
              <w:bottom w:val="single" w:color="000000" w:sz="6" w:space="0"/>
            </w:tcBorders>
            <w:vAlign w:val="top"/>
          </w:tcPr>
          <w:p w14:paraId="46A43B9E">
            <w:pPr>
              <w:rPr>
                <w:rFonts w:ascii="Arial"/>
                <w:sz w:val="21"/>
              </w:rPr>
            </w:pPr>
          </w:p>
          <w:p w14:paraId="1777B9D5">
            <w:pPr>
              <w:rPr>
                <w:rFonts w:ascii="Arial"/>
                <w:sz w:val="21"/>
              </w:rPr>
            </w:pPr>
          </w:p>
          <w:p w14:paraId="0EAE5EE4">
            <w:pPr>
              <w:rPr>
                <w:rFonts w:ascii="Arial"/>
                <w:sz w:val="21"/>
              </w:rPr>
            </w:pPr>
          </w:p>
          <w:p w14:paraId="648500F8">
            <w:pPr>
              <w:rPr>
                <w:rFonts w:ascii="Arial"/>
                <w:sz w:val="21"/>
              </w:rPr>
            </w:pPr>
          </w:p>
          <w:p w14:paraId="1E480144">
            <w:pPr>
              <w:rPr>
                <w:rFonts w:ascii="Arial"/>
                <w:sz w:val="21"/>
              </w:rPr>
            </w:pPr>
          </w:p>
          <w:p w14:paraId="4D498D91">
            <w:pPr>
              <w:rPr>
                <w:rFonts w:ascii="Arial"/>
                <w:sz w:val="21"/>
              </w:rPr>
            </w:pPr>
          </w:p>
          <w:p w14:paraId="30150026">
            <w:pPr>
              <w:rPr>
                <w:rFonts w:ascii="Arial"/>
                <w:sz w:val="21"/>
              </w:rPr>
            </w:pPr>
          </w:p>
          <w:p w14:paraId="11C2C0E4">
            <w:pPr>
              <w:rPr>
                <w:rFonts w:ascii="Arial"/>
                <w:sz w:val="21"/>
              </w:rPr>
            </w:pPr>
          </w:p>
          <w:p w14:paraId="42AAEC45">
            <w:pPr>
              <w:spacing w:line="241" w:lineRule="auto"/>
              <w:rPr>
                <w:rFonts w:ascii="Arial"/>
                <w:sz w:val="21"/>
              </w:rPr>
            </w:pPr>
          </w:p>
          <w:p w14:paraId="2738198C">
            <w:pPr>
              <w:spacing w:line="241" w:lineRule="auto"/>
              <w:rPr>
                <w:rFonts w:ascii="Arial"/>
                <w:sz w:val="21"/>
              </w:rPr>
            </w:pPr>
          </w:p>
          <w:p w14:paraId="52F1A31B">
            <w:pPr>
              <w:spacing w:line="241" w:lineRule="auto"/>
              <w:rPr>
                <w:rFonts w:ascii="Arial"/>
                <w:sz w:val="21"/>
              </w:rPr>
            </w:pPr>
          </w:p>
          <w:p w14:paraId="0B1594E5">
            <w:pPr>
              <w:spacing w:line="241" w:lineRule="auto"/>
              <w:rPr>
                <w:rFonts w:ascii="Arial"/>
                <w:sz w:val="21"/>
              </w:rPr>
            </w:pPr>
          </w:p>
          <w:p w14:paraId="721F0D56">
            <w:pPr>
              <w:spacing w:line="241" w:lineRule="auto"/>
              <w:rPr>
                <w:rFonts w:ascii="Arial"/>
                <w:sz w:val="21"/>
              </w:rPr>
            </w:pPr>
          </w:p>
          <w:p w14:paraId="4BEF62B6">
            <w:pPr>
              <w:spacing w:line="241" w:lineRule="auto"/>
              <w:rPr>
                <w:rFonts w:ascii="Arial"/>
                <w:sz w:val="21"/>
              </w:rPr>
            </w:pPr>
          </w:p>
          <w:p w14:paraId="6DF25E93">
            <w:pPr>
              <w:spacing w:line="241" w:lineRule="auto"/>
              <w:rPr>
                <w:rFonts w:ascii="Arial"/>
                <w:sz w:val="21"/>
              </w:rPr>
            </w:pPr>
          </w:p>
          <w:p w14:paraId="7D83562F">
            <w:pPr>
              <w:spacing w:line="241" w:lineRule="auto"/>
              <w:rPr>
                <w:rFonts w:ascii="Arial"/>
                <w:sz w:val="21"/>
              </w:rPr>
            </w:pPr>
          </w:p>
          <w:p w14:paraId="393DA871">
            <w:pPr>
              <w:spacing w:line="241" w:lineRule="auto"/>
              <w:rPr>
                <w:rFonts w:ascii="Arial"/>
                <w:sz w:val="21"/>
              </w:rPr>
            </w:pPr>
          </w:p>
          <w:p w14:paraId="299DDE9A">
            <w:pPr>
              <w:spacing w:line="241" w:lineRule="auto"/>
              <w:rPr>
                <w:rFonts w:ascii="Arial"/>
                <w:sz w:val="21"/>
              </w:rPr>
            </w:pPr>
          </w:p>
          <w:p w14:paraId="41C9171D">
            <w:pPr>
              <w:spacing w:line="241" w:lineRule="auto"/>
              <w:rPr>
                <w:rFonts w:ascii="Arial"/>
                <w:sz w:val="21"/>
              </w:rPr>
            </w:pPr>
          </w:p>
          <w:p w14:paraId="31BE2652">
            <w:pPr>
              <w:pStyle w:val="6"/>
              <w:spacing w:before="65" w:line="252" w:lineRule="auto"/>
              <w:ind w:left="93" w:right="93" w:firstLine="6"/>
              <w:jc w:val="both"/>
              <w:rPr>
                <w:sz w:val="20"/>
                <w:szCs w:val="20"/>
              </w:rPr>
            </w:pPr>
            <w:r>
              <w:rPr>
                <w:spacing w:val="1"/>
                <w:sz w:val="20"/>
                <w:szCs w:val="20"/>
              </w:rPr>
              <w:t>空间</w:t>
            </w:r>
            <w:r>
              <w:rPr>
                <w:spacing w:val="4"/>
                <w:sz w:val="20"/>
                <w:szCs w:val="20"/>
              </w:rPr>
              <w:t>布局约束</w:t>
            </w:r>
          </w:p>
        </w:tc>
        <w:tc>
          <w:tcPr>
            <w:tcW w:w="2398" w:type="dxa"/>
            <w:tcBorders>
              <w:bottom w:val="single" w:color="000000" w:sz="6" w:space="0"/>
            </w:tcBorders>
            <w:vAlign w:val="top"/>
          </w:tcPr>
          <w:p w14:paraId="2ED16365">
            <w:pPr>
              <w:spacing w:line="266" w:lineRule="auto"/>
              <w:rPr>
                <w:rFonts w:ascii="Arial"/>
                <w:sz w:val="21"/>
              </w:rPr>
            </w:pPr>
          </w:p>
          <w:p w14:paraId="49E6045E">
            <w:pPr>
              <w:spacing w:line="266" w:lineRule="auto"/>
              <w:rPr>
                <w:rFonts w:ascii="Arial"/>
                <w:sz w:val="21"/>
              </w:rPr>
            </w:pPr>
          </w:p>
          <w:p w14:paraId="517E340D">
            <w:pPr>
              <w:spacing w:line="266" w:lineRule="auto"/>
              <w:rPr>
                <w:rFonts w:ascii="Arial"/>
                <w:sz w:val="21"/>
              </w:rPr>
            </w:pPr>
          </w:p>
          <w:p w14:paraId="24A414BA">
            <w:pPr>
              <w:spacing w:line="266" w:lineRule="auto"/>
              <w:rPr>
                <w:rFonts w:ascii="Arial"/>
                <w:sz w:val="21"/>
              </w:rPr>
            </w:pPr>
          </w:p>
          <w:p w14:paraId="32D1BFF5">
            <w:pPr>
              <w:spacing w:line="267" w:lineRule="auto"/>
              <w:rPr>
                <w:rFonts w:ascii="Arial"/>
                <w:sz w:val="21"/>
              </w:rPr>
            </w:pPr>
          </w:p>
          <w:p w14:paraId="6BDEF141">
            <w:pPr>
              <w:spacing w:line="267" w:lineRule="auto"/>
              <w:rPr>
                <w:rFonts w:ascii="Arial"/>
                <w:sz w:val="21"/>
              </w:rPr>
            </w:pPr>
          </w:p>
          <w:p w14:paraId="77EA7F30">
            <w:pPr>
              <w:spacing w:line="267" w:lineRule="auto"/>
              <w:rPr>
                <w:rFonts w:ascii="Arial"/>
                <w:sz w:val="21"/>
              </w:rPr>
            </w:pPr>
          </w:p>
          <w:p w14:paraId="310ED763">
            <w:pPr>
              <w:pStyle w:val="6"/>
              <w:spacing w:before="65" w:line="251" w:lineRule="auto"/>
              <w:ind w:left="7" w:right="2" w:firstLine="17"/>
              <w:rPr>
                <w:sz w:val="20"/>
                <w:szCs w:val="20"/>
              </w:rPr>
            </w:pPr>
            <w:r>
              <w:rPr>
                <w:rFonts w:ascii="Times New Roman" w:hAnsi="Times New Roman" w:eastAsia="Times New Roman" w:cs="Times New Roman"/>
                <w:spacing w:val="1"/>
                <w:sz w:val="20"/>
                <w:szCs w:val="20"/>
              </w:rPr>
              <w:t>1.</w:t>
            </w:r>
            <w:r>
              <w:rPr>
                <w:spacing w:val="1"/>
                <w:sz w:val="20"/>
                <w:szCs w:val="20"/>
              </w:rPr>
              <w:t>新建、改建、扩建项目均</w:t>
            </w:r>
            <w:r>
              <w:rPr>
                <w:spacing w:val="9"/>
                <w:sz w:val="20"/>
                <w:szCs w:val="20"/>
              </w:rPr>
              <w:t>采用清洁生产工艺和技</w:t>
            </w:r>
          </w:p>
          <w:p w14:paraId="6D608A27">
            <w:pPr>
              <w:pStyle w:val="6"/>
              <w:spacing w:before="1" w:line="251" w:lineRule="auto"/>
              <w:ind w:left="7" w:firstLine="2"/>
              <w:rPr>
                <w:sz w:val="20"/>
                <w:szCs w:val="20"/>
              </w:rPr>
            </w:pPr>
            <w:r>
              <w:rPr>
                <w:spacing w:val="8"/>
                <w:sz w:val="20"/>
                <w:szCs w:val="20"/>
              </w:rPr>
              <w:t>术，工业废水回用率达到</w:t>
            </w:r>
            <w:r>
              <w:rPr>
                <w:rFonts w:ascii="Times New Roman" w:hAnsi="Times New Roman" w:eastAsia="Times New Roman" w:cs="Times New Roman"/>
                <w:spacing w:val="1"/>
                <w:sz w:val="20"/>
                <w:szCs w:val="20"/>
              </w:rPr>
              <w:t>90%</w:t>
            </w:r>
            <w:r>
              <w:rPr>
                <w:spacing w:val="1"/>
                <w:sz w:val="20"/>
                <w:szCs w:val="20"/>
              </w:rPr>
              <w:t>以上，工业固体废物资</w:t>
            </w:r>
            <w:r>
              <w:rPr>
                <w:spacing w:val="8"/>
                <w:sz w:val="20"/>
                <w:szCs w:val="20"/>
              </w:rPr>
              <w:t>源化及无害化处理处置率</w:t>
            </w:r>
            <w:r>
              <w:rPr>
                <w:sz w:val="20"/>
                <w:szCs w:val="20"/>
              </w:rPr>
              <w:t>达到</w:t>
            </w:r>
            <w:r>
              <w:rPr>
                <w:spacing w:val="-10"/>
                <w:sz w:val="20"/>
                <w:szCs w:val="20"/>
              </w:rPr>
              <w:t xml:space="preserve"> </w:t>
            </w:r>
            <w:r>
              <w:rPr>
                <w:rFonts w:ascii="Times New Roman" w:hAnsi="Times New Roman" w:eastAsia="Times New Roman" w:cs="Times New Roman"/>
                <w:sz w:val="20"/>
                <w:szCs w:val="20"/>
              </w:rPr>
              <w:t>100%</w:t>
            </w:r>
            <w:r>
              <w:rPr>
                <w:rFonts w:ascii="Times New Roman" w:hAnsi="Times New Roman" w:eastAsia="Times New Roman" w:cs="Times New Roman"/>
                <w:spacing w:val="-22"/>
                <w:sz w:val="20"/>
                <w:szCs w:val="20"/>
              </w:rPr>
              <w:t xml:space="preserve"> </w:t>
            </w:r>
            <w:r>
              <w:rPr>
                <w:sz w:val="20"/>
                <w:szCs w:val="20"/>
              </w:rPr>
              <w:t>。要遏制重大、</w:t>
            </w:r>
            <w:r>
              <w:rPr>
                <w:spacing w:val="8"/>
                <w:sz w:val="20"/>
                <w:szCs w:val="20"/>
              </w:rPr>
              <w:t>杜绝特别重大环境污染和生态破坏事故的发生。要逐步实现对行业排放的石油类污染物进行总量控</w:t>
            </w:r>
          </w:p>
          <w:p w14:paraId="46DB1280">
            <w:pPr>
              <w:pStyle w:val="6"/>
              <w:spacing w:line="228" w:lineRule="auto"/>
              <w:ind w:left="8"/>
              <w:rPr>
                <w:sz w:val="20"/>
                <w:szCs w:val="20"/>
              </w:rPr>
            </w:pPr>
            <w:r>
              <w:rPr>
                <w:sz w:val="20"/>
                <w:szCs w:val="20"/>
              </w:rPr>
              <w:t>制。</w:t>
            </w:r>
          </w:p>
          <w:p w14:paraId="636B31B1">
            <w:pPr>
              <w:pStyle w:val="6"/>
              <w:spacing w:before="28" w:line="251" w:lineRule="auto"/>
              <w:ind w:left="7" w:hanging="3"/>
              <w:rPr>
                <w:sz w:val="20"/>
                <w:szCs w:val="20"/>
              </w:rPr>
            </w:pPr>
            <w:r>
              <w:rPr>
                <w:rFonts w:ascii="Times New Roman" w:hAnsi="Times New Roman" w:eastAsia="Times New Roman" w:cs="Times New Roman"/>
                <w:spacing w:val="-2"/>
                <w:sz w:val="20"/>
                <w:szCs w:val="20"/>
              </w:rPr>
              <w:t>2.</w:t>
            </w:r>
            <w:r>
              <w:rPr>
                <w:spacing w:val="-2"/>
                <w:sz w:val="20"/>
                <w:szCs w:val="20"/>
              </w:rPr>
              <w:t>大力推行清洁生产，发展循环经济，强化末端治理，</w:t>
            </w:r>
            <w:r>
              <w:rPr>
                <w:spacing w:val="4"/>
                <w:sz w:val="20"/>
                <w:szCs w:val="20"/>
              </w:rPr>
              <w:t>注重环境风险防范，因地制宜进行生态恢复与建</w:t>
            </w:r>
          </w:p>
          <w:p w14:paraId="060CB5C3">
            <w:pPr>
              <w:pStyle w:val="6"/>
              <w:spacing w:line="228" w:lineRule="auto"/>
              <w:ind w:left="11"/>
              <w:rPr>
                <w:sz w:val="20"/>
                <w:szCs w:val="20"/>
              </w:rPr>
            </w:pPr>
            <w:r>
              <w:rPr>
                <w:spacing w:val="7"/>
                <w:sz w:val="20"/>
                <w:szCs w:val="20"/>
              </w:rPr>
              <w:t>设，实现绿色发展。</w:t>
            </w:r>
          </w:p>
          <w:p w14:paraId="1B5BFAA3">
            <w:pPr>
              <w:pStyle w:val="6"/>
              <w:spacing w:before="23" w:line="252" w:lineRule="auto"/>
              <w:ind w:left="7" w:right="84" w:firstLine="1"/>
              <w:rPr>
                <w:sz w:val="20"/>
                <w:szCs w:val="20"/>
              </w:rPr>
            </w:pPr>
            <w:r>
              <w:rPr>
                <w:rFonts w:ascii="Times New Roman" w:hAnsi="Times New Roman" w:eastAsia="Times New Roman" w:cs="Times New Roman"/>
                <w:spacing w:val="8"/>
                <w:sz w:val="20"/>
                <w:szCs w:val="20"/>
              </w:rPr>
              <w:t>3.</w:t>
            </w:r>
            <w:r>
              <w:rPr>
                <w:spacing w:val="8"/>
                <w:sz w:val="20"/>
                <w:szCs w:val="20"/>
              </w:rPr>
              <w:t>在环境敏感区进行石油</w:t>
            </w:r>
            <w:r>
              <w:rPr>
                <w:spacing w:val="9"/>
                <w:sz w:val="20"/>
                <w:szCs w:val="20"/>
              </w:rPr>
              <w:t>勘探、开采的，要在开发前对生态、环境影响进行充分论证，并严格执行环境影响评价文件的要求，积极采取缓解生态、环境</w:t>
            </w:r>
            <w:r>
              <w:rPr>
                <w:spacing w:val="6"/>
                <w:sz w:val="20"/>
                <w:szCs w:val="20"/>
              </w:rPr>
              <w:t>破坏的措施。</w:t>
            </w:r>
          </w:p>
        </w:tc>
        <w:tc>
          <w:tcPr>
            <w:tcW w:w="2485" w:type="dxa"/>
            <w:gridSpan w:val="2"/>
            <w:tcBorders>
              <w:bottom w:val="single" w:color="000000" w:sz="6" w:space="0"/>
            </w:tcBorders>
            <w:vAlign w:val="top"/>
          </w:tcPr>
          <w:p w14:paraId="60701D0E">
            <w:pPr>
              <w:pStyle w:val="6"/>
              <w:spacing w:before="43" w:line="251" w:lineRule="auto"/>
              <w:ind w:left="11" w:firstLine="17"/>
              <w:rPr>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19"/>
                <w:sz w:val="20"/>
                <w:szCs w:val="20"/>
              </w:rPr>
              <w:t xml:space="preserve"> </w:t>
            </w:r>
            <w:r>
              <w:rPr>
                <w:spacing w:val="4"/>
                <w:sz w:val="20"/>
                <w:szCs w:val="20"/>
              </w:rPr>
              <w:t>、项目采用泥浆不落地循环系统装置。该技术利用防</w:t>
            </w:r>
            <w:r>
              <w:rPr>
                <w:spacing w:val="8"/>
                <w:sz w:val="20"/>
                <w:szCs w:val="20"/>
              </w:rPr>
              <w:t>渗钻井泥浆循环罐代替泥</w:t>
            </w:r>
            <w:r>
              <w:rPr>
                <w:spacing w:val="5"/>
                <w:sz w:val="20"/>
                <w:szCs w:val="20"/>
              </w:rPr>
              <w:t>浆池，属于目前国内先进技</w:t>
            </w:r>
            <w:r>
              <w:rPr>
                <w:spacing w:val="4"/>
                <w:sz w:val="20"/>
                <w:szCs w:val="20"/>
              </w:rPr>
              <w:t>术，有效减少了工程开挖带</w:t>
            </w:r>
            <w:r>
              <w:rPr>
                <w:spacing w:val="5"/>
                <w:sz w:val="20"/>
                <w:szCs w:val="20"/>
              </w:rPr>
              <w:t>来的环境风险。施工过程中采用水基钻井泥浆，钻井泥</w:t>
            </w:r>
            <w:r>
              <w:rPr>
                <w:spacing w:val="4"/>
                <w:sz w:val="20"/>
                <w:szCs w:val="20"/>
              </w:rPr>
              <w:t>浆循环使用，产生的废弃泥</w:t>
            </w:r>
            <w:r>
              <w:rPr>
                <w:spacing w:val="5"/>
                <w:sz w:val="20"/>
                <w:szCs w:val="20"/>
              </w:rPr>
              <w:t>浆、钻井岩屑暂存废水罐，</w:t>
            </w:r>
            <w:r>
              <w:rPr>
                <w:spacing w:val="8"/>
                <w:sz w:val="20"/>
                <w:szCs w:val="20"/>
              </w:rPr>
              <w:t>定期拉运至内蒙古众宁环保科技有限公司油气田废弃物集中处理厂处理。废</w:t>
            </w:r>
            <w:r>
              <w:rPr>
                <w:spacing w:val="5"/>
                <w:sz w:val="20"/>
                <w:szCs w:val="20"/>
              </w:rPr>
              <w:t>水、固体废物合理化处置。</w:t>
            </w:r>
            <w:r>
              <w:rPr>
                <w:spacing w:val="4"/>
                <w:sz w:val="20"/>
                <w:szCs w:val="20"/>
              </w:rPr>
              <w:t>无害化处置率达到</w:t>
            </w:r>
            <w:r>
              <w:rPr>
                <w:spacing w:val="-15"/>
                <w:sz w:val="20"/>
                <w:szCs w:val="20"/>
              </w:rPr>
              <w:t xml:space="preserve"> </w:t>
            </w:r>
            <w:r>
              <w:rPr>
                <w:rFonts w:ascii="Times New Roman" w:hAnsi="Times New Roman" w:eastAsia="Times New Roman" w:cs="Times New Roman"/>
                <w:spacing w:val="4"/>
                <w:sz w:val="20"/>
                <w:szCs w:val="20"/>
              </w:rPr>
              <w:t>100%</w:t>
            </w:r>
            <w:r>
              <w:rPr>
                <w:rFonts w:ascii="Times New Roman" w:hAnsi="Times New Roman" w:eastAsia="Times New Roman" w:cs="Times New Roman"/>
                <w:spacing w:val="-20"/>
                <w:sz w:val="20"/>
                <w:szCs w:val="20"/>
              </w:rPr>
              <w:t xml:space="preserve"> </w:t>
            </w:r>
            <w:r>
              <w:rPr>
                <w:spacing w:val="4"/>
                <w:sz w:val="20"/>
                <w:szCs w:val="20"/>
              </w:rPr>
              <w:t>。</w:t>
            </w:r>
            <w:r>
              <w:rPr>
                <w:spacing w:val="8"/>
                <w:sz w:val="20"/>
                <w:szCs w:val="20"/>
              </w:rPr>
              <w:t>项目为陆地石油资源的勘</w:t>
            </w:r>
            <w:r>
              <w:rPr>
                <w:spacing w:val="4"/>
                <w:sz w:val="20"/>
                <w:szCs w:val="20"/>
              </w:rPr>
              <w:t>探阶段，不包括油井开发运</w:t>
            </w:r>
            <w:r>
              <w:rPr>
                <w:spacing w:val="5"/>
                <w:sz w:val="20"/>
                <w:szCs w:val="20"/>
              </w:rPr>
              <w:t>营，且勘探期较短，在满足</w:t>
            </w:r>
            <w:r>
              <w:rPr>
                <w:spacing w:val="8"/>
                <w:sz w:val="20"/>
                <w:szCs w:val="20"/>
              </w:rPr>
              <w:t>达标排放和环境功能区划</w:t>
            </w:r>
            <w:r>
              <w:rPr>
                <w:spacing w:val="5"/>
                <w:sz w:val="20"/>
                <w:szCs w:val="20"/>
              </w:rPr>
              <w:t>达标的前提下，建议不核定总量。待油井正式投产后，</w:t>
            </w:r>
            <w:r>
              <w:rPr>
                <w:spacing w:val="8"/>
                <w:sz w:val="20"/>
                <w:szCs w:val="20"/>
              </w:rPr>
              <w:t>对排放的石油类污染物进行核算并按要求实施总量</w:t>
            </w:r>
            <w:r>
              <w:rPr>
                <w:spacing w:val="2"/>
                <w:sz w:val="20"/>
                <w:szCs w:val="20"/>
              </w:rPr>
              <w:t>控制。</w:t>
            </w:r>
          </w:p>
          <w:p w14:paraId="5DF67F2D">
            <w:pPr>
              <w:pStyle w:val="6"/>
              <w:spacing w:before="2" w:line="251" w:lineRule="auto"/>
              <w:ind w:left="11" w:hanging="3"/>
              <w:rPr>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17"/>
                <w:sz w:val="20"/>
                <w:szCs w:val="20"/>
              </w:rPr>
              <w:t xml:space="preserve"> </w:t>
            </w:r>
            <w:r>
              <w:rPr>
                <w:spacing w:val="6"/>
                <w:sz w:val="20"/>
                <w:szCs w:val="20"/>
              </w:rPr>
              <w:t>、项目开工前按要求对耕</w:t>
            </w:r>
            <w:r>
              <w:rPr>
                <w:spacing w:val="8"/>
                <w:sz w:val="20"/>
                <w:szCs w:val="20"/>
              </w:rPr>
              <w:t>作层表层土进行剥离并收</w:t>
            </w:r>
            <w:r>
              <w:rPr>
                <w:spacing w:val="5"/>
                <w:sz w:val="20"/>
                <w:szCs w:val="20"/>
              </w:rPr>
              <w:t>集暂存，待项目勘探结束后按照要求进行复垦，确保项</w:t>
            </w:r>
            <w:r>
              <w:rPr>
                <w:spacing w:val="8"/>
                <w:sz w:val="20"/>
                <w:szCs w:val="20"/>
              </w:rPr>
              <w:t>目完成后临时用地恢复到</w:t>
            </w:r>
            <w:r>
              <w:rPr>
                <w:spacing w:val="5"/>
                <w:sz w:val="20"/>
                <w:szCs w:val="20"/>
              </w:rPr>
              <w:t>原有状态。</w:t>
            </w:r>
          </w:p>
          <w:p w14:paraId="0212463A">
            <w:pPr>
              <w:pStyle w:val="6"/>
              <w:spacing w:before="2" w:line="249" w:lineRule="auto"/>
              <w:ind w:left="12"/>
              <w:rPr>
                <w:sz w:val="20"/>
                <w:szCs w:val="20"/>
              </w:rPr>
            </w:pPr>
            <w:r>
              <w:rPr>
                <w:rFonts w:ascii="Times New Roman" w:hAnsi="Times New Roman" w:eastAsia="Times New Roman" w:cs="Times New Roman"/>
                <w:spacing w:val="6"/>
                <w:sz w:val="20"/>
                <w:szCs w:val="20"/>
              </w:rPr>
              <w:t>3</w:t>
            </w:r>
            <w:r>
              <w:rPr>
                <w:rFonts w:ascii="Times New Roman" w:hAnsi="Times New Roman" w:eastAsia="Times New Roman" w:cs="Times New Roman"/>
                <w:spacing w:val="-24"/>
                <w:sz w:val="20"/>
                <w:szCs w:val="20"/>
              </w:rPr>
              <w:t xml:space="preserve"> </w:t>
            </w:r>
            <w:r>
              <w:rPr>
                <w:spacing w:val="6"/>
                <w:sz w:val="20"/>
                <w:szCs w:val="20"/>
              </w:rPr>
              <w:t>、项目位于内蒙古河套盆</w:t>
            </w:r>
            <w:r>
              <w:rPr>
                <w:spacing w:val="8"/>
                <w:sz w:val="20"/>
                <w:szCs w:val="20"/>
              </w:rPr>
              <w:t>地吉锦油气勘查探矿权范</w:t>
            </w:r>
            <w:r>
              <w:rPr>
                <w:spacing w:val="5"/>
                <w:sz w:val="20"/>
                <w:szCs w:val="20"/>
              </w:rPr>
              <w:t>围内，属于未确定产能建设</w:t>
            </w:r>
            <w:r>
              <w:rPr>
                <w:spacing w:val="8"/>
                <w:sz w:val="20"/>
                <w:szCs w:val="20"/>
              </w:rPr>
              <w:t>规模的陆地油气开采新区</w:t>
            </w:r>
            <w:r>
              <w:rPr>
                <w:spacing w:val="5"/>
                <w:sz w:val="20"/>
                <w:szCs w:val="20"/>
              </w:rPr>
              <w:t>块，按照《中华人民共和国环境保护法》《建设项目环境保护管理条例》以及有关规定，编制了环境影响报告</w:t>
            </w:r>
          </w:p>
        </w:tc>
        <w:tc>
          <w:tcPr>
            <w:tcW w:w="592" w:type="dxa"/>
            <w:gridSpan w:val="2"/>
            <w:tcBorders>
              <w:bottom w:val="single" w:color="000000" w:sz="6" w:space="0"/>
              <w:right w:val="single" w:color="000000" w:sz="6" w:space="0"/>
            </w:tcBorders>
            <w:vAlign w:val="top"/>
          </w:tcPr>
          <w:p w14:paraId="254D3A36">
            <w:pPr>
              <w:spacing w:line="242" w:lineRule="auto"/>
              <w:rPr>
                <w:rFonts w:ascii="Arial"/>
                <w:sz w:val="21"/>
              </w:rPr>
            </w:pPr>
          </w:p>
          <w:p w14:paraId="5A9B5E8A">
            <w:pPr>
              <w:spacing w:line="242" w:lineRule="auto"/>
              <w:rPr>
                <w:rFonts w:ascii="Arial"/>
                <w:sz w:val="21"/>
              </w:rPr>
            </w:pPr>
          </w:p>
          <w:p w14:paraId="090CCA79">
            <w:pPr>
              <w:spacing w:line="242" w:lineRule="auto"/>
              <w:rPr>
                <w:rFonts w:ascii="Arial"/>
                <w:sz w:val="21"/>
              </w:rPr>
            </w:pPr>
          </w:p>
          <w:p w14:paraId="5D3B8A31">
            <w:pPr>
              <w:spacing w:line="242" w:lineRule="auto"/>
              <w:rPr>
                <w:rFonts w:ascii="Arial"/>
                <w:sz w:val="21"/>
              </w:rPr>
            </w:pPr>
          </w:p>
          <w:p w14:paraId="4C653A90">
            <w:pPr>
              <w:spacing w:line="242" w:lineRule="auto"/>
              <w:rPr>
                <w:rFonts w:ascii="Arial"/>
                <w:sz w:val="21"/>
              </w:rPr>
            </w:pPr>
          </w:p>
          <w:p w14:paraId="3AD05E9C">
            <w:pPr>
              <w:spacing w:line="242" w:lineRule="auto"/>
              <w:rPr>
                <w:rFonts w:ascii="Arial"/>
                <w:sz w:val="21"/>
              </w:rPr>
            </w:pPr>
          </w:p>
          <w:p w14:paraId="056CF1A3">
            <w:pPr>
              <w:spacing w:line="242" w:lineRule="auto"/>
              <w:rPr>
                <w:rFonts w:ascii="Arial"/>
                <w:sz w:val="21"/>
              </w:rPr>
            </w:pPr>
          </w:p>
          <w:p w14:paraId="62B4D21C">
            <w:pPr>
              <w:spacing w:line="242" w:lineRule="auto"/>
              <w:rPr>
                <w:rFonts w:ascii="Arial"/>
                <w:sz w:val="21"/>
              </w:rPr>
            </w:pPr>
          </w:p>
          <w:p w14:paraId="75119715">
            <w:pPr>
              <w:spacing w:line="242" w:lineRule="auto"/>
              <w:rPr>
                <w:rFonts w:ascii="Arial"/>
                <w:sz w:val="21"/>
              </w:rPr>
            </w:pPr>
          </w:p>
          <w:p w14:paraId="27B373BD">
            <w:pPr>
              <w:spacing w:line="242" w:lineRule="auto"/>
              <w:rPr>
                <w:rFonts w:ascii="Arial"/>
                <w:sz w:val="21"/>
              </w:rPr>
            </w:pPr>
          </w:p>
          <w:p w14:paraId="4C28251B">
            <w:pPr>
              <w:spacing w:line="242" w:lineRule="auto"/>
              <w:rPr>
                <w:rFonts w:ascii="Arial"/>
                <w:sz w:val="21"/>
              </w:rPr>
            </w:pPr>
          </w:p>
          <w:p w14:paraId="31E8EF4E">
            <w:pPr>
              <w:spacing w:line="242" w:lineRule="auto"/>
              <w:rPr>
                <w:rFonts w:ascii="Arial"/>
                <w:sz w:val="21"/>
              </w:rPr>
            </w:pPr>
          </w:p>
          <w:p w14:paraId="1FADB589">
            <w:pPr>
              <w:spacing w:line="242" w:lineRule="auto"/>
              <w:rPr>
                <w:rFonts w:ascii="Arial"/>
                <w:sz w:val="21"/>
              </w:rPr>
            </w:pPr>
          </w:p>
          <w:p w14:paraId="019D6EED">
            <w:pPr>
              <w:spacing w:line="242" w:lineRule="auto"/>
              <w:rPr>
                <w:rFonts w:ascii="Arial"/>
                <w:sz w:val="21"/>
              </w:rPr>
            </w:pPr>
          </w:p>
          <w:p w14:paraId="27563B8F">
            <w:pPr>
              <w:spacing w:line="242" w:lineRule="auto"/>
              <w:rPr>
                <w:rFonts w:ascii="Arial"/>
                <w:sz w:val="21"/>
              </w:rPr>
            </w:pPr>
          </w:p>
          <w:p w14:paraId="5417CE34">
            <w:pPr>
              <w:spacing w:line="242" w:lineRule="auto"/>
              <w:rPr>
                <w:rFonts w:ascii="Arial"/>
                <w:sz w:val="21"/>
              </w:rPr>
            </w:pPr>
          </w:p>
          <w:p w14:paraId="45F4FA82">
            <w:pPr>
              <w:spacing w:line="242" w:lineRule="auto"/>
              <w:rPr>
                <w:rFonts w:ascii="Arial"/>
                <w:sz w:val="21"/>
              </w:rPr>
            </w:pPr>
          </w:p>
          <w:p w14:paraId="2571239F">
            <w:pPr>
              <w:spacing w:line="242" w:lineRule="auto"/>
              <w:rPr>
                <w:rFonts w:ascii="Arial"/>
                <w:sz w:val="21"/>
              </w:rPr>
            </w:pPr>
          </w:p>
          <w:p w14:paraId="0E4BE8BC">
            <w:pPr>
              <w:spacing w:line="242" w:lineRule="auto"/>
              <w:rPr>
                <w:rFonts w:ascii="Arial"/>
                <w:sz w:val="21"/>
              </w:rPr>
            </w:pPr>
          </w:p>
          <w:p w14:paraId="5508E14B">
            <w:pPr>
              <w:spacing w:line="243" w:lineRule="auto"/>
              <w:rPr>
                <w:rFonts w:ascii="Arial"/>
                <w:sz w:val="21"/>
              </w:rPr>
            </w:pPr>
          </w:p>
          <w:p w14:paraId="1FE2DBFD">
            <w:pPr>
              <w:pStyle w:val="6"/>
              <w:spacing w:before="65" w:line="228" w:lineRule="auto"/>
              <w:ind w:left="20"/>
              <w:rPr>
                <w:sz w:val="20"/>
                <w:szCs w:val="20"/>
              </w:rPr>
            </w:pPr>
            <w:r>
              <w:rPr>
                <w:spacing w:val="3"/>
                <w:sz w:val="20"/>
                <w:szCs w:val="20"/>
              </w:rPr>
              <w:t>符合</w:t>
            </w:r>
          </w:p>
        </w:tc>
      </w:tr>
    </w:tbl>
    <w:p w14:paraId="7D40745C">
      <w:pPr>
        <w:rPr>
          <w:rFonts w:ascii="Arial"/>
          <w:sz w:val="21"/>
        </w:rPr>
      </w:pPr>
    </w:p>
    <w:p w14:paraId="5ACA3F5B">
      <w:pPr>
        <w:rPr>
          <w:rFonts w:ascii="Arial" w:hAnsi="Arial" w:eastAsia="Arial" w:cs="Arial"/>
          <w:sz w:val="21"/>
          <w:szCs w:val="21"/>
        </w:rPr>
        <w:sectPr>
          <w:footerReference r:id="rId24" w:type="default"/>
          <w:pgSz w:w="11906" w:h="16839"/>
          <w:pgMar w:top="400" w:right="1395" w:bottom="1240" w:left="1565" w:header="0" w:footer="1078" w:gutter="0"/>
          <w:cols w:space="720" w:num="1"/>
        </w:sectPr>
      </w:pPr>
    </w:p>
    <w:p w14:paraId="6A7473CA">
      <w:pPr>
        <w:spacing w:before="56"/>
      </w:pPr>
    </w:p>
    <w:p w14:paraId="5296DF57">
      <w:pPr>
        <w:spacing w:before="56"/>
      </w:pPr>
    </w:p>
    <w:p w14:paraId="0BC21A12">
      <w:pPr>
        <w:spacing w:before="55"/>
      </w:pPr>
    </w:p>
    <w:p w14:paraId="6BDD74E5">
      <w:pPr>
        <w:spacing w:before="55"/>
      </w:pPr>
    </w:p>
    <w:tbl>
      <w:tblPr>
        <w:tblStyle w:val="5"/>
        <w:tblW w:w="893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56"/>
        <w:gridCol w:w="650"/>
        <w:gridCol w:w="748"/>
        <w:gridCol w:w="601"/>
        <w:gridCol w:w="2398"/>
        <w:gridCol w:w="2486"/>
        <w:gridCol w:w="591"/>
      </w:tblGrid>
      <w:tr w14:paraId="3A05D0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3" w:hRule="atLeast"/>
        </w:trPr>
        <w:tc>
          <w:tcPr>
            <w:tcW w:w="1456" w:type="dxa"/>
            <w:vMerge w:val="restart"/>
            <w:tcBorders>
              <w:top w:val="single" w:color="000000" w:sz="6" w:space="0"/>
              <w:left w:val="single" w:color="000000" w:sz="6" w:space="0"/>
              <w:bottom w:val="nil"/>
            </w:tcBorders>
            <w:vAlign w:val="top"/>
          </w:tcPr>
          <w:p w14:paraId="5AFE8A33">
            <w:pPr>
              <w:rPr>
                <w:rFonts w:ascii="Arial"/>
                <w:sz w:val="21"/>
              </w:rPr>
            </w:pPr>
          </w:p>
        </w:tc>
        <w:tc>
          <w:tcPr>
            <w:tcW w:w="650" w:type="dxa"/>
            <w:vMerge w:val="restart"/>
            <w:tcBorders>
              <w:top w:val="single" w:color="000000" w:sz="6" w:space="0"/>
              <w:bottom w:val="nil"/>
            </w:tcBorders>
            <w:vAlign w:val="top"/>
          </w:tcPr>
          <w:p w14:paraId="5ECF4FA7">
            <w:pPr>
              <w:rPr>
                <w:rFonts w:ascii="Arial"/>
                <w:sz w:val="21"/>
              </w:rPr>
            </w:pPr>
          </w:p>
        </w:tc>
        <w:tc>
          <w:tcPr>
            <w:tcW w:w="748" w:type="dxa"/>
            <w:vMerge w:val="restart"/>
            <w:tcBorders>
              <w:top w:val="single" w:color="000000" w:sz="6" w:space="0"/>
              <w:bottom w:val="nil"/>
            </w:tcBorders>
            <w:vAlign w:val="top"/>
          </w:tcPr>
          <w:p w14:paraId="24FB5020">
            <w:pPr>
              <w:rPr>
                <w:rFonts w:ascii="Arial"/>
                <w:sz w:val="21"/>
              </w:rPr>
            </w:pPr>
          </w:p>
        </w:tc>
        <w:tc>
          <w:tcPr>
            <w:tcW w:w="601" w:type="dxa"/>
            <w:tcBorders>
              <w:top w:val="single" w:color="000000" w:sz="6" w:space="0"/>
            </w:tcBorders>
            <w:vAlign w:val="top"/>
          </w:tcPr>
          <w:p w14:paraId="7C070A13">
            <w:pPr>
              <w:rPr>
                <w:rFonts w:ascii="Arial"/>
                <w:sz w:val="21"/>
              </w:rPr>
            </w:pPr>
          </w:p>
        </w:tc>
        <w:tc>
          <w:tcPr>
            <w:tcW w:w="2398" w:type="dxa"/>
            <w:tcBorders>
              <w:top w:val="single" w:color="000000" w:sz="6" w:space="0"/>
            </w:tcBorders>
            <w:vAlign w:val="top"/>
          </w:tcPr>
          <w:p w14:paraId="6236ABF8">
            <w:pPr>
              <w:rPr>
                <w:rFonts w:ascii="Arial"/>
                <w:sz w:val="21"/>
              </w:rPr>
            </w:pPr>
          </w:p>
        </w:tc>
        <w:tc>
          <w:tcPr>
            <w:tcW w:w="2486" w:type="dxa"/>
            <w:tcBorders>
              <w:top w:val="single" w:color="000000" w:sz="6" w:space="0"/>
            </w:tcBorders>
            <w:vAlign w:val="top"/>
          </w:tcPr>
          <w:p w14:paraId="431D1F91">
            <w:pPr>
              <w:pStyle w:val="6"/>
              <w:spacing w:before="50" w:line="243" w:lineRule="auto"/>
              <w:ind w:left="11"/>
              <w:jc w:val="both"/>
              <w:rPr>
                <w:sz w:val="20"/>
                <w:szCs w:val="20"/>
              </w:rPr>
            </w:pPr>
            <w:r>
              <w:rPr>
                <w:spacing w:val="5"/>
                <w:sz w:val="20"/>
                <w:szCs w:val="20"/>
              </w:rPr>
              <w:t>表。项目不在生态保护红线范围内，周边区域无其他环境敏感保护对象，无重大的</w:t>
            </w:r>
            <w:r>
              <w:rPr>
                <w:spacing w:val="7"/>
                <w:sz w:val="20"/>
                <w:szCs w:val="20"/>
              </w:rPr>
              <w:t>环境制约因素。</w:t>
            </w:r>
          </w:p>
        </w:tc>
        <w:tc>
          <w:tcPr>
            <w:tcW w:w="591" w:type="dxa"/>
            <w:tcBorders>
              <w:top w:val="single" w:color="000000" w:sz="6" w:space="0"/>
              <w:right w:val="single" w:color="000000" w:sz="6" w:space="0"/>
            </w:tcBorders>
            <w:vAlign w:val="top"/>
          </w:tcPr>
          <w:p w14:paraId="4FB7C3FF">
            <w:pPr>
              <w:rPr>
                <w:rFonts w:ascii="Arial"/>
                <w:sz w:val="21"/>
              </w:rPr>
            </w:pPr>
          </w:p>
        </w:tc>
      </w:tr>
      <w:tr w14:paraId="00B64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52" w:hRule="atLeast"/>
        </w:trPr>
        <w:tc>
          <w:tcPr>
            <w:tcW w:w="1456" w:type="dxa"/>
            <w:vMerge w:val="continue"/>
            <w:tcBorders>
              <w:top w:val="nil"/>
              <w:left w:val="single" w:color="000000" w:sz="6" w:space="0"/>
              <w:bottom w:val="single" w:color="000000" w:sz="6" w:space="0"/>
            </w:tcBorders>
            <w:vAlign w:val="top"/>
          </w:tcPr>
          <w:p w14:paraId="7E522368">
            <w:pPr>
              <w:rPr>
                <w:rFonts w:ascii="Arial"/>
                <w:sz w:val="21"/>
              </w:rPr>
            </w:pPr>
          </w:p>
        </w:tc>
        <w:tc>
          <w:tcPr>
            <w:tcW w:w="650" w:type="dxa"/>
            <w:vMerge w:val="continue"/>
            <w:tcBorders>
              <w:top w:val="nil"/>
              <w:bottom w:val="single" w:color="000000" w:sz="6" w:space="0"/>
            </w:tcBorders>
            <w:vAlign w:val="top"/>
          </w:tcPr>
          <w:p w14:paraId="6636BA52">
            <w:pPr>
              <w:rPr>
                <w:rFonts w:ascii="Arial"/>
                <w:sz w:val="21"/>
              </w:rPr>
            </w:pPr>
          </w:p>
        </w:tc>
        <w:tc>
          <w:tcPr>
            <w:tcW w:w="748" w:type="dxa"/>
            <w:vMerge w:val="continue"/>
            <w:tcBorders>
              <w:top w:val="nil"/>
              <w:bottom w:val="single" w:color="000000" w:sz="6" w:space="0"/>
            </w:tcBorders>
            <w:vAlign w:val="top"/>
          </w:tcPr>
          <w:p w14:paraId="15508CA6">
            <w:pPr>
              <w:rPr>
                <w:rFonts w:ascii="Arial"/>
                <w:sz w:val="21"/>
              </w:rPr>
            </w:pPr>
          </w:p>
        </w:tc>
        <w:tc>
          <w:tcPr>
            <w:tcW w:w="601" w:type="dxa"/>
            <w:tcBorders>
              <w:bottom w:val="single" w:color="000000" w:sz="6" w:space="0"/>
            </w:tcBorders>
            <w:vAlign w:val="top"/>
          </w:tcPr>
          <w:p w14:paraId="16AC55FC">
            <w:pPr>
              <w:spacing w:line="245" w:lineRule="auto"/>
              <w:rPr>
                <w:rFonts w:ascii="Arial"/>
                <w:sz w:val="21"/>
              </w:rPr>
            </w:pPr>
          </w:p>
          <w:p w14:paraId="0393C361">
            <w:pPr>
              <w:spacing w:line="245" w:lineRule="auto"/>
              <w:rPr>
                <w:rFonts w:ascii="Arial"/>
                <w:sz w:val="21"/>
              </w:rPr>
            </w:pPr>
          </w:p>
          <w:p w14:paraId="21489897">
            <w:pPr>
              <w:spacing w:line="245" w:lineRule="auto"/>
              <w:rPr>
                <w:rFonts w:ascii="Arial"/>
                <w:sz w:val="21"/>
              </w:rPr>
            </w:pPr>
          </w:p>
          <w:p w14:paraId="68FFE46E">
            <w:pPr>
              <w:spacing w:line="245" w:lineRule="auto"/>
              <w:rPr>
                <w:rFonts w:ascii="Arial"/>
                <w:sz w:val="21"/>
              </w:rPr>
            </w:pPr>
          </w:p>
          <w:p w14:paraId="0C0B0DE8">
            <w:pPr>
              <w:spacing w:line="245" w:lineRule="auto"/>
              <w:rPr>
                <w:rFonts w:ascii="Arial"/>
                <w:sz w:val="21"/>
              </w:rPr>
            </w:pPr>
          </w:p>
          <w:p w14:paraId="589FA1A2">
            <w:pPr>
              <w:spacing w:line="245" w:lineRule="auto"/>
              <w:rPr>
                <w:rFonts w:ascii="Arial"/>
                <w:sz w:val="21"/>
              </w:rPr>
            </w:pPr>
          </w:p>
          <w:p w14:paraId="41F1491C">
            <w:pPr>
              <w:spacing w:line="246" w:lineRule="auto"/>
              <w:rPr>
                <w:rFonts w:ascii="Arial"/>
                <w:sz w:val="21"/>
              </w:rPr>
            </w:pPr>
          </w:p>
          <w:p w14:paraId="3298A595">
            <w:pPr>
              <w:spacing w:line="246" w:lineRule="auto"/>
              <w:rPr>
                <w:rFonts w:ascii="Arial"/>
                <w:sz w:val="21"/>
              </w:rPr>
            </w:pPr>
          </w:p>
          <w:p w14:paraId="476C08AE">
            <w:pPr>
              <w:spacing w:line="246" w:lineRule="auto"/>
              <w:rPr>
                <w:rFonts w:ascii="Arial"/>
                <w:sz w:val="21"/>
              </w:rPr>
            </w:pPr>
          </w:p>
          <w:p w14:paraId="3670E973">
            <w:pPr>
              <w:spacing w:line="246" w:lineRule="auto"/>
              <w:rPr>
                <w:rFonts w:ascii="Arial"/>
                <w:sz w:val="21"/>
              </w:rPr>
            </w:pPr>
          </w:p>
          <w:p w14:paraId="0BFFD954">
            <w:pPr>
              <w:spacing w:line="246" w:lineRule="auto"/>
              <w:rPr>
                <w:rFonts w:ascii="Arial"/>
                <w:sz w:val="21"/>
              </w:rPr>
            </w:pPr>
          </w:p>
          <w:p w14:paraId="62CF5DE0">
            <w:pPr>
              <w:spacing w:line="246" w:lineRule="auto"/>
              <w:rPr>
                <w:rFonts w:ascii="Arial"/>
                <w:sz w:val="21"/>
              </w:rPr>
            </w:pPr>
          </w:p>
          <w:p w14:paraId="67DA1AC7">
            <w:pPr>
              <w:spacing w:line="246" w:lineRule="auto"/>
              <w:rPr>
                <w:rFonts w:ascii="Arial"/>
                <w:sz w:val="21"/>
              </w:rPr>
            </w:pPr>
          </w:p>
          <w:p w14:paraId="49F433D7">
            <w:pPr>
              <w:spacing w:line="246" w:lineRule="auto"/>
              <w:rPr>
                <w:rFonts w:ascii="Arial"/>
                <w:sz w:val="21"/>
              </w:rPr>
            </w:pPr>
          </w:p>
          <w:p w14:paraId="73F4F1F5">
            <w:pPr>
              <w:spacing w:line="246" w:lineRule="auto"/>
              <w:rPr>
                <w:rFonts w:ascii="Arial"/>
                <w:sz w:val="21"/>
              </w:rPr>
            </w:pPr>
          </w:p>
          <w:p w14:paraId="49507B23">
            <w:pPr>
              <w:spacing w:line="246" w:lineRule="auto"/>
              <w:rPr>
                <w:rFonts w:ascii="Arial"/>
                <w:sz w:val="21"/>
              </w:rPr>
            </w:pPr>
          </w:p>
          <w:p w14:paraId="64B7788B">
            <w:pPr>
              <w:spacing w:line="246" w:lineRule="auto"/>
              <w:rPr>
                <w:rFonts w:ascii="Arial"/>
                <w:sz w:val="21"/>
              </w:rPr>
            </w:pPr>
          </w:p>
          <w:p w14:paraId="20B631FC">
            <w:pPr>
              <w:spacing w:line="246" w:lineRule="auto"/>
              <w:rPr>
                <w:rFonts w:ascii="Arial"/>
                <w:sz w:val="21"/>
              </w:rPr>
            </w:pPr>
          </w:p>
          <w:p w14:paraId="7A210EE6">
            <w:pPr>
              <w:spacing w:line="246" w:lineRule="auto"/>
              <w:rPr>
                <w:rFonts w:ascii="Arial"/>
                <w:sz w:val="21"/>
              </w:rPr>
            </w:pPr>
          </w:p>
          <w:p w14:paraId="0B743563">
            <w:pPr>
              <w:spacing w:line="246" w:lineRule="auto"/>
              <w:rPr>
                <w:rFonts w:ascii="Arial"/>
                <w:sz w:val="21"/>
              </w:rPr>
            </w:pPr>
          </w:p>
          <w:p w14:paraId="2938C83B">
            <w:pPr>
              <w:spacing w:line="246" w:lineRule="auto"/>
              <w:rPr>
                <w:rFonts w:ascii="Arial"/>
                <w:sz w:val="21"/>
              </w:rPr>
            </w:pPr>
          </w:p>
          <w:p w14:paraId="49E69C4F">
            <w:pPr>
              <w:spacing w:line="246" w:lineRule="auto"/>
              <w:rPr>
                <w:rFonts w:ascii="Arial"/>
                <w:sz w:val="21"/>
              </w:rPr>
            </w:pPr>
          </w:p>
          <w:p w14:paraId="491442F6">
            <w:pPr>
              <w:spacing w:line="246" w:lineRule="auto"/>
              <w:rPr>
                <w:rFonts w:ascii="Arial"/>
                <w:sz w:val="21"/>
              </w:rPr>
            </w:pPr>
          </w:p>
          <w:p w14:paraId="6AE3F8D1">
            <w:pPr>
              <w:pStyle w:val="6"/>
              <w:spacing w:before="65" w:line="252" w:lineRule="auto"/>
              <w:ind w:left="93" w:right="93" w:firstLine="1"/>
              <w:jc w:val="both"/>
              <w:rPr>
                <w:sz w:val="20"/>
                <w:szCs w:val="20"/>
              </w:rPr>
            </w:pPr>
            <w:r>
              <w:rPr>
                <w:spacing w:val="3"/>
                <w:sz w:val="20"/>
                <w:szCs w:val="20"/>
              </w:rPr>
              <w:t>污染</w:t>
            </w:r>
            <w:r>
              <w:rPr>
                <w:spacing w:val="4"/>
                <w:sz w:val="20"/>
                <w:szCs w:val="20"/>
              </w:rPr>
              <w:t>物排放管</w:t>
            </w:r>
            <w:r>
              <w:rPr>
                <w:spacing w:val="28"/>
                <w:w w:val="139"/>
                <w:sz w:val="20"/>
                <w:szCs w:val="20"/>
              </w:rPr>
              <w:t>控</w:t>
            </w:r>
          </w:p>
        </w:tc>
        <w:tc>
          <w:tcPr>
            <w:tcW w:w="2398" w:type="dxa"/>
            <w:tcBorders>
              <w:bottom w:val="single" w:color="000000" w:sz="6" w:space="0"/>
            </w:tcBorders>
            <w:vAlign w:val="top"/>
          </w:tcPr>
          <w:p w14:paraId="0F669F46">
            <w:pPr>
              <w:pStyle w:val="6"/>
              <w:spacing w:before="34" w:line="251" w:lineRule="auto"/>
              <w:ind w:left="8" w:right="84" w:firstLine="16"/>
              <w:rPr>
                <w:sz w:val="20"/>
                <w:szCs w:val="20"/>
              </w:rPr>
            </w:pPr>
            <w:r>
              <w:rPr>
                <w:rFonts w:ascii="Times New Roman" w:hAnsi="Times New Roman" w:eastAsia="Times New Roman" w:cs="Times New Roman"/>
                <w:spacing w:val="6"/>
                <w:sz w:val="20"/>
                <w:szCs w:val="20"/>
              </w:rPr>
              <w:t>1.</w:t>
            </w:r>
            <w:r>
              <w:rPr>
                <w:spacing w:val="6"/>
                <w:sz w:val="20"/>
                <w:szCs w:val="20"/>
              </w:rPr>
              <w:t>油田建设宜布置丛式井</w:t>
            </w:r>
            <w:r>
              <w:rPr>
                <w:spacing w:val="9"/>
                <w:sz w:val="20"/>
                <w:szCs w:val="20"/>
              </w:rPr>
              <w:t>组，采用多分支井、水平井、小孔钻井、空气钻井</w:t>
            </w:r>
            <w:r>
              <w:rPr>
                <w:spacing w:val="5"/>
                <w:sz w:val="20"/>
                <w:szCs w:val="20"/>
              </w:rPr>
              <w:t>等钻井技术，</w:t>
            </w:r>
            <w:r>
              <w:rPr>
                <w:spacing w:val="-56"/>
                <w:sz w:val="20"/>
                <w:szCs w:val="20"/>
              </w:rPr>
              <w:t xml:space="preserve"> </w:t>
            </w:r>
            <w:r>
              <w:rPr>
                <w:spacing w:val="5"/>
                <w:sz w:val="20"/>
                <w:szCs w:val="20"/>
              </w:rPr>
              <w:t>以减少废物</w:t>
            </w:r>
            <w:r>
              <w:rPr>
                <w:spacing w:val="6"/>
                <w:sz w:val="20"/>
                <w:szCs w:val="20"/>
              </w:rPr>
              <w:t>产生和占地。</w:t>
            </w:r>
          </w:p>
          <w:p w14:paraId="6029AB75">
            <w:pPr>
              <w:pStyle w:val="6"/>
              <w:spacing w:before="2" w:line="251" w:lineRule="auto"/>
              <w:ind w:left="7" w:right="2" w:hanging="3"/>
              <w:rPr>
                <w:sz w:val="20"/>
                <w:szCs w:val="20"/>
              </w:rPr>
            </w:pPr>
            <w:r>
              <w:rPr>
                <w:rFonts w:ascii="Times New Roman" w:hAnsi="Times New Roman" w:eastAsia="Times New Roman" w:cs="Times New Roman"/>
                <w:spacing w:val="2"/>
                <w:sz w:val="20"/>
                <w:szCs w:val="20"/>
              </w:rPr>
              <w:t>2.</w:t>
            </w:r>
            <w:r>
              <w:rPr>
                <w:spacing w:val="2"/>
                <w:sz w:val="20"/>
                <w:szCs w:val="20"/>
              </w:rPr>
              <w:t>在油勘探过程中，应根据</w:t>
            </w:r>
            <w:r>
              <w:rPr>
                <w:spacing w:val="9"/>
                <w:sz w:val="20"/>
                <w:szCs w:val="20"/>
              </w:rPr>
              <w:t>工区测线布设，合理规划行车线路和爆炸点，避让环境敏感区和环境敏感时间。对爆点地表应立即进</w:t>
            </w:r>
            <w:r>
              <w:rPr>
                <w:spacing w:val="5"/>
                <w:sz w:val="20"/>
                <w:szCs w:val="20"/>
              </w:rPr>
              <w:t>行恢复。</w:t>
            </w:r>
          </w:p>
          <w:p w14:paraId="4F2C5D80">
            <w:pPr>
              <w:pStyle w:val="6"/>
              <w:spacing w:before="1" w:line="251" w:lineRule="auto"/>
              <w:ind w:left="7" w:right="2" w:firstLine="1"/>
              <w:rPr>
                <w:sz w:val="20"/>
                <w:szCs w:val="20"/>
              </w:rPr>
            </w:pPr>
            <w:r>
              <w:rPr>
                <w:rFonts w:ascii="Times New Roman" w:hAnsi="Times New Roman" w:eastAsia="Times New Roman" w:cs="Times New Roman"/>
                <w:spacing w:val="2"/>
                <w:sz w:val="20"/>
                <w:szCs w:val="20"/>
              </w:rPr>
              <w:t>3.</w:t>
            </w:r>
            <w:r>
              <w:rPr>
                <w:spacing w:val="2"/>
                <w:sz w:val="20"/>
                <w:szCs w:val="20"/>
              </w:rPr>
              <w:t>在测井过程中，鼓励应用</w:t>
            </w:r>
            <w:r>
              <w:rPr>
                <w:spacing w:val="9"/>
                <w:sz w:val="20"/>
                <w:szCs w:val="20"/>
              </w:rPr>
              <w:t>核磁共振测井技术，减少生态破坏；运输测井放射</w:t>
            </w:r>
            <w:r>
              <w:rPr>
                <w:spacing w:val="8"/>
                <w:sz w:val="20"/>
                <w:szCs w:val="20"/>
              </w:rPr>
              <w:t>源车辆应加装定位系统。</w:t>
            </w:r>
          </w:p>
          <w:p w14:paraId="2FC67F87">
            <w:pPr>
              <w:pStyle w:val="6"/>
              <w:spacing w:before="4" w:line="251" w:lineRule="auto"/>
              <w:ind w:left="6" w:right="2" w:hanging="3"/>
              <w:rPr>
                <w:sz w:val="20"/>
                <w:szCs w:val="20"/>
              </w:rPr>
            </w:pPr>
            <w:r>
              <w:rPr>
                <w:rFonts w:ascii="Times New Roman" w:hAnsi="Times New Roman" w:eastAsia="Times New Roman" w:cs="Times New Roman"/>
                <w:spacing w:val="2"/>
                <w:sz w:val="20"/>
                <w:szCs w:val="20"/>
              </w:rPr>
              <w:t>4.</w:t>
            </w:r>
            <w:r>
              <w:rPr>
                <w:spacing w:val="2"/>
                <w:sz w:val="20"/>
                <w:szCs w:val="20"/>
              </w:rPr>
              <w:t>在开发过程中，伴生气应</w:t>
            </w:r>
            <w:r>
              <w:rPr>
                <w:spacing w:val="9"/>
                <w:sz w:val="20"/>
                <w:szCs w:val="20"/>
              </w:rPr>
              <w:t>回收利用，减少温室气体排放，不具备回收利用条件的，应充分燃烧，伴生</w:t>
            </w:r>
            <w:r>
              <w:rPr>
                <w:spacing w:val="7"/>
                <w:sz w:val="20"/>
                <w:szCs w:val="20"/>
              </w:rPr>
              <w:t>气回收利用率应达到</w:t>
            </w:r>
            <w:r>
              <w:rPr>
                <w:spacing w:val="-33"/>
                <w:sz w:val="20"/>
                <w:szCs w:val="20"/>
              </w:rPr>
              <w:t xml:space="preserve"> </w:t>
            </w:r>
            <w:r>
              <w:rPr>
                <w:rFonts w:ascii="Times New Roman" w:hAnsi="Times New Roman" w:eastAsia="Times New Roman" w:cs="Times New Roman"/>
                <w:spacing w:val="7"/>
                <w:sz w:val="20"/>
                <w:szCs w:val="20"/>
              </w:rPr>
              <w:t>80%</w:t>
            </w:r>
            <w:r>
              <w:rPr>
                <w:spacing w:val="9"/>
                <w:sz w:val="20"/>
                <w:szCs w:val="20"/>
              </w:rPr>
              <w:t>以上；站场放空天然气应充分燃烧。燃烧放空设施</w:t>
            </w:r>
            <w:r>
              <w:rPr>
                <w:spacing w:val="8"/>
                <w:sz w:val="20"/>
                <w:szCs w:val="20"/>
              </w:rPr>
              <w:t>应避开鸟类迁徙通道。</w:t>
            </w:r>
          </w:p>
          <w:p w14:paraId="6D4E468F">
            <w:pPr>
              <w:pStyle w:val="6"/>
              <w:spacing w:before="3" w:line="251" w:lineRule="auto"/>
              <w:ind w:left="8" w:right="2" w:firstLine="1"/>
              <w:rPr>
                <w:sz w:val="20"/>
                <w:szCs w:val="20"/>
              </w:rPr>
            </w:pPr>
            <w:r>
              <w:rPr>
                <w:rFonts w:ascii="Times New Roman" w:hAnsi="Times New Roman" w:eastAsia="Times New Roman" w:cs="Times New Roman"/>
                <w:spacing w:val="2"/>
                <w:sz w:val="20"/>
                <w:szCs w:val="20"/>
              </w:rPr>
              <w:t>5.</w:t>
            </w:r>
            <w:r>
              <w:rPr>
                <w:spacing w:val="2"/>
                <w:sz w:val="20"/>
                <w:szCs w:val="20"/>
              </w:rPr>
              <w:t>在油气开发过程中，应采</w:t>
            </w:r>
            <w:r>
              <w:rPr>
                <w:spacing w:val="9"/>
                <w:sz w:val="20"/>
                <w:szCs w:val="20"/>
              </w:rPr>
              <w:t>取措施减轻生态影响并及时用适地植物进行植被恢复。井场周围应设置围堤或井界沟。应设立地下水水质监测井，加强对油田地下水水质的监控，防止回注过程对地下水造成污</w:t>
            </w:r>
            <w:r>
              <w:rPr>
                <w:sz w:val="20"/>
                <w:szCs w:val="20"/>
              </w:rPr>
              <w:t>染。</w:t>
            </w:r>
          </w:p>
          <w:p w14:paraId="109542CD">
            <w:pPr>
              <w:pStyle w:val="6"/>
              <w:spacing w:before="2" w:line="251" w:lineRule="auto"/>
              <w:ind w:left="8"/>
              <w:rPr>
                <w:sz w:val="20"/>
                <w:szCs w:val="20"/>
              </w:rPr>
            </w:pPr>
            <w:r>
              <w:rPr>
                <w:rFonts w:ascii="Times New Roman" w:hAnsi="Times New Roman" w:eastAsia="Times New Roman" w:cs="Times New Roman"/>
                <w:spacing w:val="4"/>
                <w:sz w:val="20"/>
                <w:szCs w:val="20"/>
              </w:rPr>
              <w:t>6.</w:t>
            </w:r>
            <w:r>
              <w:rPr>
                <w:spacing w:val="4"/>
                <w:sz w:val="20"/>
                <w:szCs w:val="20"/>
              </w:rPr>
              <w:t>位于湿地自然保护区和</w:t>
            </w:r>
            <w:r>
              <w:rPr>
                <w:spacing w:val="6"/>
                <w:sz w:val="20"/>
                <w:szCs w:val="20"/>
              </w:rPr>
              <w:t>鸟类迁徙通道上的油田、</w:t>
            </w:r>
            <w:r>
              <w:rPr>
                <w:spacing w:val="4"/>
                <w:sz w:val="20"/>
                <w:szCs w:val="20"/>
              </w:rPr>
              <w:t>油井，若有较大的生态影响，应将电线、采油管线</w:t>
            </w:r>
            <w:r>
              <w:rPr>
                <w:spacing w:val="-2"/>
                <w:sz w:val="20"/>
                <w:szCs w:val="20"/>
              </w:rPr>
              <w:t>地下敷设。在油田作业区，</w:t>
            </w:r>
            <w:r>
              <w:rPr>
                <w:spacing w:val="4"/>
                <w:sz w:val="20"/>
                <w:szCs w:val="20"/>
              </w:rPr>
              <w:t>应采取措施，保护零散自</w:t>
            </w:r>
            <w:r>
              <w:rPr>
                <w:spacing w:val="1"/>
                <w:sz w:val="20"/>
                <w:szCs w:val="20"/>
              </w:rPr>
              <w:t>然湿地。</w:t>
            </w:r>
          </w:p>
          <w:p w14:paraId="661B0F88">
            <w:pPr>
              <w:pStyle w:val="6"/>
              <w:spacing w:before="2" w:line="251" w:lineRule="auto"/>
              <w:ind w:left="7" w:right="84"/>
              <w:rPr>
                <w:sz w:val="20"/>
                <w:szCs w:val="20"/>
              </w:rPr>
            </w:pPr>
            <w:r>
              <w:rPr>
                <w:rFonts w:ascii="Times New Roman" w:hAnsi="Times New Roman" w:eastAsia="Times New Roman" w:cs="Times New Roman"/>
                <w:spacing w:val="8"/>
                <w:sz w:val="20"/>
                <w:szCs w:val="20"/>
              </w:rPr>
              <w:t>7.</w:t>
            </w:r>
            <w:r>
              <w:rPr>
                <w:spacing w:val="8"/>
                <w:sz w:val="20"/>
                <w:szCs w:val="20"/>
              </w:rPr>
              <w:t>油气田退役前应进行环</w:t>
            </w:r>
            <w:r>
              <w:rPr>
                <w:spacing w:val="9"/>
                <w:sz w:val="20"/>
                <w:szCs w:val="20"/>
              </w:rPr>
              <w:t>境影响后评价，油气田企业应按照后评价要求进行</w:t>
            </w:r>
            <w:r>
              <w:rPr>
                <w:spacing w:val="6"/>
                <w:sz w:val="20"/>
                <w:szCs w:val="20"/>
              </w:rPr>
              <w:t>生态恢复。</w:t>
            </w:r>
          </w:p>
          <w:p w14:paraId="30E4BEFD">
            <w:pPr>
              <w:pStyle w:val="6"/>
              <w:spacing w:before="3" w:line="245" w:lineRule="auto"/>
              <w:ind w:left="9" w:right="84" w:firstLine="2"/>
              <w:rPr>
                <w:sz w:val="20"/>
                <w:szCs w:val="20"/>
              </w:rPr>
            </w:pPr>
            <w:r>
              <w:rPr>
                <w:rFonts w:ascii="Times New Roman" w:hAnsi="Times New Roman" w:eastAsia="Times New Roman" w:cs="Times New Roman"/>
                <w:spacing w:val="7"/>
                <w:sz w:val="20"/>
                <w:szCs w:val="20"/>
              </w:rPr>
              <w:t>8.</w:t>
            </w:r>
            <w:r>
              <w:rPr>
                <w:spacing w:val="7"/>
                <w:sz w:val="20"/>
                <w:szCs w:val="20"/>
              </w:rPr>
              <w:t>在钻井和井下作业过程</w:t>
            </w:r>
            <w:r>
              <w:rPr>
                <w:spacing w:val="9"/>
                <w:sz w:val="20"/>
                <w:szCs w:val="20"/>
              </w:rPr>
              <w:t>中，鼓励污油、污水进入生产流程循环利用，未进</w:t>
            </w:r>
          </w:p>
        </w:tc>
        <w:tc>
          <w:tcPr>
            <w:tcW w:w="2486" w:type="dxa"/>
            <w:tcBorders>
              <w:bottom w:val="single" w:color="000000" w:sz="6" w:space="0"/>
            </w:tcBorders>
            <w:vAlign w:val="top"/>
          </w:tcPr>
          <w:p w14:paraId="353D7249">
            <w:pPr>
              <w:pStyle w:val="6"/>
              <w:spacing w:before="33" w:line="251" w:lineRule="auto"/>
              <w:ind w:left="15" w:firstLine="12"/>
              <w:rPr>
                <w:sz w:val="20"/>
                <w:szCs w:val="20"/>
              </w:rPr>
            </w:pPr>
            <w:r>
              <w:rPr>
                <w:rFonts w:ascii="Times New Roman" w:hAnsi="Times New Roman" w:eastAsia="Times New Roman" w:cs="Times New Roman"/>
                <w:spacing w:val="-4"/>
                <w:sz w:val="20"/>
                <w:szCs w:val="20"/>
              </w:rPr>
              <w:t>1</w:t>
            </w:r>
            <w:r>
              <w:rPr>
                <w:spacing w:val="-4"/>
                <w:sz w:val="20"/>
                <w:szCs w:val="20"/>
              </w:rPr>
              <w:t>、项目属于油气勘查阶段，</w:t>
            </w:r>
            <w:r>
              <w:rPr>
                <w:spacing w:val="5"/>
                <w:sz w:val="20"/>
                <w:szCs w:val="20"/>
              </w:rPr>
              <w:t>未探明地下油气分布情况，</w:t>
            </w:r>
            <w:r>
              <w:rPr>
                <w:spacing w:val="3"/>
                <w:sz w:val="20"/>
                <w:szCs w:val="20"/>
              </w:rPr>
              <w:t>不宜布置丛式井组。</w:t>
            </w:r>
          </w:p>
          <w:p w14:paraId="189F08F7">
            <w:pPr>
              <w:pStyle w:val="6"/>
              <w:spacing w:before="4" w:line="251" w:lineRule="auto"/>
              <w:ind w:left="10" w:hanging="2"/>
              <w:rPr>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16"/>
                <w:sz w:val="20"/>
                <w:szCs w:val="20"/>
              </w:rPr>
              <w:t xml:space="preserve"> </w:t>
            </w:r>
            <w:r>
              <w:rPr>
                <w:spacing w:val="6"/>
                <w:sz w:val="20"/>
                <w:szCs w:val="20"/>
              </w:rPr>
              <w:t>、项目充分利用现有乡村</w:t>
            </w:r>
            <w:r>
              <w:rPr>
                <w:spacing w:val="5"/>
                <w:sz w:val="20"/>
                <w:szCs w:val="20"/>
              </w:rPr>
              <w:t>道路，无需新建进场道路，</w:t>
            </w:r>
            <w:r>
              <w:rPr>
                <w:spacing w:val="9"/>
                <w:sz w:val="20"/>
                <w:szCs w:val="20"/>
              </w:rPr>
              <w:t>要求运输车辆通过时减速</w:t>
            </w:r>
            <w:r>
              <w:rPr>
                <w:spacing w:val="5"/>
                <w:sz w:val="20"/>
                <w:szCs w:val="20"/>
              </w:rPr>
              <w:t>慢行，合理调配车辆来往行车密度，尽量避开附近村民休息时间。项目不会涉及爆</w:t>
            </w:r>
            <w:r>
              <w:rPr>
                <w:spacing w:val="1"/>
                <w:sz w:val="20"/>
                <w:szCs w:val="20"/>
              </w:rPr>
              <w:t>炸。</w:t>
            </w:r>
          </w:p>
          <w:p w14:paraId="0A5E7AF7">
            <w:pPr>
              <w:pStyle w:val="6"/>
              <w:spacing w:before="3" w:line="250" w:lineRule="auto"/>
              <w:ind w:left="12"/>
              <w:rPr>
                <w:sz w:val="20"/>
                <w:szCs w:val="20"/>
              </w:rPr>
            </w:pPr>
            <w:r>
              <w:rPr>
                <w:rFonts w:ascii="Times New Roman" w:hAnsi="Times New Roman" w:eastAsia="Times New Roman" w:cs="Times New Roman"/>
                <w:spacing w:val="6"/>
                <w:sz w:val="20"/>
                <w:szCs w:val="20"/>
              </w:rPr>
              <w:t>3</w:t>
            </w:r>
            <w:r>
              <w:rPr>
                <w:rFonts w:ascii="Times New Roman" w:hAnsi="Times New Roman" w:eastAsia="Times New Roman" w:cs="Times New Roman"/>
                <w:spacing w:val="-20"/>
                <w:sz w:val="20"/>
                <w:szCs w:val="20"/>
              </w:rPr>
              <w:t xml:space="preserve"> </w:t>
            </w:r>
            <w:r>
              <w:rPr>
                <w:spacing w:val="6"/>
                <w:sz w:val="20"/>
                <w:szCs w:val="20"/>
              </w:rPr>
              <w:t>、项目测井采用常规测井</w:t>
            </w:r>
            <w:r>
              <w:rPr>
                <w:spacing w:val="5"/>
                <w:sz w:val="20"/>
                <w:szCs w:val="20"/>
              </w:rPr>
              <w:t>加核磁共振测井技术，测井</w:t>
            </w:r>
            <w:r>
              <w:rPr>
                <w:spacing w:val="9"/>
                <w:sz w:val="20"/>
                <w:szCs w:val="20"/>
              </w:rPr>
              <w:t>放源车按要求已安装定位</w:t>
            </w:r>
            <w:r>
              <w:rPr>
                <w:spacing w:val="3"/>
                <w:sz w:val="20"/>
                <w:szCs w:val="20"/>
              </w:rPr>
              <w:t>系统。</w:t>
            </w:r>
          </w:p>
          <w:p w14:paraId="5638818C">
            <w:pPr>
              <w:pStyle w:val="6"/>
              <w:spacing w:before="3" w:line="251" w:lineRule="auto"/>
              <w:ind w:left="10" w:hanging="3"/>
              <w:rPr>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17"/>
                <w:sz w:val="20"/>
                <w:szCs w:val="20"/>
              </w:rPr>
              <w:t xml:space="preserve"> </w:t>
            </w:r>
            <w:r>
              <w:rPr>
                <w:spacing w:val="6"/>
                <w:sz w:val="20"/>
                <w:szCs w:val="20"/>
              </w:rPr>
              <w:t>、根据前期勘探及项目周</w:t>
            </w:r>
            <w:r>
              <w:rPr>
                <w:spacing w:val="5"/>
                <w:sz w:val="20"/>
                <w:szCs w:val="20"/>
              </w:rPr>
              <w:t>围勘探井试油结果分析，本</w:t>
            </w:r>
            <w:r>
              <w:rPr>
                <w:spacing w:val="9"/>
                <w:sz w:val="20"/>
                <w:szCs w:val="20"/>
              </w:rPr>
              <w:t>勘探区域地层主要生产原</w:t>
            </w:r>
            <w:r>
              <w:rPr>
                <w:spacing w:val="5"/>
                <w:sz w:val="20"/>
                <w:szCs w:val="20"/>
              </w:rPr>
              <w:t>油，伴生气含量较小，勘探阶段不具备回收条件，伴生</w:t>
            </w:r>
            <w:r>
              <w:rPr>
                <w:spacing w:val="9"/>
                <w:sz w:val="20"/>
                <w:szCs w:val="20"/>
              </w:rPr>
              <w:t>气进入放喷装置后充分燃</w:t>
            </w:r>
            <w:r>
              <w:rPr>
                <w:spacing w:val="5"/>
                <w:sz w:val="20"/>
                <w:szCs w:val="20"/>
              </w:rPr>
              <w:t>烧，燃烧放空设施附近无鸟</w:t>
            </w:r>
            <w:r>
              <w:rPr>
                <w:spacing w:val="6"/>
                <w:sz w:val="20"/>
                <w:szCs w:val="20"/>
              </w:rPr>
              <w:t>类迁徙通道。</w:t>
            </w:r>
          </w:p>
          <w:p w14:paraId="176A26BA">
            <w:pPr>
              <w:pStyle w:val="6"/>
              <w:spacing w:before="7" w:line="251" w:lineRule="auto"/>
              <w:ind w:left="11" w:firstLine="2"/>
              <w:rPr>
                <w:sz w:val="20"/>
                <w:szCs w:val="20"/>
              </w:rPr>
            </w:pPr>
            <w:r>
              <w:rPr>
                <w:rFonts w:ascii="Times New Roman" w:hAnsi="Times New Roman" w:eastAsia="Times New Roman" w:cs="Times New Roman"/>
                <w:spacing w:val="-3"/>
                <w:sz w:val="20"/>
                <w:szCs w:val="20"/>
              </w:rPr>
              <w:t>5</w:t>
            </w:r>
            <w:r>
              <w:rPr>
                <w:spacing w:val="-3"/>
                <w:sz w:val="20"/>
                <w:szCs w:val="20"/>
              </w:rPr>
              <w:t>、项目属于石油勘探阶段，</w:t>
            </w:r>
            <w:r>
              <w:rPr>
                <w:spacing w:val="1"/>
                <w:sz w:val="20"/>
                <w:szCs w:val="20"/>
              </w:rPr>
              <w:t>不涉及永久占地。根据勘探结果，不具备开采价值的井口进行永久封井，按土地复垦方案要求进行恢复，恢复成耕地。具有开采价值，则</w:t>
            </w:r>
            <w:r>
              <w:rPr>
                <w:spacing w:val="5"/>
                <w:sz w:val="20"/>
                <w:szCs w:val="20"/>
              </w:rPr>
              <w:t>保留试油井场和进场道路，</w:t>
            </w:r>
            <w:r>
              <w:rPr>
                <w:spacing w:val="4"/>
                <w:sz w:val="20"/>
                <w:szCs w:val="20"/>
              </w:rPr>
              <w:t>移交相关部门转作开发井</w:t>
            </w:r>
            <w:r>
              <w:rPr>
                <w:spacing w:val="1"/>
                <w:sz w:val="20"/>
                <w:szCs w:val="20"/>
              </w:rPr>
              <w:t xml:space="preserve"> 处理，后期若利用勘探井从事生产等活动，需另行履行</w:t>
            </w:r>
            <w:r>
              <w:rPr>
                <w:spacing w:val="2"/>
                <w:sz w:val="20"/>
                <w:szCs w:val="20"/>
              </w:rPr>
              <w:t>环保手续。</w:t>
            </w:r>
          </w:p>
          <w:p w14:paraId="74CC3CA8">
            <w:pPr>
              <w:pStyle w:val="6"/>
              <w:spacing w:line="228" w:lineRule="auto"/>
              <w:ind w:left="13"/>
              <w:rPr>
                <w:sz w:val="20"/>
                <w:szCs w:val="20"/>
              </w:rPr>
            </w:pPr>
            <w:r>
              <w:rPr>
                <w:rFonts w:ascii="Times New Roman" w:hAnsi="Times New Roman" w:eastAsia="Times New Roman" w:cs="Times New Roman"/>
                <w:spacing w:val="5"/>
                <w:sz w:val="20"/>
                <w:szCs w:val="20"/>
              </w:rPr>
              <w:t>6</w:t>
            </w:r>
            <w:r>
              <w:rPr>
                <w:rFonts w:ascii="Times New Roman" w:hAnsi="Times New Roman" w:eastAsia="Times New Roman" w:cs="Times New Roman"/>
                <w:spacing w:val="-17"/>
                <w:sz w:val="20"/>
                <w:szCs w:val="20"/>
              </w:rPr>
              <w:t xml:space="preserve"> </w:t>
            </w:r>
            <w:r>
              <w:rPr>
                <w:spacing w:val="5"/>
                <w:sz w:val="20"/>
                <w:szCs w:val="20"/>
              </w:rPr>
              <w:t>、项目不在自然保护区、</w:t>
            </w:r>
          </w:p>
          <w:p w14:paraId="0A3B3EA2">
            <w:pPr>
              <w:pStyle w:val="6"/>
              <w:spacing w:before="27" w:line="251" w:lineRule="auto"/>
              <w:ind w:left="12"/>
              <w:rPr>
                <w:sz w:val="20"/>
                <w:szCs w:val="20"/>
              </w:rPr>
            </w:pPr>
            <w:r>
              <w:rPr>
                <w:spacing w:val="5"/>
                <w:sz w:val="20"/>
                <w:szCs w:val="20"/>
              </w:rPr>
              <w:t>风景名胜区、森林公园、饮用水水源保护区、文物古迹所在地、地质遗迹保护区等</w:t>
            </w:r>
            <w:r>
              <w:rPr>
                <w:spacing w:val="8"/>
                <w:sz w:val="20"/>
                <w:szCs w:val="20"/>
              </w:rPr>
              <w:t>重要生态保护地以及其他法律法规规定的禁采区域</w:t>
            </w:r>
            <w:r>
              <w:rPr>
                <w:sz w:val="20"/>
                <w:szCs w:val="20"/>
              </w:rPr>
              <w:t>内。</w:t>
            </w:r>
          </w:p>
          <w:p w14:paraId="21308A31">
            <w:pPr>
              <w:pStyle w:val="6"/>
              <w:spacing w:before="1" w:line="251" w:lineRule="auto"/>
              <w:ind w:left="14" w:right="64" w:hanging="2"/>
              <w:rPr>
                <w:sz w:val="20"/>
                <w:szCs w:val="20"/>
              </w:rPr>
            </w:pPr>
            <w:r>
              <w:rPr>
                <w:rFonts w:ascii="Times New Roman" w:hAnsi="Times New Roman" w:eastAsia="Times New Roman" w:cs="Times New Roman"/>
                <w:spacing w:val="6"/>
                <w:sz w:val="20"/>
                <w:szCs w:val="20"/>
              </w:rPr>
              <w:t>7</w:t>
            </w:r>
            <w:r>
              <w:rPr>
                <w:rFonts w:ascii="Times New Roman" w:hAnsi="Times New Roman" w:eastAsia="Times New Roman" w:cs="Times New Roman"/>
                <w:spacing w:val="-19"/>
                <w:sz w:val="20"/>
                <w:szCs w:val="20"/>
              </w:rPr>
              <w:t xml:space="preserve"> </w:t>
            </w:r>
            <w:r>
              <w:rPr>
                <w:spacing w:val="6"/>
                <w:sz w:val="20"/>
                <w:szCs w:val="20"/>
              </w:rPr>
              <w:t>、项目为勘探施工期，不</w:t>
            </w:r>
            <w:r>
              <w:rPr>
                <w:spacing w:val="7"/>
                <w:sz w:val="20"/>
                <w:szCs w:val="20"/>
              </w:rPr>
              <w:t>涉及运营期和退役期。</w:t>
            </w:r>
          </w:p>
          <w:p w14:paraId="53B48A9E">
            <w:pPr>
              <w:pStyle w:val="6"/>
              <w:spacing w:line="247" w:lineRule="auto"/>
              <w:ind w:left="14" w:firstLine="2"/>
              <w:rPr>
                <w:sz w:val="20"/>
                <w:szCs w:val="20"/>
              </w:rPr>
            </w:pPr>
            <w:r>
              <w:rPr>
                <w:rFonts w:ascii="Times New Roman" w:hAnsi="Times New Roman" w:eastAsia="Times New Roman" w:cs="Times New Roman"/>
                <w:spacing w:val="6"/>
                <w:sz w:val="20"/>
                <w:szCs w:val="20"/>
              </w:rPr>
              <w:t>8</w:t>
            </w:r>
            <w:r>
              <w:rPr>
                <w:rFonts w:ascii="Times New Roman" w:hAnsi="Times New Roman" w:eastAsia="Times New Roman" w:cs="Times New Roman"/>
                <w:spacing w:val="-22"/>
                <w:sz w:val="20"/>
                <w:szCs w:val="20"/>
              </w:rPr>
              <w:t xml:space="preserve"> </w:t>
            </w:r>
            <w:r>
              <w:rPr>
                <w:spacing w:val="6"/>
                <w:sz w:val="20"/>
                <w:szCs w:val="20"/>
              </w:rPr>
              <w:t>、项目施工过程产生的废</w:t>
            </w:r>
            <w:r>
              <w:rPr>
                <w:spacing w:val="5"/>
                <w:sz w:val="20"/>
                <w:szCs w:val="20"/>
              </w:rPr>
              <w:t>弃泥浆、钻井岩屑定期拉运</w:t>
            </w:r>
            <w:r>
              <w:rPr>
                <w:spacing w:val="8"/>
                <w:sz w:val="20"/>
                <w:szCs w:val="20"/>
              </w:rPr>
              <w:t>至内蒙古众宁环保科技有限公司油气田废弃物集中</w:t>
            </w:r>
          </w:p>
        </w:tc>
        <w:tc>
          <w:tcPr>
            <w:tcW w:w="591" w:type="dxa"/>
            <w:tcBorders>
              <w:bottom w:val="single" w:color="000000" w:sz="6" w:space="0"/>
              <w:right w:val="single" w:color="000000" w:sz="6" w:space="0"/>
            </w:tcBorders>
            <w:vAlign w:val="top"/>
          </w:tcPr>
          <w:p w14:paraId="037DBECE">
            <w:pPr>
              <w:spacing w:line="242" w:lineRule="auto"/>
              <w:rPr>
                <w:rFonts w:ascii="Arial"/>
                <w:sz w:val="21"/>
              </w:rPr>
            </w:pPr>
          </w:p>
          <w:p w14:paraId="13A5F26F">
            <w:pPr>
              <w:spacing w:line="242" w:lineRule="auto"/>
              <w:rPr>
                <w:rFonts w:ascii="Arial"/>
                <w:sz w:val="21"/>
              </w:rPr>
            </w:pPr>
          </w:p>
          <w:p w14:paraId="4ECAA499">
            <w:pPr>
              <w:spacing w:line="242" w:lineRule="auto"/>
              <w:rPr>
                <w:rFonts w:ascii="Arial"/>
                <w:sz w:val="21"/>
              </w:rPr>
            </w:pPr>
          </w:p>
          <w:p w14:paraId="0E818092">
            <w:pPr>
              <w:spacing w:line="242" w:lineRule="auto"/>
              <w:rPr>
                <w:rFonts w:ascii="Arial"/>
                <w:sz w:val="21"/>
              </w:rPr>
            </w:pPr>
          </w:p>
          <w:p w14:paraId="3B9DCC3D">
            <w:pPr>
              <w:spacing w:line="242" w:lineRule="auto"/>
              <w:rPr>
                <w:rFonts w:ascii="Arial"/>
                <w:sz w:val="21"/>
              </w:rPr>
            </w:pPr>
          </w:p>
          <w:p w14:paraId="0CDCABF4">
            <w:pPr>
              <w:spacing w:line="242" w:lineRule="auto"/>
              <w:rPr>
                <w:rFonts w:ascii="Arial"/>
                <w:sz w:val="21"/>
              </w:rPr>
            </w:pPr>
          </w:p>
          <w:p w14:paraId="002370CE">
            <w:pPr>
              <w:spacing w:line="242" w:lineRule="auto"/>
              <w:rPr>
                <w:rFonts w:ascii="Arial"/>
                <w:sz w:val="21"/>
              </w:rPr>
            </w:pPr>
          </w:p>
          <w:p w14:paraId="758A9D75">
            <w:pPr>
              <w:spacing w:line="242" w:lineRule="auto"/>
              <w:rPr>
                <w:rFonts w:ascii="Arial"/>
                <w:sz w:val="21"/>
              </w:rPr>
            </w:pPr>
          </w:p>
          <w:p w14:paraId="22DCAD00">
            <w:pPr>
              <w:spacing w:line="242" w:lineRule="auto"/>
              <w:rPr>
                <w:rFonts w:ascii="Arial"/>
                <w:sz w:val="21"/>
              </w:rPr>
            </w:pPr>
          </w:p>
          <w:p w14:paraId="1792D071">
            <w:pPr>
              <w:spacing w:line="242" w:lineRule="auto"/>
              <w:rPr>
                <w:rFonts w:ascii="Arial"/>
                <w:sz w:val="21"/>
              </w:rPr>
            </w:pPr>
          </w:p>
          <w:p w14:paraId="2748E55E">
            <w:pPr>
              <w:spacing w:line="242" w:lineRule="auto"/>
              <w:rPr>
                <w:rFonts w:ascii="Arial"/>
                <w:sz w:val="21"/>
              </w:rPr>
            </w:pPr>
          </w:p>
          <w:p w14:paraId="7222230B">
            <w:pPr>
              <w:spacing w:line="242" w:lineRule="auto"/>
              <w:rPr>
                <w:rFonts w:ascii="Arial"/>
                <w:sz w:val="21"/>
              </w:rPr>
            </w:pPr>
          </w:p>
          <w:p w14:paraId="5A8D8CA9">
            <w:pPr>
              <w:spacing w:line="242" w:lineRule="auto"/>
              <w:rPr>
                <w:rFonts w:ascii="Arial"/>
                <w:sz w:val="21"/>
              </w:rPr>
            </w:pPr>
          </w:p>
          <w:p w14:paraId="06DC6ADB">
            <w:pPr>
              <w:spacing w:line="242" w:lineRule="auto"/>
              <w:rPr>
                <w:rFonts w:ascii="Arial"/>
                <w:sz w:val="21"/>
              </w:rPr>
            </w:pPr>
          </w:p>
          <w:p w14:paraId="30742274">
            <w:pPr>
              <w:spacing w:line="242" w:lineRule="auto"/>
              <w:rPr>
                <w:rFonts w:ascii="Arial"/>
                <w:sz w:val="21"/>
              </w:rPr>
            </w:pPr>
          </w:p>
          <w:p w14:paraId="1963C072">
            <w:pPr>
              <w:spacing w:line="242" w:lineRule="auto"/>
              <w:rPr>
                <w:rFonts w:ascii="Arial"/>
                <w:sz w:val="21"/>
              </w:rPr>
            </w:pPr>
          </w:p>
          <w:p w14:paraId="3FFBB9FD">
            <w:pPr>
              <w:spacing w:line="242" w:lineRule="auto"/>
              <w:rPr>
                <w:rFonts w:ascii="Arial"/>
                <w:sz w:val="21"/>
              </w:rPr>
            </w:pPr>
          </w:p>
          <w:p w14:paraId="24932D5C">
            <w:pPr>
              <w:spacing w:line="242" w:lineRule="auto"/>
              <w:rPr>
                <w:rFonts w:ascii="Arial"/>
                <w:sz w:val="21"/>
              </w:rPr>
            </w:pPr>
          </w:p>
          <w:p w14:paraId="587DE7C6">
            <w:pPr>
              <w:spacing w:line="243" w:lineRule="auto"/>
              <w:rPr>
                <w:rFonts w:ascii="Arial"/>
                <w:sz w:val="21"/>
              </w:rPr>
            </w:pPr>
          </w:p>
          <w:p w14:paraId="58FC060F">
            <w:pPr>
              <w:spacing w:line="243" w:lineRule="auto"/>
              <w:rPr>
                <w:rFonts w:ascii="Arial"/>
                <w:sz w:val="21"/>
              </w:rPr>
            </w:pPr>
          </w:p>
          <w:p w14:paraId="615CD702">
            <w:pPr>
              <w:spacing w:line="243" w:lineRule="auto"/>
              <w:rPr>
                <w:rFonts w:ascii="Arial"/>
                <w:sz w:val="21"/>
              </w:rPr>
            </w:pPr>
          </w:p>
          <w:p w14:paraId="7045CF71">
            <w:pPr>
              <w:spacing w:line="243" w:lineRule="auto"/>
              <w:rPr>
                <w:rFonts w:ascii="Arial"/>
                <w:sz w:val="21"/>
              </w:rPr>
            </w:pPr>
          </w:p>
          <w:p w14:paraId="1C7C917F">
            <w:pPr>
              <w:spacing w:line="243" w:lineRule="auto"/>
              <w:rPr>
                <w:rFonts w:ascii="Arial"/>
                <w:sz w:val="21"/>
              </w:rPr>
            </w:pPr>
          </w:p>
          <w:p w14:paraId="019B2604">
            <w:pPr>
              <w:spacing w:line="243" w:lineRule="auto"/>
              <w:rPr>
                <w:rFonts w:ascii="Arial"/>
                <w:sz w:val="21"/>
              </w:rPr>
            </w:pPr>
          </w:p>
          <w:p w14:paraId="54FB9B5F">
            <w:pPr>
              <w:spacing w:line="243" w:lineRule="auto"/>
              <w:rPr>
                <w:rFonts w:ascii="Arial"/>
                <w:sz w:val="21"/>
              </w:rPr>
            </w:pPr>
          </w:p>
          <w:p w14:paraId="11DCCD59">
            <w:pPr>
              <w:pStyle w:val="6"/>
              <w:spacing w:before="65" w:line="228" w:lineRule="auto"/>
              <w:ind w:left="19"/>
              <w:rPr>
                <w:sz w:val="20"/>
                <w:szCs w:val="20"/>
              </w:rPr>
            </w:pPr>
            <w:r>
              <w:rPr>
                <w:spacing w:val="3"/>
                <w:sz w:val="20"/>
                <w:szCs w:val="20"/>
              </w:rPr>
              <w:t>符合</w:t>
            </w:r>
          </w:p>
        </w:tc>
      </w:tr>
    </w:tbl>
    <w:p w14:paraId="390A61CF">
      <w:pPr>
        <w:rPr>
          <w:rFonts w:ascii="Arial"/>
          <w:sz w:val="21"/>
        </w:rPr>
      </w:pPr>
    </w:p>
    <w:p w14:paraId="3E613E45">
      <w:pPr>
        <w:rPr>
          <w:rFonts w:ascii="Arial" w:hAnsi="Arial" w:eastAsia="Arial" w:cs="Arial"/>
          <w:sz w:val="21"/>
          <w:szCs w:val="21"/>
        </w:rPr>
        <w:sectPr>
          <w:footerReference r:id="rId25" w:type="default"/>
          <w:pgSz w:w="11906" w:h="16839"/>
          <w:pgMar w:top="400" w:right="1395" w:bottom="1240" w:left="1565" w:header="0" w:footer="1078" w:gutter="0"/>
          <w:cols w:space="720" w:num="1"/>
        </w:sectPr>
      </w:pPr>
    </w:p>
    <w:p w14:paraId="4BF83A8A">
      <w:pPr>
        <w:spacing w:before="56"/>
      </w:pPr>
    </w:p>
    <w:p w14:paraId="1E1DF767">
      <w:pPr>
        <w:spacing w:before="56"/>
      </w:pPr>
    </w:p>
    <w:p w14:paraId="00E4FA89">
      <w:pPr>
        <w:spacing w:before="55"/>
      </w:pPr>
    </w:p>
    <w:p w14:paraId="1AAF371F">
      <w:pPr>
        <w:spacing w:before="55"/>
      </w:pPr>
    </w:p>
    <w:tbl>
      <w:tblPr>
        <w:tblStyle w:val="5"/>
        <w:tblW w:w="893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56"/>
        <w:gridCol w:w="650"/>
        <w:gridCol w:w="748"/>
        <w:gridCol w:w="601"/>
        <w:gridCol w:w="2398"/>
        <w:gridCol w:w="2486"/>
        <w:gridCol w:w="591"/>
      </w:tblGrid>
      <w:tr w14:paraId="3278F1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1" w:hRule="atLeast"/>
        </w:trPr>
        <w:tc>
          <w:tcPr>
            <w:tcW w:w="1456" w:type="dxa"/>
            <w:vMerge w:val="restart"/>
            <w:tcBorders>
              <w:top w:val="single" w:color="000000" w:sz="6" w:space="0"/>
              <w:left w:val="single" w:color="000000" w:sz="6" w:space="0"/>
              <w:bottom w:val="nil"/>
            </w:tcBorders>
            <w:vAlign w:val="top"/>
          </w:tcPr>
          <w:p w14:paraId="3FE223D2">
            <w:pPr>
              <w:rPr>
                <w:rFonts w:ascii="Arial"/>
                <w:sz w:val="21"/>
              </w:rPr>
            </w:pPr>
          </w:p>
        </w:tc>
        <w:tc>
          <w:tcPr>
            <w:tcW w:w="650" w:type="dxa"/>
            <w:vMerge w:val="restart"/>
            <w:tcBorders>
              <w:top w:val="single" w:color="000000" w:sz="6" w:space="0"/>
              <w:bottom w:val="nil"/>
            </w:tcBorders>
            <w:vAlign w:val="top"/>
          </w:tcPr>
          <w:p w14:paraId="0C8E4A46">
            <w:pPr>
              <w:rPr>
                <w:rFonts w:ascii="Arial"/>
                <w:sz w:val="21"/>
              </w:rPr>
            </w:pPr>
          </w:p>
        </w:tc>
        <w:tc>
          <w:tcPr>
            <w:tcW w:w="748" w:type="dxa"/>
            <w:vMerge w:val="restart"/>
            <w:tcBorders>
              <w:top w:val="single" w:color="000000" w:sz="6" w:space="0"/>
              <w:bottom w:val="nil"/>
            </w:tcBorders>
            <w:vAlign w:val="top"/>
          </w:tcPr>
          <w:p w14:paraId="10F6E43C">
            <w:pPr>
              <w:rPr>
                <w:rFonts w:ascii="Arial"/>
                <w:sz w:val="21"/>
              </w:rPr>
            </w:pPr>
          </w:p>
        </w:tc>
        <w:tc>
          <w:tcPr>
            <w:tcW w:w="601" w:type="dxa"/>
            <w:tcBorders>
              <w:top w:val="single" w:color="000000" w:sz="6" w:space="0"/>
            </w:tcBorders>
            <w:vAlign w:val="top"/>
          </w:tcPr>
          <w:p w14:paraId="643B5CF2">
            <w:pPr>
              <w:rPr>
                <w:rFonts w:ascii="Arial"/>
                <w:sz w:val="21"/>
              </w:rPr>
            </w:pPr>
          </w:p>
        </w:tc>
        <w:tc>
          <w:tcPr>
            <w:tcW w:w="2398" w:type="dxa"/>
            <w:tcBorders>
              <w:top w:val="single" w:color="000000" w:sz="6" w:space="0"/>
            </w:tcBorders>
            <w:vAlign w:val="top"/>
          </w:tcPr>
          <w:p w14:paraId="522CD309">
            <w:pPr>
              <w:pStyle w:val="6"/>
              <w:spacing w:before="53" w:line="251" w:lineRule="auto"/>
              <w:ind w:left="7" w:right="84"/>
              <w:jc w:val="both"/>
              <w:rPr>
                <w:sz w:val="20"/>
                <w:szCs w:val="20"/>
              </w:rPr>
            </w:pPr>
            <w:r>
              <w:rPr>
                <w:spacing w:val="9"/>
                <w:sz w:val="20"/>
                <w:szCs w:val="20"/>
              </w:rPr>
              <w:t>入生产流程的污油、污水应采用固液分离、废水处理一体化装置等处理后达</w:t>
            </w:r>
            <w:r>
              <w:rPr>
                <w:spacing w:val="5"/>
                <w:sz w:val="20"/>
                <w:szCs w:val="20"/>
              </w:rPr>
              <w:t>标外排。</w:t>
            </w:r>
          </w:p>
          <w:p w14:paraId="786224DC">
            <w:pPr>
              <w:pStyle w:val="6"/>
              <w:spacing w:before="1" w:line="251" w:lineRule="auto"/>
              <w:ind w:left="8" w:right="2"/>
              <w:rPr>
                <w:sz w:val="20"/>
                <w:szCs w:val="20"/>
              </w:rPr>
            </w:pPr>
            <w:r>
              <w:rPr>
                <w:rFonts w:ascii="Times New Roman" w:hAnsi="Times New Roman" w:eastAsia="Times New Roman" w:cs="Times New Roman"/>
                <w:sz w:val="20"/>
                <w:szCs w:val="20"/>
              </w:rPr>
              <w:t>9.</w:t>
            </w:r>
            <w:r>
              <w:rPr>
                <w:rFonts w:ascii="Times New Roman" w:hAnsi="Times New Roman" w:eastAsia="Times New Roman" w:cs="Times New Roman"/>
                <w:spacing w:val="-19"/>
                <w:sz w:val="20"/>
                <w:szCs w:val="20"/>
              </w:rPr>
              <w:t xml:space="preserve"> </w:t>
            </w:r>
            <w:r>
              <w:rPr>
                <w:sz w:val="20"/>
                <w:szCs w:val="20"/>
              </w:rPr>
              <w:t>固体废物收集、贮存、处</w:t>
            </w:r>
            <w:r>
              <w:rPr>
                <w:spacing w:val="9"/>
                <w:sz w:val="20"/>
                <w:szCs w:val="20"/>
              </w:rPr>
              <w:t>理处置设施应按照标准要求采取防渗措施。试油后应立即封闭废弃钻井液贮</w:t>
            </w:r>
            <w:r>
              <w:rPr>
                <w:sz w:val="20"/>
                <w:szCs w:val="20"/>
              </w:rPr>
              <w:t>池。</w:t>
            </w:r>
          </w:p>
          <w:p w14:paraId="56EAE881">
            <w:pPr>
              <w:pStyle w:val="6"/>
              <w:spacing w:before="4" w:line="251" w:lineRule="auto"/>
              <w:ind w:left="8" w:right="33" w:firstLine="16"/>
              <w:rPr>
                <w:sz w:val="20"/>
                <w:szCs w:val="20"/>
              </w:rPr>
            </w:pPr>
            <w:r>
              <w:rPr>
                <w:rFonts w:ascii="Times New Roman" w:hAnsi="Times New Roman" w:eastAsia="Times New Roman" w:cs="Times New Roman"/>
                <w:spacing w:val="3"/>
                <w:sz w:val="20"/>
                <w:szCs w:val="20"/>
              </w:rPr>
              <w:t>10.</w:t>
            </w:r>
            <w:r>
              <w:rPr>
                <w:spacing w:val="3"/>
                <w:sz w:val="20"/>
                <w:szCs w:val="20"/>
              </w:rPr>
              <w:t>应回收落地原油，</w:t>
            </w:r>
            <w:r>
              <w:rPr>
                <w:spacing w:val="-56"/>
                <w:sz w:val="20"/>
                <w:szCs w:val="20"/>
              </w:rPr>
              <w:t xml:space="preserve"> </w:t>
            </w:r>
            <w:r>
              <w:rPr>
                <w:spacing w:val="3"/>
                <w:sz w:val="20"/>
                <w:szCs w:val="20"/>
              </w:rPr>
              <w:t>以及</w:t>
            </w:r>
            <w:r>
              <w:rPr>
                <w:spacing w:val="9"/>
                <w:sz w:val="20"/>
                <w:szCs w:val="20"/>
              </w:rPr>
              <w:t>原油处理、废水处理产生的油泥（砂）等中的油类物质，含油污泥资源化利</w:t>
            </w:r>
            <w:r>
              <w:rPr>
                <w:spacing w:val="12"/>
                <w:sz w:val="20"/>
                <w:szCs w:val="20"/>
              </w:rPr>
              <w:t>用率应达到</w:t>
            </w:r>
            <w:r>
              <w:rPr>
                <w:rFonts w:ascii="Times New Roman" w:hAnsi="Times New Roman" w:eastAsia="Times New Roman" w:cs="Times New Roman"/>
                <w:spacing w:val="12"/>
                <w:sz w:val="20"/>
                <w:szCs w:val="20"/>
              </w:rPr>
              <w:t>90%</w:t>
            </w:r>
            <w:r>
              <w:rPr>
                <w:spacing w:val="12"/>
                <w:sz w:val="20"/>
                <w:szCs w:val="20"/>
              </w:rPr>
              <w:t>以上，残</w:t>
            </w:r>
            <w:r>
              <w:rPr>
                <w:spacing w:val="9"/>
                <w:sz w:val="20"/>
                <w:szCs w:val="20"/>
              </w:rPr>
              <w:t>余固体废物应按照《国家危险废物名录》和危险废物鉴别标准识别，根据识别结果资源化利用或无害</w:t>
            </w:r>
            <w:r>
              <w:rPr>
                <w:spacing w:val="5"/>
                <w:sz w:val="20"/>
                <w:szCs w:val="20"/>
              </w:rPr>
              <w:t>化处置。</w:t>
            </w:r>
          </w:p>
          <w:p w14:paraId="3FF89BB0">
            <w:pPr>
              <w:pStyle w:val="6"/>
              <w:spacing w:before="1" w:line="238" w:lineRule="auto"/>
              <w:ind w:left="7" w:right="40" w:firstLine="17"/>
              <w:rPr>
                <w:sz w:val="20"/>
                <w:szCs w:val="20"/>
              </w:rPr>
            </w:pPr>
            <w:r>
              <w:rPr>
                <w:rFonts w:ascii="Times New Roman" w:hAnsi="Times New Roman" w:eastAsia="Times New Roman" w:cs="Times New Roman"/>
                <w:spacing w:val="5"/>
                <w:sz w:val="20"/>
                <w:szCs w:val="20"/>
              </w:rPr>
              <w:t>11.</w:t>
            </w:r>
            <w:r>
              <w:rPr>
                <w:spacing w:val="5"/>
                <w:sz w:val="20"/>
                <w:szCs w:val="20"/>
              </w:rPr>
              <w:t>对受到油污染的土壤宜</w:t>
            </w:r>
            <w:r>
              <w:rPr>
                <w:spacing w:val="9"/>
                <w:sz w:val="20"/>
                <w:szCs w:val="20"/>
              </w:rPr>
              <w:t>采取生物或物化方法进行</w:t>
            </w:r>
            <w:r>
              <w:rPr>
                <w:spacing w:val="3"/>
                <w:sz w:val="20"/>
                <w:szCs w:val="20"/>
              </w:rPr>
              <w:t>修复。</w:t>
            </w:r>
          </w:p>
        </w:tc>
        <w:tc>
          <w:tcPr>
            <w:tcW w:w="2486" w:type="dxa"/>
            <w:tcBorders>
              <w:top w:val="single" w:color="000000" w:sz="6" w:space="0"/>
            </w:tcBorders>
            <w:vAlign w:val="top"/>
          </w:tcPr>
          <w:p w14:paraId="7CADF708">
            <w:pPr>
              <w:pStyle w:val="6"/>
              <w:spacing w:before="52" w:line="228" w:lineRule="auto"/>
              <w:ind w:left="16"/>
              <w:rPr>
                <w:sz w:val="20"/>
                <w:szCs w:val="20"/>
              </w:rPr>
            </w:pPr>
            <w:r>
              <w:rPr>
                <w:spacing w:val="6"/>
                <w:sz w:val="20"/>
                <w:szCs w:val="20"/>
              </w:rPr>
              <w:t>处理厂处理。</w:t>
            </w:r>
          </w:p>
          <w:p w14:paraId="0D169755">
            <w:pPr>
              <w:pStyle w:val="6"/>
              <w:spacing w:before="22" w:line="252" w:lineRule="auto"/>
              <w:ind w:left="11" w:firstLine="1"/>
              <w:rPr>
                <w:sz w:val="20"/>
                <w:szCs w:val="20"/>
              </w:rPr>
            </w:pPr>
            <w:r>
              <w:rPr>
                <w:rFonts w:ascii="Times New Roman" w:hAnsi="Times New Roman" w:eastAsia="Times New Roman" w:cs="Times New Roman"/>
                <w:spacing w:val="5"/>
                <w:sz w:val="20"/>
                <w:szCs w:val="20"/>
              </w:rPr>
              <w:t>9</w:t>
            </w:r>
            <w:r>
              <w:rPr>
                <w:rFonts w:ascii="Times New Roman" w:hAnsi="Times New Roman" w:eastAsia="Times New Roman" w:cs="Times New Roman"/>
                <w:spacing w:val="-16"/>
                <w:sz w:val="20"/>
                <w:szCs w:val="20"/>
              </w:rPr>
              <w:t xml:space="preserve"> </w:t>
            </w:r>
            <w:r>
              <w:rPr>
                <w:spacing w:val="5"/>
                <w:sz w:val="20"/>
                <w:szCs w:val="20"/>
              </w:rPr>
              <w:t>、项目按照要求对井场采取分区防渗措施，采用泥浆不落地循环系统装置，不开挖泥浆池，试油阶段采出液通过密闭管线进入储液罐。</w:t>
            </w:r>
          </w:p>
          <w:p w14:paraId="4630C072">
            <w:pPr>
              <w:pStyle w:val="6"/>
              <w:spacing w:line="251" w:lineRule="auto"/>
              <w:ind w:left="14" w:firstLine="14"/>
              <w:rPr>
                <w:sz w:val="20"/>
                <w:szCs w:val="20"/>
              </w:rPr>
            </w:pPr>
            <w:r>
              <w:rPr>
                <w:rFonts w:ascii="Times New Roman" w:hAnsi="Times New Roman" w:eastAsia="Times New Roman" w:cs="Times New Roman"/>
                <w:spacing w:val="3"/>
                <w:sz w:val="20"/>
                <w:szCs w:val="20"/>
              </w:rPr>
              <w:t>10</w:t>
            </w:r>
            <w:r>
              <w:rPr>
                <w:spacing w:val="3"/>
                <w:sz w:val="20"/>
                <w:szCs w:val="20"/>
              </w:rPr>
              <w:t>、项目正常工况下不会产</w:t>
            </w:r>
            <w:r>
              <w:rPr>
                <w:spacing w:val="5"/>
                <w:sz w:val="20"/>
                <w:szCs w:val="20"/>
              </w:rPr>
              <w:t>生落地油。非正常工况下产生的落地油</w:t>
            </w:r>
            <w:r>
              <w:rPr>
                <w:spacing w:val="-20"/>
                <w:sz w:val="20"/>
                <w:szCs w:val="20"/>
              </w:rPr>
              <w:t xml:space="preserve"> </w:t>
            </w:r>
            <w:r>
              <w:rPr>
                <w:rFonts w:ascii="Times New Roman" w:hAnsi="Times New Roman" w:eastAsia="Times New Roman" w:cs="Times New Roman"/>
                <w:spacing w:val="5"/>
                <w:sz w:val="20"/>
                <w:szCs w:val="20"/>
              </w:rPr>
              <w:t>100%</w:t>
            </w:r>
            <w:r>
              <w:rPr>
                <w:spacing w:val="5"/>
                <w:sz w:val="20"/>
                <w:szCs w:val="20"/>
              </w:rPr>
              <w:t>进行回</w:t>
            </w:r>
          </w:p>
          <w:p w14:paraId="08738A6B">
            <w:pPr>
              <w:pStyle w:val="6"/>
              <w:spacing w:line="251" w:lineRule="auto"/>
              <w:ind w:left="10" w:right="167" w:firstLine="8"/>
              <w:rPr>
                <w:sz w:val="20"/>
                <w:szCs w:val="20"/>
              </w:rPr>
            </w:pPr>
            <w:r>
              <w:rPr>
                <w:spacing w:val="8"/>
                <w:sz w:val="20"/>
                <w:szCs w:val="20"/>
              </w:rPr>
              <w:t>收，交有资质单位拉运处</w:t>
            </w:r>
            <w:r>
              <w:rPr>
                <w:spacing w:val="1"/>
                <w:sz w:val="20"/>
                <w:szCs w:val="20"/>
              </w:rPr>
              <w:t>置。</w:t>
            </w:r>
          </w:p>
          <w:p w14:paraId="69DC33F2">
            <w:pPr>
              <w:pStyle w:val="6"/>
              <w:spacing w:before="8" w:line="251" w:lineRule="auto"/>
              <w:ind w:left="10" w:firstLine="17"/>
              <w:rPr>
                <w:sz w:val="20"/>
                <w:szCs w:val="20"/>
              </w:rPr>
            </w:pPr>
            <w:r>
              <w:rPr>
                <w:rFonts w:ascii="Times New Roman" w:hAnsi="Times New Roman" w:eastAsia="Times New Roman" w:cs="Times New Roman"/>
                <w:spacing w:val="3"/>
                <w:sz w:val="20"/>
                <w:szCs w:val="20"/>
              </w:rPr>
              <w:t>11</w:t>
            </w:r>
            <w:r>
              <w:rPr>
                <w:spacing w:val="3"/>
                <w:sz w:val="20"/>
                <w:szCs w:val="20"/>
              </w:rPr>
              <w:t>、若操作不当，油类物质</w:t>
            </w:r>
            <w:r>
              <w:rPr>
                <w:spacing w:val="9"/>
                <w:sz w:val="20"/>
                <w:szCs w:val="20"/>
              </w:rPr>
              <w:t>滴至地面后，根据污染深度，铲至未被污染土层深</w:t>
            </w:r>
            <w:r>
              <w:rPr>
                <w:spacing w:val="5"/>
                <w:sz w:val="20"/>
                <w:szCs w:val="20"/>
              </w:rPr>
              <w:t>度，暂存于井场撬装式危废贮存点污油罐内，交有资质单位拉运处置；对原有位置进行平整，并对周围土壤通</w:t>
            </w:r>
            <w:r>
              <w:rPr>
                <w:spacing w:val="8"/>
                <w:sz w:val="20"/>
                <w:szCs w:val="20"/>
              </w:rPr>
              <w:t>过种植植物进行修复。</w:t>
            </w:r>
          </w:p>
        </w:tc>
        <w:tc>
          <w:tcPr>
            <w:tcW w:w="591" w:type="dxa"/>
            <w:tcBorders>
              <w:top w:val="single" w:color="000000" w:sz="6" w:space="0"/>
              <w:right w:val="single" w:color="000000" w:sz="6" w:space="0"/>
            </w:tcBorders>
            <w:vAlign w:val="top"/>
          </w:tcPr>
          <w:p w14:paraId="24B82D2A">
            <w:pPr>
              <w:rPr>
                <w:rFonts w:ascii="Arial"/>
                <w:sz w:val="21"/>
              </w:rPr>
            </w:pPr>
          </w:p>
        </w:tc>
      </w:tr>
      <w:tr w14:paraId="2C46FB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7" w:hRule="atLeast"/>
        </w:trPr>
        <w:tc>
          <w:tcPr>
            <w:tcW w:w="1456" w:type="dxa"/>
            <w:vMerge w:val="continue"/>
            <w:tcBorders>
              <w:top w:val="nil"/>
              <w:left w:val="single" w:color="000000" w:sz="6" w:space="0"/>
              <w:bottom w:val="nil"/>
            </w:tcBorders>
            <w:vAlign w:val="top"/>
          </w:tcPr>
          <w:p w14:paraId="7071BA38">
            <w:pPr>
              <w:rPr>
                <w:rFonts w:ascii="Arial"/>
                <w:sz w:val="21"/>
              </w:rPr>
            </w:pPr>
          </w:p>
        </w:tc>
        <w:tc>
          <w:tcPr>
            <w:tcW w:w="650" w:type="dxa"/>
            <w:vMerge w:val="continue"/>
            <w:tcBorders>
              <w:top w:val="nil"/>
              <w:bottom w:val="nil"/>
            </w:tcBorders>
            <w:vAlign w:val="top"/>
          </w:tcPr>
          <w:p w14:paraId="7361679D">
            <w:pPr>
              <w:rPr>
                <w:rFonts w:ascii="Arial"/>
                <w:sz w:val="21"/>
              </w:rPr>
            </w:pPr>
          </w:p>
        </w:tc>
        <w:tc>
          <w:tcPr>
            <w:tcW w:w="748" w:type="dxa"/>
            <w:vMerge w:val="continue"/>
            <w:tcBorders>
              <w:top w:val="nil"/>
              <w:bottom w:val="nil"/>
            </w:tcBorders>
            <w:vAlign w:val="top"/>
          </w:tcPr>
          <w:p w14:paraId="34118A27">
            <w:pPr>
              <w:rPr>
                <w:rFonts w:ascii="Arial"/>
                <w:sz w:val="21"/>
              </w:rPr>
            </w:pPr>
          </w:p>
        </w:tc>
        <w:tc>
          <w:tcPr>
            <w:tcW w:w="601" w:type="dxa"/>
            <w:vAlign w:val="top"/>
          </w:tcPr>
          <w:p w14:paraId="5A1BEBF9">
            <w:pPr>
              <w:spacing w:line="247" w:lineRule="auto"/>
              <w:rPr>
                <w:rFonts w:ascii="Arial"/>
                <w:sz w:val="21"/>
              </w:rPr>
            </w:pPr>
          </w:p>
          <w:p w14:paraId="1B9325DB">
            <w:pPr>
              <w:spacing w:line="247" w:lineRule="auto"/>
              <w:rPr>
                <w:rFonts w:ascii="Arial"/>
                <w:sz w:val="21"/>
              </w:rPr>
            </w:pPr>
          </w:p>
          <w:p w14:paraId="2CE7D4EF">
            <w:pPr>
              <w:spacing w:line="247" w:lineRule="auto"/>
              <w:rPr>
                <w:rFonts w:ascii="Arial"/>
                <w:sz w:val="21"/>
              </w:rPr>
            </w:pPr>
          </w:p>
          <w:p w14:paraId="3B581D43">
            <w:pPr>
              <w:spacing w:line="247" w:lineRule="auto"/>
              <w:rPr>
                <w:rFonts w:ascii="Arial"/>
                <w:sz w:val="21"/>
              </w:rPr>
            </w:pPr>
          </w:p>
          <w:p w14:paraId="410B92AC">
            <w:pPr>
              <w:spacing w:line="248" w:lineRule="auto"/>
              <w:rPr>
                <w:rFonts w:ascii="Arial"/>
                <w:sz w:val="21"/>
              </w:rPr>
            </w:pPr>
          </w:p>
          <w:p w14:paraId="685D4AAF">
            <w:pPr>
              <w:spacing w:line="248" w:lineRule="auto"/>
              <w:rPr>
                <w:rFonts w:ascii="Arial"/>
                <w:sz w:val="21"/>
              </w:rPr>
            </w:pPr>
          </w:p>
          <w:p w14:paraId="2FEBCC7F">
            <w:pPr>
              <w:spacing w:line="248" w:lineRule="auto"/>
              <w:rPr>
                <w:rFonts w:ascii="Arial"/>
                <w:sz w:val="21"/>
              </w:rPr>
            </w:pPr>
          </w:p>
          <w:p w14:paraId="6771E15E">
            <w:pPr>
              <w:pStyle w:val="6"/>
              <w:spacing w:before="65" w:line="251" w:lineRule="auto"/>
              <w:ind w:left="93" w:right="93"/>
              <w:jc w:val="both"/>
              <w:rPr>
                <w:sz w:val="20"/>
                <w:szCs w:val="20"/>
              </w:rPr>
            </w:pPr>
            <w:r>
              <w:rPr>
                <w:spacing w:val="4"/>
                <w:sz w:val="20"/>
                <w:szCs w:val="20"/>
              </w:rPr>
              <w:t>环境风险管控</w:t>
            </w:r>
          </w:p>
        </w:tc>
        <w:tc>
          <w:tcPr>
            <w:tcW w:w="2398" w:type="dxa"/>
            <w:vAlign w:val="top"/>
          </w:tcPr>
          <w:p w14:paraId="33C23579">
            <w:pPr>
              <w:pStyle w:val="6"/>
              <w:spacing w:before="37" w:line="251" w:lineRule="auto"/>
              <w:ind w:left="8" w:right="84" w:firstLine="16"/>
              <w:rPr>
                <w:sz w:val="20"/>
                <w:szCs w:val="20"/>
              </w:rPr>
            </w:pPr>
            <w:r>
              <w:rPr>
                <w:rFonts w:ascii="Times New Roman" w:hAnsi="Times New Roman" w:eastAsia="Times New Roman" w:cs="Times New Roman"/>
                <w:spacing w:val="6"/>
                <w:sz w:val="20"/>
                <w:szCs w:val="20"/>
              </w:rPr>
              <w:t>1.</w:t>
            </w:r>
            <w:r>
              <w:rPr>
                <w:spacing w:val="6"/>
                <w:sz w:val="20"/>
                <w:szCs w:val="20"/>
              </w:rPr>
              <w:t>油气田企业应对勘探开</w:t>
            </w:r>
            <w:r>
              <w:rPr>
                <w:spacing w:val="9"/>
                <w:sz w:val="20"/>
                <w:szCs w:val="20"/>
              </w:rPr>
              <w:t>发过程进行环境风险因素识别，制定突发环境事件</w:t>
            </w:r>
            <w:r>
              <w:rPr>
                <w:spacing w:val="8"/>
                <w:sz w:val="20"/>
                <w:szCs w:val="20"/>
              </w:rPr>
              <w:t>应急预案并定期进行演</w:t>
            </w:r>
          </w:p>
          <w:p w14:paraId="07F82C6A">
            <w:pPr>
              <w:pStyle w:val="6"/>
              <w:spacing w:before="3" w:line="251" w:lineRule="auto"/>
              <w:ind w:left="8" w:right="84" w:firstLine="1"/>
              <w:rPr>
                <w:sz w:val="20"/>
                <w:szCs w:val="20"/>
              </w:rPr>
            </w:pPr>
            <w:r>
              <w:rPr>
                <w:spacing w:val="9"/>
                <w:sz w:val="20"/>
                <w:szCs w:val="20"/>
              </w:rPr>
              <w:t>练。应开展特征污染物监测工作，采取环境风险防范和应急措施，防止发生由突发性油气泄漏产生的</w:t>
            </w:r>
            <w:r>
              <w:rPr>
                <w:spacing w:val="5"/>
                <w:sz w:val="20"/>
                <w:szCs w:val="20"/>
              </w:rPr>
              <w:t>环境事故。</w:t>
            </w:r>
          </w:p>
          <w:p w14:paraId="204B5305">
            <w:pPr>
              <w:pStyle w:val="6"/>
              <w:spacing w:line="245" w:lineRule="auto"/>
              <w:ind w:left="7" w:right="2" w:hanging="3"/>
              <w:rPr>
                <w:sz w:val="20"/>
                <w:szCs w:val="20"/>
              </w:rPr>
            </w:pPr>
            <w:r>
              <w:rPr>
                <w:rFonts w:ascii="Times New Roman" w:hAnsi="Times New Roman" w:eastAsia="Times New Roman" w:cs="Times New Roman"/>
                <w:spacing w:val="2"/>
                <w:sz w:val="20"/>
                <w:szCs w:val="20"/>
              </w:rPr>
              <w:t>2.</w:t>
            </w:r>
            <w:r>
              <w:rPr>
                <w:spacing w:val="2"/>
                <w:sz w:val="20"/>
                <w:szCs w:val="20"/>
              </w:rPr>
              <w:t>在油气集输过程中，应采</w:t>
            </w:r>
            <w:r>
              <w:rPr>
                <w:spacing w:val="9"/>
                <w:sz w:val="20"/>
                <w:szCs w:val="20"/>
              </w:rPr>
              <w:t>用密闭流程，减少烃类气</w:t>
            </w:r>
            <w:r>
              <w:rPr>
                <w:spacing w:val="4"/>
                <w:sz w:val="20"/>
                <w:szCs w:val="20"/>
              </w:rPr>
              <w:t>体排放。新建</w:t>
            </w:r>
            <w:r>
              <w:rPr>
                <w:spacing w:val="-37"/>
                <w:sz w:val="20"/>
                <w:szCs w:val="20"/>
              </w:rPr>
              <w:t xml:space="preserve"> </w:t>
            </w:r>
            <w:r>
              <w:rPr>
                <w:rFonts w:ascii="Times New Roman" w:hAnsi="Times New Roman" w:eastAsia="Times New Roman" w:cs="Times New Roman"/>
                <w:spacing w:val="4"/>
                <w:sz w:val="20"/>
                <w:szCs w:val="20"/>
              </w:rPr>
              <w:t>3000m</w:t>
            </w:r>
            <w:r>
              <w:rPr>
                <w:rFonts w:ascii="Times New Roman" w:hAnsi="Times New Roman" w:eastAsia="Times New Roman" w:cs="Times New Roman"/>
                <w:spacing w:val="4"/>
                <w:position w:val="6"/>
                <w:sz w:val="13"/>
                <w:szCs w:val="13"/>
              </w:rPr>
              <w:t>3</w:t>
            </w:r>
            <w:r>
              <w:rPr>
                <w:rFonts w:ascii="Times New Roman" w:hAnsi="Times New Roman" w:eastAsia="Times New Roman" w:cs="Times New Roman"/>
                <w:spacing w:val="9"/>
                <w:w w:val="101"/>
                <w:position w:val="6"/>
                <w:sz w:val="13"/>
                <w:szCs w:val="13"/>
              </w:rPr>
              <w:t xml:space="preserve"> </w:t>
            </w:r>
            <w:r>
              <w:rPr>
                <w:spacing w:val="4"/>
                <w:sz w:val="20"/>
                <w:szCs w:val="20"/>
              </w:rPr>
              <w:t>及以</w:t>
            </w:r>
            <w:r>
              <w:rPr>
                <w:spacing w:val="9"/>
                <w:sz w:val="20"/>
                <w:szCs w:val="20"/>
              </w:rPr>
              <w:t>上原油储罐应采用浮顶型式，新建、改建、扩建油气储罐应安装泄漏报警系</w:t>
            </w:r>
            <w:r>
              <w:rPr>
                <w:sz w:val="20"/>
                <w:szCs w:val="20"/>
              </w:rPr>
              <w:t>统。</w:t>
            </w:r>
          </w:p>
        </w:tc>
        <w:tc>
          <w:tcPr>
            <w:tcW w:w="2486" w:type="dxa"/>
            <w:vAlign w:val="top"/>
          </w:tcPr>
          <w:p w14:paraId="6A5A5F73">
            <w:pPr>
              <w:spacing w:line="244" w:lineRule="auto"/>
              <w:rPr>
                <w:rFonts w:ascii="Arial"/>
                <w:sz w:val="21"/>
              </w:rPr>
            </w:pPr>
          </w:p>
          <w:p w14:paraId="7769330A">
            <w:pPr>
              <w:pStyle w:val="6"/>
              <w:spacing w:before="65" w:line="251" w:lineRule="auto"/>
              <w:ind w:left="12" w:firstLine="16"/>
              <w:rPr>
                <w:sz w:val="20"/>
                <w:szCs w:val="20"/>
              </w:rPr>
            </w:pPr>
            <w:r>
              <w:rPr>
                <w:rFonts w:ascii="Times New Roman" w:hAnsi="Times New Roman" w:eastAsia="Times New Roman" w:cs="Times New Roman"/>
                <w:spacing w:val="5"/>
                <w:sz w:val="20"/>
                <w:szCs w:val="20"/>
              </w:rPr>
              <w:t>1</w:t>
            </w:r>
            <w:r>
              <w:rPr>
                <w:rFonts w:ascii="Times New Roman" w:hAnsi="Times New Roman" w:eastAsia="Times New Roman" w:cs="Times New Roman"/>
                <w:spacing w:val="-24"/>
                <w:sz w:val="20"/>
                <w:szCs w:val="20"/>
              </w:rPr>
              <w:t xml:space="preserve"> </w:t>
            </w:r>
            <w:r>
              <w:rPr>
                <w:spacing w:val="5"/>
                <w:sz w:val="20"/>
                <w:szCs w:val="20"/>
              </w:rPr>
              <w:t>、对勘探过程进行了环境风险因素识别，成立了环境风险管控机构，定期进行应急演练。施工过程中安装防井喷装置，落实各项风险应</w:t>
            </w:r>
            <w:r>
              <w:rPr>
                <w:spacing w:val="8"/>
                <w:sz w:val="20"/>
                <w:szCs w:val="20"/>
              </w:rPr>
              <w:t>急物资等防止发生由突发性油气泄漏产生的环境事</w:t>
            </w:r>
            <w:r>
              <w:rPr>
                <w:sz w:val="20"/>
                <w:szCs w:val="20"/>
              </w:rPr>
              <w:t>故。</w:t>
            </w:r>
          </w:p>
          <w:p w14:paraId="1F07EAC9">
            <w:pPr>
              <w:pStyle w:val="6"/>
              <w:spacing w:line="252" w:lineRule="auto"/>
              <w:ind w:left="10" w:hanging="2"/>
              <w:rPr>
                <w:sz w:val="20"/>
                <w:szCs w:val="20"/>
              </w:rPr>
            </w:pPr>
            <w:r>
              <w:rPr>
                <w:rFonts w:ascii="Times New Roman" w:hAnsi="Times New Roman" w:eastAsia="Times New Roman" w:cs="Times New Roman"/>
                <w:spacing w:val="3"/>
                <w:sz w:val="20"/>
                <w:szCs w:val="20"/>
              </w:rPr>
              <w:t>2</w:t>
            </w:r>
            <w:r>
              <w:rPr>
                <w:spacing w:val="3"/>
                <w:sz w:val="20"/>
                <w:szCs w:val="20"/>
              </w:rPr>
              <w:t>、项目不会建设</w:t>
            </w:r>
            <w:r>
              <w:rPr>
                <w:spacing w:val="-37"/>
                <w:sz w:val="20"/>
                <w:szCs w:val="20"/>
              </w:rPr>
              <w:t xml:space="preserve"> </w:t>
            </w:r>
            <w:r>
              <w:rPr>
                <w:rFonts w:ascii="Times New Roman" w:hAnsi="Times New Roman" w:eastAsia="Times New Roman" w:cs="Times New Roman"/>
                <w:spacing w:val="3"/>
                <w:sz w:val="20"/>
                <w:szCs w:val="20"/>
              </w:rPr>
              <w:t>3000m</w:t>
            </w:r>
            <w:r>
              <w:rPr>
                <w:rFonts w:ascii="Times New Roman" w:hAnsi="Times New Roman" w:eastAsia="Times New Roman" w:cs="Times New Roman"/>
                <w:spacing w:val="3"/>
                <w:position w:val="6"/>
                <w:sz w:val="13"/>
                <w:szCs w:val="13"/>
              </w:rPr>
              <w:t>3</w:t>
            </w:r>
            <w:r>
              <w:rPr>
                <w:rFonts w:ascii="Times New Roman" w:hAnsi="Times New Roman" w:eastAsia="Times New Roman" w:cs="Times New Roman"/>
                <w:spacing w:val="10"/>
                <w:position w:val="6"/>
                <w:sz w:val="13"/>
                <w:szCs w:val="13"/>
              </w:rPr>
              <w:t xml:space="preserve"> </w:t>
            </w:r>
            <w:r>
              <w:rPr>
                <w:spacing w:val="3"/>
                <w:sz w:val="20"/>
                <w:szCs w:val="20"/>
              </w:rPr>
              <w:t>及</w:t>
            </w:r>
            <w:r>
              <w:rPr>
                <w:spacing w:val="5"/>
                <w:sz w:val="20"/>
                <w:szCs w:val="20"/>
              </w:rPr>
              <w:t>以上原油储罐，试油阶段设置</w:t>
            </w:r>
            <w:r>
              <w:rPr>
                <w:spacing w:val="-44"/>
                <w:sz w:val="20"/>
                <w:szCs w:val="20"/>
              </w:rPr>
              <w:t xml:space="preserve"> </w:t>
            </w:r>
            <w:r>
              <w:rPr>
                <w:rFonts w:ascii="Times New Roman" w:hAnsi="Times New Roman" w:eastAsia="Times New Roman" w:cs="Times New Roman"/>
                <w:spacing w:val="5"/>
                <w:sz w:val="20"/>
                <w:szCs w:val="20"/>
              </w:rPr>
              <w:t xml:space="preserve">2 </w:t>
            </w:r>
            <w:r>
              <w:rPr>
                <w:spacing w:val="5"/>
                <w:sz w:val="20"/>
                <w:szCs w:val="20"/>
              </w:rPr>
              <w:t>座</w:t>
            </w:r>
            <w:r>
              <w:rPr>
                <w:spacing w:val="-45"/>
                <w:sz w:val="20"/>
                <w:szCs w:val="20"/>
              </w:rPr>
              <w:t xml:space="preserve"> </w:t>
            </w:r>
            <w:r>
              <w:rPr>
                <w:rFonts w:ascii="Times New Roman" w:hAnsi="Times New Roman" w:eastAsia="Times New Roman" w:cs="Times New Roman"/>
                <w:spacing w:val="5"/>
                <w:sz w:val="20"/>
                <w:szCs w:val="20"/>
              </w:rPr>
              <w:t>40m</w:t>
            </w:r>
            <w:r>
              <w:rPr>
                <w:rFonts w:ascii="Times New Roman" w:hAnsi="Times New Roman" w:eastAsia="Times New Roman" w:cs="Times New Roman"/>
                <w:spacing w:val="5"/>
                <w:position w:val="6"/>
                <w:sz w:val="13"/>
                <w:szCs w:val="13"/>
              </w:rPr>
              <w:t>3</w:t>
            </w:r>
            <w:r>
              <w:rPr>
                <w:rFonts w:ascii="Times New Roman" w:hAnsi="Times New Roman" w:eastAsia="Times New Roman" w:cs="Times New Roman"/>
                <w:spacing w:val="20"/>
                <w:position w:val="6"/>
                <w:sz w:val="13"/>
                <w:szCs w:val="13"/>
              </w:rPr>
              <w:t xml:space="preserve"> </w:t>
            </w:r>
            <w:r>
              <w:rPr>
                <w:spacing w:val="5"/>
                <w:sz w:val="20"/>
                <w:szCs w:val="20"/>
              </w:rPr>
              <w:t>卧式高架固定</w:t>
            </w:r>
            <w:r>
              <w:rPr>
                <w:spacing w:val="6"/>
                <w:sz w:val="20"/>
                <w:szCs w:val="20"/>
              </w:rPr>
              <w:t>储液罐（一用一备</w:t>
            </w:r>
            <w:r>
              <w:rPr>
                <w:spacing w:val="3"/>
                <w:sz w:val="20"/>
                <w:szCs w:val="20"/>
              </w:rPr>
              <w:t>），</w:t>
            </w:r>
            <w:r>
              <w:rPr>
                <w:spacing w:val="6"/>
                <w:sz w:val="20"/>
                <w:szCs w:val="20"/>
              </w:rPr>
              <w:t>采用</w:t>
            </w:r>
            <w:r>
              <w:rPr>
                <w:spacing w:val="5"/>
                <w:sz w:val="20"/>
                <w:szCs w:val="20"/>
              </w:rPr>
              <w:t>环密技术，原油运输采用浸</w:t>
            </w:r>
            <w:r>
              <w:rPr>
                <w:spacing w:val="6"/>
                <w:sz w:val="20"/>
                <w:szCs w:val="20"/>
              </w:rPr>
              <w:t>没式装车。</w:t>
            </w:r>
          </w:p>
        </w:tc>
        <w:tc>
          <w:tcPr>
            <w:tcW w:w="591" w:type="dxa"/>
            <w:tcBorders>
              <w:right w:val="single" w:color="000000" w:sz="6" w:space="0"/>
            </w:tcBorders>
            <w:vAlign w:val="top"/>
          </w:tcPr>
          <w:p w14:paraId="1EF21FFC">
            <w:pPr>
              <w:spacing w:line="250" w:lineRule="auto"/>
              <w:rPr>
                <w:rFonts w:ascii="Arial"/>
                <w:sz w:val="21"/>
              </w:rPr>
            </w:pPr>
          </w:p>
          <w:p w14:paraId="60B67117">
            <w:pPr>
              <w:spacing w:line="250" w:lineRule="auto"/>
              <w:rPr>
                <w:rFonts w:ascii="Arial"/>
                <w:sz w:val="21"/>
              </w:rPr>
            </w:pPr>
          </w:p>
          <w:p w14:paraId="382D09C0">
            <w:pPr>
              <w:spacing w:line="250" w:lineRule="auto"/>
              <w:rPr>
                <w:rFonts w:ascii="Arial"/>
                <w:sz w:val="21"/>
              </w:rPr>
            </w:pPr>
          </w:p>
          <w:p w14:paraId="04E829D8">
            <w:pPr>
              <w:spacing w:line="250" w:lineRule="auto"/>
              <w:rPr>
                <w:rFonts w:ascii="Arial"/>
                <w:sz w:val="21"/>
              </w:rPr>
            </w:pPr>
          </w:p>
          <w:p w14:paraId="3F4B126D">
            <w:pPr>
              <w:spacing w:line="250" w:lineRule="auto"/>
              <w:rPr>
                <w:rFonts w:ascii="Arial"/>
                <w:sz w:val="21"/>
              </w:rPr>
            </w:pPr>
          </w:p>
          <w:p w14:paraId="643F6AA5">
            <w:pPr>
              <w:spacing w:line="250" w:lineRule="auto"/>
              <w:rPr>
                <w:rFonts w:ascii="Arial"/>
                <w:sz w:val="21"/>
              </w:rPr>
            </w:pPr>
          </w:p>
          <w:p w14:paraId="3C1E92BD">
            <w:pPr>
              <w:spacing w:line="250" w:lineRule="auto"/>
              <w:rPr>
                <w:rFonts w:ascii="Arial"/>
                <w:sz w:val="21"/>
              </w:rPr>
            </w:pPr>
          </w:p>
          <w:p w14:paraId="4331A08F">
            <w:pPr>
              <w:spacing w:line="250" w:lineRule="auto"/>
              <w:rPr>
                <w:rFonts w:ascii="Arial"/>
                <w:sz w:val="21"/>
              </w:rPr>
            </w:pPr>
          </w:p>
          <w:p w14:paraId="31D119DD">
            <w:pPr>
              <w:pStyle w:val="6"/>
              <w:spacing w:before="65" w:line="228" w:lineRule="auto"/>
              <w:ind w:left="19"/>
              <w:rPr>
                <w:sz w:val="20"/>
                <w:szCs w:val="20"/>
              </w:rPr>
            </w:pPr>
            <w:r>
              <w:rPr>
                <w:spacing w:val="3"/>
                <w:sz w:val="20"/>
                <w:szCs w:val="20"/>
              </w:rPr>
              <w:t>符合</w:t>
            </w:r>
          </w:p>
        </w:tc>
      </w:tr>
      <w:tr w14:paraId="55C4D7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2" w:hRule="atLeast"/>
        </w:trPr>
        <w:tc>
          <w:tcPr>
            <w:tcW w:w="1456" w:type="dxa"/>
            <w:vMerge w:val="continue"/>
            <w:tcBorders>
              <w:top w:val="nil"/>
              <w:left w:val="single" w:color="000000" w:sz="6" w:space="0"/>
              <w:bottom w:val="single" w:color="000000" w:sz="6" w:space="0"/>
            </w:tcBorders>
            <w:vAlign w:val="top"/>
          </w:tcPr>
          <w:p w14:paraId="136F762B">
            <w:pPr>
              <w:rPr>
                <w:rFonts w:ascii="Arial"/>
                <w:sz w:val="21"/>
              </w:rPr>
            </w:pPr>
          </w:p>
        </w:tc>
        <w:tc>
          <w:tcPr>
            <w:tcW w:w="650" w:type="dxa"/>
            <w:vMerge w:val="continue"/>
            <w:tcBorders>
              <w:top w:val="nil"/>
              <w:bottom w:val="single" w:color="000000" w:sz="6" w:space="0"/>
            </w:tcBorders>
            <w:vAlign w:val="top"/>
          </w:tcPr>
          <w:p w14:paraId="79CDBB1E">
            <w:pPr>
              <w:rPr>
                <w:rFonts w:ascii="Arial"/>
                <w:sz w:val="21"/>
              </w:rPr>
            </w:pPr>
          </w:p>
        </w:tc>
        <w:tc>
          <w:tcPr>
            <w:tcW w:w="748" w:type="dxa"/>
            <w:vMerge w:val="continue"/>
            <w:tcBorders>
              <w:top w:val="nil"/>
              <w:bottom w:val="single" w:color="000000" w:sz="6" w:space="0"/>
            </w:tcBorders>
            <w:vAlign w:val="top"/>
          </w:tcPr>
          <w:p w14:paraId="78632178">
            <w:pPr>
              <w:rPr>
                <w:rFonts w:ascii="Arial"/>
                <w:sz w:val="21"/>
              </w:rPr>
            </w:pPr>
          </w:p>
        </w:tc>
        <w:tc>
          <w:tcPr>
            <w:tcW w:w="601" w:type="dxa"/>
            <w:tcBorders>
              <w:bottom w:val="single" w:color="000000" w:sz="6" w:space="0"/>
            </w:tcBorders>
            <w:vAlign w:val="top"/>
          </w:tcPr>
          <w:p w14:paraId="50AA9660">
            <w:pPr>
              <w:spacing w:line="264" w:lineRule="auto"/>
              <w:rPr>
                <w:rFonts w:ascii="Arial"/>
                <w:sz w:val="21"/>
              </w:rPr>
            </w:pPr>
          </w:p>
          <w:p w14:paraId="2A607589">
            <w:pPr>
              <w:spacing w:line="265" w:lineRule="auto"/>
              <w:rPr>
                <w:rFonts w:ascii="Arial"/>
                <w:sz w:val="21"/>
              </w:rPr>
            </w:pPr>
          </w:p>
          <w:p w14:paraId="5CF7CFD0">
            <w:pPr>
              <w:spacing w:line="265" w:lineRule="auto"/>
              <w:rPr>
                <w:rFonts w:ascii="Arial"/>
                <w:sz w:val="21"/>
              </w:rPr>
            </w:pPr>
          </w:p>
          <w:p w14:paraId="3D957513">
            <w:pPr>
              <w:spacing w:line="265" w:lineRule="auto"/>
              <w:rPr>
                <w:rFonts w:ascii="Arial"/>
                <w:sz w:val="21"/>
              </w:rPr>
            </w:pPr>
          </w:p>
          <w:p w14:paraId="66CD52B6">
            <w:pPr>
              <w:pStyle w:val="6"/>
              <w:spacing w:before="65" w:line="253" w:lineRule="auto"/>
              <w:ind w:left="93" w:right="93" w:firstLine="8"/>
              <w:jc w:val="both"/>
              <w:rPr>
                <w:sz w:val="20"/>
                <w:szCs w:val="20"/>
              </w:rPr>
            </w:pPr>
            <w:r>
              <w:rPr>
                <w:sz w:val="20"/>
                <w:szCs w:val="20"/>
              </w:rPr>
              <w:t>资源</w:t>
            </w:r>
            <w:r>
              <w:rPr>
                <w:spacing w:val="4"/>
                <w:sz w:val="20"/>
                <w:szCs w:val="20"/>
              </w:rPr>
              <w:t>利用率要</w:t>
            </w:r>
            <w:r>
              <w:rPr>
                <w:spacing w:val="37"/>
                <w:w w:val="134"/>
                <w:sz w:val="20"/>
                <w:szCs w:val="20"/>
              </w:rPr>
              <w:t>求</w:t>
            </w:r>
          </w:p>
        </w:tc>
        <w:tc>
          <w:tcPr>
            <w:tcW w:w="2398" w:type="dxa"/>
            <w:tcBorders>
              <w:bottom w:val="single" w:color="000000" w:sz="6" w:space="0"/>
            </w:tcBorders>
            <w:vAlign w:val="top"/>
          </w:tcPr>
          <w:p w14:paraId="48FC03B2">
            <w:pPr>
              <w:pStyle w:val="6"/>
              <w:spacing w:before="44" w:line="251" w:lineRule="auto"/>
              <w:ind w:left="8" w:right="2" w:firstLine="16"/>
              <w:rPr>
                <w:sz w:val="20"/>
                <w:szCs w:val="20"/>
              </w:rPr>
            </w:pPr>
            <w:r>
              <w:rPr>
                <w:rFonts w:ascii="Times New Roman" w:hAnsi="Times New Roman" w:eastAsia="Times New Roman" w:cs="Times New Roman"/>
                <w:spacing w:val="1"/>
                <w:sz w:val="20"/>
                <w:szCs w:val="20"/>
              </w:rPr>
              <w:t>1.</w:t>
            </w:r>
            <w:r>
              <w:rPr>
                <w:spacing w:val="1"/>
                <w:sz w:val="20"/>
                <w:szCs w:val="20"/>
              </w:rPr>
              <w:t>在勘探开发过程中，应防</w:t>
            </w:r>
            <w:r>
              <w:rPr>
                <w:spacing w:val="9"/>
                <w:sz w:val="20"/>
                <w:szCs w:val="20"/>
              </w:rPr>
              <w:t>止产生落地原油。其中井下作业过程中应配备泄油器、刮油器等。落地原油应及时回收，落地原油回</w:t>
            </w:r>
            <w:r>
              <w:rPr>
                <w:spacing w:val="4"/>
                <w:sz w:val="20"/>
                <w:szCs w:val="20"/>
              </w:rPr>
              <w:t>收率应达到</w:t>
            </w:r>
            <w:r>
              <w:rPr>
                <w:spacing w:val="-23"/>
                <w:sz w:val="20"/>
                <w:szCs w:val="20"/>
              </w:rPr>
              <w:t xml:space="preserve"> </w:t>
            </w:r>
            <w:r>
              <w:rPr>
                <w:rFonts w:ascii="Times New Roman" w:hAnsi="Times New Roman" w:eastAsia="Times New Roman" w:cs="Times New Roman"/>
                <w:spacing w:val="4"/>
                <w:sz w:val="20"/>
                <w:szCs w:val="20"/>
              </w:rPr>
              <w:t>100%</w:t>
            </w:r>
            <w:r>
              <w:rPr>
                <w:spacing w:val="4"/>
                <w:sz w:val="20"/>
                <w:szCs w:val="20"/>
              </w:rPr>
              <w:t>。</w:t>
            </w:r>
          </w:p>
          <w:p w14:paraId="20101A3A">
            <w:pPr>
              <w:pStyle w:val="6"/>
              <w:spacing w:before="1" w:line="251" w:lineRule="auto"/>
              <w:ind w:left="7" w:right="84"/>
              <w:rPr>
                <w:sz w:val="20"/>
                <w:szCs w:val="20"/>
              </w:rPr>
            </w:pPr>
            <w:r>
              <w:rPr>
                <w:spacing w:val="9"/>
                <w:sz w:val="20"/>
                <w:szCs w:val="20"/>
              </w:rPr>
              <w:t>在钻井过程中，鼓励采用</w:t>
            </w:r>
            <w:r>
              <w:rPr>
                <w:spacing w:val="8"/>
                <w:sz w:val="20"/>
                <w:szCs w:val="20"/>
              </w:rPr>
              <w:t>环境友好的钻井液体系；</w:t>
            </w:r>
            <w:r>
              <w:rPr>
                <w:spacing w:val="9"/>
                <w:sz w:val="20"/>
                <w:szCs w:val="20"/>
              </w:rPr>
              <w:t>配备完善的固控设备，钻</w:t>
            </w:r>
            <w:r>
              <w:rPr>
                <w:spacing w:val="12"/>
                <w:sz w:val="20"/>
                <w:szCs w:val="20"/>
              </w:rPr>
              <w:t>井液循环率达到</w:t>
            </w:r>
            <w:r>
              <w:rPr>
                <w:rFonts w:ascii="Times New Roman" w:hAnsi="Times New Roman" w:eastAsia="Times New Roman" w:cs="Times New Roman"/>
                <w:spacing w:val="12"/>
                <w:sz w:val="20"/>
                <w:szCs w:val="20"/>
              </w:rPr>
              <w:t>95%</w:t>
            </w:r>
            <w:r>
              <w:rPr>
                <w:spacing w:val="12"/>
                <w:sz w:val="20"/>
                <w:szCs w:val="20"/>
              </w:rPr>
              <w:t>以</w:t>
            </w:r>
          </w:p>
          <w:p w14:paraId="45DF46A1">
            <w:pPr>
              <w:pStyle w:val="6"/>
              <w:spacing w:line="252" w:lineRule="auto"/>
              <w:ind w:left="8" w:right="84" w:firstLine="1"/>
              <w:rPr>
                <w:sz w:val="20"/>
                <w:szCs w:val="20"/>
              </w:rPr>
            </w:pPr>
            <w:r>
              <w:rPr>
                <w:spacing w:val="9"/>
                <w:sz w:val="20"/>
                <w:szCs w:val="20"/>
              </w:rPr>
              <w:t>上；钻井过程产生的废水应回用。在井下作业过程</w:t>
            </w:r>
          </w:p>
        </w:tc>
        <w:tc>
          <w:tcPr>
            <w:tcW w:w="2486" w:type="dxa"/>
            <w:tcBorders>
              <w:bottom w:val="single" w:color="000000" w:sz="6" w:space="0"/>
            </w:tcBorders>
            <w:vAlign w:val="top"/>
          </w:tcPr>
          <w:p w14:paraId="39426FD3">
            <w:pPr>
              <w:pStyle w:val="6"/>
              <w:spacing w:before="45" w:line="251" w:lineRule="auto"/>
              <w:ind w:left="11" w:firstLine="16"/>
              <w:rPr>
                <w:sz w:val="20"/>
                <w:szCs w:val="20"/>
              </w:rPr>
            </w:pPr>
            <w:r>
              <w:rPr>
                <w:rFonts w:ascii="Times New Roman" w:hAnsi="Times New Roman" w:eastAsia="Times New Roman" w:cs="Times New Roman"/>
                <w:spacing w:val="-4"/>
                <w:sz w:val="20"/>
                <w:szCs w:val="20"/>
              </w:rPr>
              <w:t>1</w:t>
            </w:r>
            <w:r>
              <w:rPr>
                <w:spacing w:val="-4"/>
                <w:sz w:val="20"/>
                <w:szCs w:val="20"/>
              </w:rPr>
              <w:t>、现场采取分区防渗措施，</w:t>
            </w:r>
            <w:r>
              <w:rPr>
                <w:spacing w:val="5"/>
                <w:sz w:val="20"/>
                <w:szCs w:val="20"/>
              </w:rPr>
              <w:t>铺设高密度聚乙烯防渗膜，</w:t>
            </w:r>
            <w:r>
              <w:rPr>
                <w:spacing w:val="4"/>
                <w:sz w:val="20"/>
                <w:szCs w:val="20"/>
              </w:rPr>
              <w:t>防止原油对土壤环境造成</w:t>
            </w:r>
            <w:r>
              <w:rPr>
                <w:spacing w:val="1"/>
                <w:sz w:val="20"/>
                <w:szCs w:val="20"/>
              </w:rPr>
              <w:t xml:space="preserve"> 影响。非正常工况下产生的落地油，会及时将落地油连同周边污染土壤铲除，落地</w:t>
            </w:r>
            <w:r>
              <w:rPr>
                <w:spacing w:val="2"/>
                <w:sz w:val="20"/>
                <w:szCs w:val="20"/>
              </w:rPr>
              <w:t>油</w:t>
            </w:r>
            <w:r>
              <w:rPr>
                <w:spacing w:val="-25"/>
                <w:sz w:val="20"/>
                <w:szCs w:val="20"/>
              </w:rPr>
              <w:t xml:space="preserve"> </w:t>
            </w:r>
            <w:r>
              <w:rPr>
                <w:rFonts w:ascii="Times New Roman" w:hAnsi="Times New Roman" w:eastAsia="Times New Roman" w:cs="Times New Roman"/>
                <w:spacing w:val="2"/>
                <w:sz w:val="20"/>
                <w:szCs w:val="20"/>
              </w:rPr>
              <w:t>100%</w:t>
            </w:r>
            <w:r>
              <w:rPr>
                <w:spacing w:val="2"/>
                <w:sz w:val="20"/>
                <w:szCs w:val="20"/>
              </w:rPr>
              <w:t>进行回收后，交有</w:t>
            </w:r>
            <w:r>
              <w:rPr>
                <w:spacing w:val="3"/>
                <w:sz w:val="20"/>
                <w:szCs w:val="20"/>
              </w:rPr>
              <w:t>资质单位拉运处置。</w:t>
            </w:r>
          </w:p>
          <w:p w14:paraId="17D230D7">
            <w:pPr>
              <w:pStyle w:val="6"/>
              <w:spacing w:before="3" w:line="251" w:lineRule="auto"/>
              <w:ind w:left="11" w:hanging="3"/>
              <w:rPr>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18"/>
                <w:sz w:val="20"/>
                <w:szCs w:val="20"/>
              </w:rPr>
              <w:t xml:space="preserve"> </w:t>
            </w:r>
            <w:r>
              <w:rPr>
                <w:spacing w:val="6"/>
                <w:sz w:val="20"/>
                <w:szCs w:val="20"/>
              </w:rPr>
              <w:t>、项目钻井泥浆使用水基</w:t>
            </w:r>
            <w:r>
              <w:rPr>
                <w:spacing w:val="5"/>
                <w:sz w:val="20"/>
                <w:szCs w:val="20"/>
              </w:rPr>
              <w:t>泥浆，并配备完善的固控设</w:t>
            </w:r>
            <w:r>
              <w:rPr>
                <w:spacing w:val="8"/>
                <w:sz w:val="20"/>
                <w:szCs w:val="20"/>
              </w:rPr>
              <w:t>备，钻井泥浆循环率达到</w:t>
            </w:r>
            <w:r>
              <w:rPr>
                <w:spacing w:val="4"/>
                <w:sz w:val="20"/>
                <w:szCs w:val="20"/>
              </w:rPr>
              <w:t xml:space="preserve"> </w:t>
            </w:r>
            <w:r>
              <w:rPr>
                <w:rFonts w:ascii="Times New Roman" w:hAnsi="Times New Roman" w:eastAsia="Times New Roman" w:cs="Times New Roman"/>
                <w:spacing w:val="5"/>
                <w:sz w:val="20"/>
                <w:szCs w:val="20"/>
              </w:rPr>
              <w:t>95%</w:t>
            </w:r>
            <w:r>
              <w:rPr>
                <w:rFonts w:ascii="Times New Roman" w:hAnsi="Times New Roman" w:eastAsia="Times New Roman" w:cs="Times New Roman"/>
                <w:spacing w:val="-17"/>
                <w:sz w:val="20"/>
                <w:szCs w:val="20"/>
              </w:rPr>
              <w:t xml:space="preserve"> </w:t>
            </w:r>
            <w:r>
              <w:rPr>
                <w:spacing w:val="5"/>
                <w:sz w:val="20"/>
                <w:szCs w:val="20"/>
              </w:rPr>
              <w:t>。废弃泥浆、钻井岩屑</w:t>
            </w:r>
          </w:p>
        </w:tc>
        <w:tc>
          <w:tcPr>
            <w:tcW w:w="591" w:type="dxa"/>
            <w:tcBorders>
              <w:bottom w:val="single" w:color="000000" w:sz="6" w:space="0"/>
              <w:right w:val="single" w:color="000000" w:sz="6" w:space="0"/>
            </w:tcBorders>
            <w:vAlign w:val="top"/>
          </w:tcPr>
          <w:p w14:paraId="24AC10C4">
            <w:pPr>
              <w:spacing w:line="244" w:lineRule="auto"/>
              <w:rPr>
                <w:rFonts w:ascii="Arial"/>
                <w:sz w:val="21"/>
              </w:rPr>
            </w:pPr>
          </w:p>
          <w:p w14:paraId="46BF9C27">
            <w:pPr>
              <w:spacing w:line="244" w:lineRule="auto"/>
              <w:rPr>
                <w:rFonts w:ascii="Arial"/>
                <w:sz w:val="21"/>
              </w:rPr>
            </w:pPr>
          </w:p>
          <w:p w14:paraId="6A487B52">
            <w:pPr>
              <w:spacing w:line="244" w:lineRule="auto"/>
              <w:rPr>
                <w:rFonts w:ascii="Arial"/>
                <w:sz w:val="21"/>
              </w:rPr>
            </w:pPr>
          </w:p>
          <w:p w14:paraId="2B42F19F">
            <w:pPr>
              <w:spacing w:line="244" w:lineRule="auto"/>
              <w:rPr>
                <w:rFonts w:ascii="Arial"/>
                <w:sz w:val="21"/>
              </w:rPr>
            </w:pPr>
          </w:p>
          <w:p w14:paraId="6D57B8F0">
            <w:pPr>
              <w:spacing w:line="244" w:lineRule="auto"/>
              <w:rPr>
                <w:rFonts w:ascii="Arial"/>
                <w:sz w:val="21"/>
              </w:rPr>
            </w:pPr>
          </w:p>
          <w:p w14:paraId="104D556D">
            <w:pPr>
              <w:spacing w:line="245" w:lineRule="auto"/>
              <w:rPr>
                <w:rFonts w:ascii="Arial"/>
                <w:sz w:val="21"/>
              </w:rPr>
            </w:pPr>
          </w:p>
          <w:p w14:paraId="0DF82D5C">
            <w:pPr>
              <w:pStyle w:val="6"/>
              <w:spacing w:before="65" w:line="228" w:lineRule="auto"/>
              <w:ind w:left="19"/>
              <w:rPr>
                <w:sz w:val="20"/>
                <w:szCs w:val="20"/>
              </w:rPr>
            </w:pPr>
            <w:r>
              <w:rPr>
                <w:spacing w:val="3"/>
                <w:sz w:val="20"/>
                <w:szCs w:val="20"/>
              </w:rPr>
              <w:t>符合</w:t>
            </w:r>
          </w:p>
        </w:tc>
      </w:tr>
    </w:tbl>
    <w:p w14:paraId="3251C239">
      <w:pPr>
        <w:rPr>
          <w:rFonts w:ascii="Arial"/>
          <w:sz w:val="21"/>
        </w:rPr>
      </w:pPr>
    </w:p>
    <w:p w14:paraId="707497A9">
      <w:pPr>
        <w:rPr>
          <w:rFonts w:ascii="Arial" w:hAnsi="Arial" w:eastAsia="Arial" w:cs="Arial"/>
          <w:sz w:val="21"/>
          <w:szCs w:val="21"/>
        </w:rPr>
        <w:sectPr>
          <w:footerReference r:id="rId26" w:type="default"/>
          <w:pgSz w:w="11906" w:h="16839"/>
          <w:pgMar w:top="400" w:right="1395" w:bottom="1240" w:left="1565" w:header="0" w:footer="1078" w:gutter="0"/>
          <w:cols w:space="720" w:num="1"/>
        </w:sectPr>
      </w:pPr>
    </w:p>
    <w:p w14:paraId="6D82D72A">
      <w:pPr>
        <w:spacing w:before="56"/>
      </w:pPr>
    </w:p>
    <w:p w14:paraId="42622055">
      <w:pPr>
        <w:spacing w:before="56"/>
      </w:pPr>
    </w:p>
    <w:p w14:paraId="3DD13CB6">
      <w:pPr>
        <w:spacing w:before="55"/>
      </w:pPr>
    </w:p>
    <w:p w14:paraId="27975498">
      <w:pPr>
        <w:spacing w:before="55"/>
      </w:pPr>
    </w:p>
    <w:tbl>
      <w:tblPr>
        <w:tblStyle w:val="5"/>
        <w:tblW w:w="893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56"/>
        <w:gridCol w:w="650"/>
        <w:gridCol w:w="748"/>
        <w:gridCol w:w="601"/>
        <w:gridCol w:w="2398"/>
        <w:gridCol w:w="2486"/>
        <w:gridCol w:w="591"/>
      </w:tblGrid>
      <w:tr w14:paraId="79FE3F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0" w:hRule="atLeast"/>
        </w:trPr>
        <w:tc>
          <w:tcPr>
            <w:tcW w:w="1456" w:type="dxa"/>
            <w:vMerge w:val="restart"/>
            <w:tcBorders>
              <w:top w:val="single" w:color="000000" w:sz="6" w:space="0"/>
              <w:left w:val="single" w:color="000000" w:sz="6" w:space="0"/>
              <w:bottom w:val="nil"/>
            </w:tcBorders>
            <w:vAlign w:val="top"/>
          </w:tcPr>
          <w:p w14:paraId="25D9F92F">
            <w:pPr>
              <w:rPr>
                <w:rFonts w:ascii="Arial"/>
                <w:sz w:val="21"/>
              </w:rPr>
            </w:pPr>
          </w:p>
        </w:tc>
        <w:tc>
          <w:tcPr>
            <w:tcW w:w="650" w:type="dxa"/>
            <w:tcBorders>
              <w:top w:val="single" w:color="000000" w:sz="6" w:space="0"/>
              <w:bottom w:val="single" w:color="000000" w:sz="10" w:space="0"/>
            </w:tcBorders>
            <w:vAlign w:val="top"/>
          </w:tcPr>
          <w:p w14:paraId="4CE0972C">
            <w:pPr>
              <w:rPr>
                <w:rFonts w:ascii="Arial"/>
                <w:sz w:val="21"/>
              </w:rPr>
            </w:pPr>
          </w:p>
        </w:tc>
        <w:tc>
          <w:tcPr>
            <w:tcW w:w="748" w:type="dxa"/>
            <w:tcBorders>
              <w:top w:val="single" w:color="000000" w:sz="6" w:space="0"/>
              <w:bottom w:val="single" w:color="000000" w:sz="10" w:space="0"/>
            </w:tcBorders>
            <w:vAlign w:val="top"/>
          </w:tcPr>
          <w:p w14:paraId="4C0A6A3C">
            <w:pPr>
              <w:rPr>
                <w:rFonts w:ascii="Arial"/>
                <w:sz w:val="21"/>
              </w:rPr>
            </w:pPr>
          </w:p>
        </w:tc>
        <w:tc>
          <w:tcPr>
            <w:tcW w:w="601" w:type="dxa"/>
            <w:tcBorders>
              <w:top w:val="single" w:color="000000" w:sz="6" w:space="0"/>
              <w:bottom w:val="single" w:color="000000" w:sz="10" w:space="0"/>
            </w:tcBorders>
            <w:vAlign w:val="top"/>
          </w:tcPr>
          <w:p w14:paraId="3401E348">
            <w:pPr>
              <w:rPr>
                <w:rFonts w:ascii="Arial"/>
                <w:sz w:val="21"/>
              </w:rPr>
            </w:pPr>
          </w:p>
        </w:tc>
        <w:tc>
          <w:tcPr>
            <w:tcW w:w="2398" w:type="dxa"/>
            <w:tcBorders>
              <w:top w:val="single" w:color="000000" w:sz="6" w:space="0"/>
              <w:bottom w:val="single" w:color="000000" w:sz="10" w:space="0"/>
            </w:tcBorders>
            <w:vAlign w:val="top"/>
          </w:tcPr>
          <w:p w14:paraId="09C5AD76">
            <w:pPr>
              <w:pStyle w:val="6"/>
              <w:spacing w:before="52" w:line="252" w:lineRule="auto"/>
              <w:ind w:left="8" w:right="84" w:firstLine="19"/>
              <w:rPr>
                <w:sz w:val="20"/>
                <w:szCs w:val="20"/>
              </w:rPr>
            </w:pPr>
            <w:r>
              <w:rPr>
                <w:spacing w:val="7"/>
                <w:sz w:val="20"/>
                <w:szCs w:val="20"/>
              </w:rPr>
              <w:t>中，酸化液和压裂液宜集</w:t>
            </w:r>
            <w:r>
              <w:rPr>
                <w:spacing w:val="9"/>
                <w:sz w:val="20"/>
                <w:szCs w:val="20"/>
              </w:rPr>
              <w:t>中配制，酸化残液、压裂残液和返排液应回收利用或进行无害化处置，压裂放喷返排入罐率应达到</w:t>
            </w:r>
          </w:p>
          <w:p w14:paraId="19261F70">
            <w:pPr>
              <w:pStyle w:val="6"/>
              <w:spacing w:before="31" w:line="186" w:lineRule="auto"/>
              <w:ind w:left="24"/>
              <w:rPr>
                <w:sz w:val="20"/>
                <w:szCs w:val="20"/>
              </w:rPr>
            </w:pPr>
            <w:r>
              <w:rPr>
                <w:rFonts w:ascii="Times New Roman" w:hAnsi="Times New Roman" w:eastAsia="Times New Roman" w:cs="Times New Roman"/>
                <w:spacing w:val="-1"/>
                <w:sz w:val="20"/>
                <w:szCs w:val="20"/>
              </w:rPr>
              <w:t>100%</w:t>
            </w:r>
            <w:r>
              <w:rPr>
                <w:spacing w:val="-1"/>
                <w:sz w:val="20"/>
                <w:szCs w:val="20"/>
              </w:rPr>
              <w:t>。</w:t>
            </w:r>
          </w:p>
          <w:p w14:paraId="1F501262">
            <w:pPr>
              <w:pStyle w:val="6"/>
              <w:spacing w:before="35" w:line="252" w:lineRule="auto"/>
              <w:ind w:left="6" w:right="84" w:hanging="2"/>
              <w:jc w:val="both"/>
              <w:rPr>
                <w:sz w:val="20"/>
                <w:szCs w:val="20"/>
              </w:rPr>
            </w:pPr>
            <w:r>
              <w:rPr>
                <w:rFonts w:ascii="Times New Roman" w:hAnsi="Times New Roman" w:eastAsia="Times New Roman" w:cs="Times New Roman"/>
                <w:spacing w:val="8"/>
                <w:sz w:val="20"/>
                <w:szCs w:val="20"/>
              </w:rPr>
              <w:t>2.</w:t>
            </w:r>
            <w:r>
              <w:rPr>
                <w:spacing w:val="8"/>
                <w:sz w:val="20"/>
                <w:szCs w:val="20"/>
              </w:rPr>
              <w:t>企业要严格落实矿产资</w:t>
            </w:r>
            <w:r>
              <w:rPr>
                <w:spacing w:val="9"/>
                <w:sz w:val="20"/>
                <w:szCs w:val="20"/>
              </w:rPr>
              <w:t>源开发利用方案、环境影响评价文件，水土保持方案等要求，提高资源利用</w:t>
            </w:r>
            <w:r>
              <w:rPr>
                <w:spacing w:val="6"/>
                <w:sz w:val="20"/>
                <w:szCs w:val="20"/>
              </w:rPr>
              <w:t>效率水平。</w:t>
            </w:r>
          </w:p>
        </w:tc>
        <w:tc>
          <w:tcPr>
            <w:tcW w:w="2486" w:type="dxa"/>
            <w:tcBorders>
              <w:top w:val="single" w:color="000000" w:sz="6" w:space="0"/>
              <w:bottom w:val="single" w:color="000000" w:sz="10" w:space="0"/>
            </w:tcBorders>
            <w:vAlign w:val="top"/>
          </w:tcPr>
          <w:p w14:paraId="7C13BF37">
            <w:pPr>
              <w:pStyle w:val="6"/>
              <w:spacing w:before="53" w:line="251" w:lineRule="auto"/>
              <w:ind w:left="14" w:firstLine="4"/>
              <w:rPr>
                <w:sz w:val="20"/>
                <w:szCs w:val="20"/>
              </w:rPr>
            </w:pPr>
            <w:r>
              <w:rPr>
                <w:spacing w:val="5"/>
                <w:sz w:val="20"/>
                <w:szCs w:val="20"/>
              </w:rPr>
              <w:t>暂存废水罐，定期拉运至内</w:t>
            </w:r>
            <w:r>
              <w:rPr>
                <w:spacing w:val="8"/>
                <w:sz w:val="20"/>
                <w:szCs w:val="20"/>
              </w:rPr>
              <w:t>蒙古众宁环保科技有限公司油气田废弃物集中处理</w:t>
            </w:r>
            <w:r>
              <w:rPr>
                <w:spacing w:val="5"/>
                <w:sz w:val="20"/>
                <w:szCs w:val="20"/>
              </w:rPr>
              <w:t>厂处理，经压滤产生的废水</w:t>
            </w:r>
            <w:r>
              <w:rPr>
                <w:spacing w:val="7"/>
                <w:sz w:val="20"/>
                <w:szCs w:val="20"/>
              </w:rPr>
              <w:t>拉运至有资质单位处理。</w:t>
            </w:r>
          </w:p>
          <w:p w14:paraId="3D3A3BD6">
            <w:pPr>
              <w:pStyle w:val="6"/>
              <w:spacing w:line="251" w:lineRule="auto"/>
              <w:ind w:left="14" w:right="115" w:hanging="2"/>
              <w:rPr>
                <w:sz w:val="20"/>
                <w:szCs w:val="20"/>
              </w:rPr>
            </w:pPr>
            <w:r>
              <w:rPr>
                <w:rFonts w:ascii="Times New Roman" w:hAnsi="Times New Roman" w:eastAsia="Times New Roman" w:cs="Times New Roman"/>
                <w:spacing w:val="2"/>
                <w:sz w:val="20"/>
                <w:szCs w:val="20"/>
              </w:rPr>
              <w:t>3</w:t>
            </w:r>
            <w:r>
              <w:rPr>
                <w:rFonts w:ascii="Times New Roman" w:hAnsi="Times New Roman" w:eastAsia="Times New Roman" w:cs="Times New Roman"/>
                <w:spacing w:val="-23"/>
                <w:sz w:val="20"/>
                <w:szCs w:val="20"/>
              </w:rPr>
              <w:t xml:space="preserve"> </w:t>
            </w:r>
            <w:r>
              <w:rPr>
                <w:spacing w:val="2"/>
                <w:sz w:val="20"/>
                <w:szCs w:val="20"/>
              </w:rPr>
              <w:t>、项目不进行井下作业，</w:t>
            </w:r>
            <w:r>
              <w:rPr>
                <w:spacing w:val="7"/>
                <w:sz w:val="20"/>
                <w:szCs w:val="20"/>
              </w:rPr>
              <w:t>不涉及酸化及压裂。</w:t>
            </w:r>
          </w:p>
          <w:p w14:paraId="1A2BE762">
            <w:pPr>
              <w:pStyle w:val="6"/>
              <w:spacing w:before="5" w:line="245" w:lineRule="auto"/>
              <w:ind w:left="2" w:firstLine="5"/>
              <w:rPr>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17"/>
                <w:sz w:val="20"/>
                <w:szCs w:val="20"/>
              </w:rPr>
              <w:t xml:space="preserve"> </w:t>
            </w:r>
            <w:r>
              <w:rPr>
                <w:spacing w:val="6"/>
                <w:sz w:val="20"/>
                <w:szCs w:val="20"/>
              </w:rPr>
              <w:t>、项目在实施过程中坚持“预防为主、防治结合、过</w:t>
            </w:r>
            <w:r>
              <w:rPr>
                <w:spacing w:val="4"/>
                <w:sz w:val="20"/>
                <w:szCs w:val="20"/>
              </w:rPr>
              <w:t>程控制</w:t>
            </w:r>
            <w:r>
              <w:rPr>
                <w:spacing w:val="-71"/>
                <w:sz w:val="20"/>
                <w:szCs w:val="20"/>
              </w:rPr>
              <w:t xml:space="preserve"> </w:t>
            </w:r>
            <w:r>
              <w:rPr>
                <w:spacing w:val="4"/>
                <w:sz w:val="20"/>
                <w:szCs w:val="20"/>
              </w:rPr>
              <w:t>”原则，将生态环境</w:t>
            </w:r>
            <w:r>
              <w:rPr>
                <w:spacing w:val="9"/>
                <w:sz w:val="20"/>
                <w:szCs w:val="20"/>
              </w:rPr>
              <w:t>保护与恢复治理贯穿油气</w:t>
            </w:r>
            <w:r>
              <w:rPr>
                <w:spacing w:val="8"/>
                <w:sz w:val="20"/>
                <w:szCs w:val="20"/>
              </w:rPr>
              <w:t>资源开发的全过程。</w:t>
            </w:r>
          </w:p>
        </w:tc>
        <w:tc>
          <w:tcPr>
            <w:tcW w:w="591" w:type="dxa"/>
            <w:tcBorders>
              <w:top w:val="single" w:color="000000" w:sz="6" w:space="0"/>
              <w:bottom w:val="single" w:color="000000" w:sz="10" w:space="0"/>
              <w:right w:val="single" w:color="000000" w:sz="6" w:space="0"/>
            </w:tcBorders>
            <w:vAlign w:val="top"/>
          </w:tcPr>
          <w:p w14:paraId="5D0FB3DE">
            <w:pPr>
              <w:rPr>
                <w:rFonts w:ascii="Arial"/>
                <w:sz w:val="21"/>
              </w:rPr>
            </w:pPr>
          </w:p>
        </w:tc>
      </w:tr>
      <w:tr w14:paraId="30FDF4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09" w:hRule="atLeast"/>
        </w:trPr>
        <w:tc>
          <w:tcPr>
            <w:tcW w:w="1456" w:type="dxa"/>
            <w:vMerge w:val="continue"/>
            <w:tcBorders>
              <w:top w:val="nil"/>
              <w:left w:val="single" w:color="000000" w:sz="6" w:space="0"/>
              <w:bottom w:val="single" w:color="000000" w:sz="6" w:space="0"/>
            </w:tcBorders>
            <w:vAlign w:val="top"/>
          </w:tcPr>
          <w:p w14:paraId="64B3D5A5">
            <w:pPr>
              <w:rPr>
                <w:rFonts w:ascii="Arial"/>
                <w:sz w:val="21"/>
              </w:rPr>
            </w:pPr>
          </w:p>
        </w:tc>
        <w:tc>
          <w:tcPr>
            <w:tcW w:w="7474" w:type="dxa"/>
            <w:gridSpan w:val="6"/>
            <w:tcBorders>
              <w:top w:val="single" w:color="000000" w:sz="10" w:space="0"/>
              <w:bottom w:val="single" w:color="000000" w:sz="6" w:space="0"/>
              <w:right w:val="single" w:color="000000" w:sz="6" w:space="0"/>
            </w:tcBorders>
            <w:vAlign w:val="top"/>
          </w:tcPr>
          <w:p w14:paraId="21C1F52B">
            <w:pPr>
              <w:rPr>
                <w:rFonts w:ascii="Arial"/>
                <w:sz w:val="21"/>
              </w:rPr>
            </w:pPr>
          </w:p>
        </w:tc>
      </w:tr>
    </w:tbl>
    <w:p w14:paraId="50200BFE">
      <w:pPr>
        <w:rPr>
          <w:rFonts w:ascii="Arial"/>
          <w:sz w:val="21"/>
        </w:rPr>
      </w:pPr>
    </w:p>
    <w:p w14:paraId="7758F598">
      <w:pPr>
        <w:rPr>
          <w:rFonts w:ascii="Arial" w:hAnsi="Arial" w:eastAsia="Arial" w:cs="Arial"/>
          <w:sz w:val="21"/>
          <w:szCs w:val="21"/>
        </w:rPr>
        <w:sectPr>
          <w:footerReference r:id="rId27" w:type="default"/>
          <w:pgSz w:w="11906" w:h="16839"/>
          <w:pgMar w:top="400" w:right="1395" w:bottom="1240" w:left="1565" w:header="0" w:footer="1078" w:gutter="0"/>
          <w:cols w:space="720" w:num="1"/>
        </w:sectPr>
      </w:pPr>
    </w:p>
    <w:p w14:paraId="551C16AF">
      <w:pPr>
        <w:spacing w:line="282" w:lineRule="auto"/>
        <w:rPr>
          <w:rFonts w:ascii="Arial"/>
          <w:sz w:val="21"/>
        </w:rPr>
      </w:pPr>
    </w:p>
    <w:p w14:paraId="0964CDDA">
      <w:pPr>
        <w:spacing w:line="282" w:lineRule="auto"/>
        <w:rPr>
          <w:rFonts w:ascii="Arial"/>
          <w:sz w:val="21"/>
        </w:rPr>
      </w:pPr>
    </w:p>
    <w:p w14:paraId="5A2A99F0">
      <w:pPr>
        <w:spacing w:line="282" w:lineRule="auto"/>
        <w:rPr>
          <w:rFonts w:ascii="Arial"/>
          <w:sz w:val="21"/>
        </w:rPr>
      </w:pPr>
    </w:p>
    <w:p w14:paraId="115B3409">
      <w:pPr>
        <w:spacing w:line="282" w:lineRule="auto"/>
        <w:rPr>
          <w:rFonts w:ascii="Arial"/>
          <w:sz w:val="21"/>
        </w:rPr>
      </w:pPr>
    </w:p>
    <w:p w14:paraId="611E8767">
      <w:pPr>
        <w:pStyle w:val="2"/>
        <w:spacing w:before="97" w:line="212" w:lineRule="auto"/>
        <w:ind w:left="3577"/>
        <w:outlineLvl w:val="0"/>
        <w:rPr>
          <w:sz w:val="30"/>
          <w:szCs w:val="30"/>
        </w:rPr>
      </w:pPr>
      <w:bookmarkStart w:id="1" w:name="bookmark2"/>
      <w:bookmarkEnd w:id="1"/>
      <w:r>
        <w:rPr>
          <w:b/>
          <w:bCs/>
          <w:spacing w:val="-6"/>
          <w:sz w:val="30"/>
          <w:szCs w:val="30"/>
        </w:rPr>
        <w:t>二、建设内容</w:t>
      </w:r>
    </w:p>
    <w:tbl>
      <w:tblPr>
        <w:tblStyle w:val="5"/>
        <w:tblW w:w="891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6"/>
        <w:gridCol w:w="8449"/>
      </w:tblGrid>
      <w:tr w14:paraId="3828BD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53" w:hRule="atLeast"/>
        </w:trPr>
        <w:tc>
          <w:tcPr>
            <w:tcW w:w="466" w:type="dxa"/>
            <w:tcBorders>
              <w:bottom w:val="single" w:color="000000" w:sz="2" w:space="0"/>
              <w:right w:val="single" w:color="000000" w:sz="2" w:space="0"/>
            </w:tcBorders>
            <w:textDirection w:val="tbRlV"/>
            <w:vAlign w:val="top"/>
          </w:tcPr>
          <w:p w14:paraId="12C13905">
            <w:pPr>
              <w:pStyle w:val="6"/>
              <w:spacing w:before="113" w:line="211" w:lineRule="auto"/>
              <w:ind w:left="39"/>
            </w:pPr>
            <w:r>
              <w:rPr>
                <w:b/>
                <w:bCs/>
                <w:spacing w:val="50"/>
              </w:rPr>
              <w:t>地理位置</w:t>
            </w:r>
          </w:p>
        </w:tc>
        <w:tc>
          <w:tcPr>
            <w:tcW w:w="8449" w:type="dxa"/>
            <w:tcBorders>
              <w:left w:val="single" w:color="000000" w:sz="2" w:space="0"/>
              <w:bottom w:val="single" w:color="000000" w:sz="2" w:space="0"/>
            </w:tcBorders>
            <w:vAlign w:val="top"/>
          </w:tcPr>
          <w:p w14:paraId="7FCB3012">
            <w:pPr>
              <w:pStyle w:val="6"/>
              <w:spacing w:before="196" w:line="354" w:lineRule="auto"/>
              <w:ind w:left="109" w:right="22" w:firstLine="482"/>
            </w:pPr>
            <w:r>
              <w:rPr>
                <w:spacing w:val="2"/>
              </w:rPr>
              <w:t>项目位于内蒙古自治区巴彦淖尔市磴口县隆盛合镇塔布村，井场中心</w:t>
            </w:r>
            <w:r>
              <w:rPr>
                <w:spacing w:val="1"/>
              </w:rPr>
              <w:t>地理</w:t>
            </w:r>
            <w:r>
              <w:rPr>
                <w:spacing w:val="-6"/>
              </w:rPr>
              <w:t>坐标：</w:t>
            </w:r>
            <w:r>
              <w:rPr>
                <w:rFonts w:ascii="Times New Roman" w:hAnsi="Times New Roman" w:eastAsia="Times New Roman" w:cs="Times New Roman"/>
                <w:spacing w:val="-6"/>
              </w:rPr>
              <w:t>106°54,28.959″</w:t>
            </w:r>
            <w:r>
              <w:rPr>
                <w:spacing w:val="-6"/>
              </w:rPr>
              <w:t>，</w:t>
            </w:r>
            <w:r>
              <w:rPr>
                <w:rFonts w:ascii="Times New Roman" w:hAnsi="Times New Roman" w:eastAsia="Times New Roman" w:cs="Times New Roman"/>
                <w:spacing w:val="-6"/>
              </w:rPr>
              <w:t>40°3</w:t>
            </w:r>
            <w:r>
              <w:rPr>
                <w:rFonts w:ascii="Times New Roman" w:hAnsi="Times New Roman" w:eastAsia="Times New Roman" w:cs="Times New Roman"/>
                <w:spacing w:val="-7"/>
              </w:rPr>
              <w:t>9,57.514″</w:t>
            </w:r>
            <w:r>
              <w:rPr>
                <w:spacing w:val="-7"/>
              </w:rPr>
              <w:t>，井场四周均为耕地，占地面积共</w:t>
            </w:r>
            <w:r>
              <w:rPr>
                <w:spacing w:val="-32"/>
              </w:rPr>
              <w:t xml:space="preserve"> </w:t>
            </w:r>
            <w:r>
              <w:rPr>
                <w:rFonts w:ascii="Times New Roman" w:hAnsi="Times New Roman" w:eastAsia="Times New Roman" w:cs="Times New Roman"/>
                <w:spacing w:val="-7"/>
              </w:rPr>
              <w:t>13293m</w:t>
            </w:r>
            <w:r>
              <w:rPr>
                <w:rFonts w:ascii="Times New Roman" w:hAnsi="Times New Roman" w:eastAsia="Times New Roman" w:cs="Times New Roman"/>
                <w:spacing w:val="-7"/>
                <w:position w:val="8"/>
                <w:sz w:val="15"/>
                <w:szCs w:val="15"/>
              </w:rPr>
              <w:t>2</w:t>
            </w:r>
            <w:r>
              <w:rPr>
                <w:spacing w:val="-7"/>
              </w:rPr>
              <w:t>。</w:t>
            </w:r>
          </w:p>
        </w:tc>
      </w:tr>
      <w:tr w14:paraId="6ADB01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143" w:hRule="atLeast"/>
        </w:trPr>
        <w:tc>
          <w:tcPr>
            <w:tcW w:w="466" w:type="dxa"/>
            <w:tcBorders>
              <w:top w:val="single" w:color="000000" w:sz="2" w:space="0"/>
              <w:right w:val="single" w:color="000000" w:sz="2" w:space="0"/>
            </w:tcBorders>
            <w:textDirection w:val="tbRlV"/>
            <w:vAlign w:val="top"/>
          </w:tcPr>
          <w:p w14:paraId="7542C7E7">
            <w:pPr>
              <w:pStyle w:val="6"/>
              <w:spacing w:before="113" w:line="194" w:lineRule="auto"/>
              <w:ind w:left="5016"/>
            </w:pPr>
            <w:r>
              <w:rPr>
                <w:b/>
                <w:bCs/>
                <w:spacing w:val="22"/>
                <w:w w:val="115"/>
              </w:rPr>
              <w:t>项</w:t>
            </w:r>
            <w:r>
              <w:rPr>
                <w:b/>
                <w:bCs/>
                <w:spacing w:val="22"/>
                <w:w w:val="115"/>
                <w:position w:val="2"/>
              </w:rPr>
              <w:t>目</w:t>
            </w:r>
            <w:r>
              <w:rPr>
                <w:b/>
                <w:bCs/>
                <w:spacing w:val="22"/>
                <w:w w:val="115"/>
              </w:rPr>
              <w:t>组成及规模</w:t>
            </w:r>
          </w:p>
        </w:tc>
        <w:tc>
          <w:tcPr>
            <w:tcW w:w="8449" w:type="dxa"/>
            <w:tcBorders>
              <w:top w:val="single" w:color="000000" w:sz="2" w:space="0"/>
              <w:left w:val="single" w:color="000000" w:sz="2" w:space="0"/>
            </w:tcBorders>
            <w:vAlign w:val="top"/>
          </w:tcPr>
          <w:p w14:paraId="1907F0E5">
            <w:pPr>
              <w:pStyle w:val="6"/>
              <w:spacing w:before="37" w:line="219" w:lineRule="auto"/>
              <w:ind w:left="592"/>
            </w:pPr>
            <w:r>
              <w:rPr>
                <w:b/>
                <w:bCs/>
                <w:spacing w:val="-4"/>
              </w:rPr>
              <w:t>一、项目由来</w:t>
            </w:r>
          </w:p>
          <w:p w14:paraId="3124D9AA">
            <w:pPr>
              <w:pStyle w:val="6"/>
              <w:spacing w:before="182" w:line="359" w:lineRule="auto"/>
              <w:ind w:left="106" w:right="93" w:firstLine="477"/>
            </w:pPr>
            <w:r>
              <w:rPr>
                <w:rFonts w:ascii="Times New Roman" w:hAnsi="Times New Roman" w:eastAsia="Times New Roman" w:cs="Times New Roman"/>
                <w:spacing w:val="6"/>
              </w:rPr>
              <w:t>2022</w:t>
            </w:r>
            <w:r>
              <w:rPr>
                <w:rFonts w:ascii="Times New Roman" w:hAnsi="Times New Roman" w:eastAsia="Times New Roman" w:cs="Times New Roman"/>
                <w:spacing w:val="37"/>
                <w:w w:val="101"/>
              </w:rPr>
              <w:t xml:space="preserve"> </w:t>
            </w:r>
            <w:r>
              <w:rPr>
                <w:spacing w:val="6"/>
              </w:rPr>
              <w:t>年</w:t>
            </w:r>
            <w:r>
              <w:rPr>
                <w:spacing w:val="-40"/>
              </w:rPr>
              <w:t xml:space="preserve"> </w:t>
            </w:r>
            <w:r>
              <w:rPr>
                <w:rFonts w:ascii="Times New Roman" w:hAnsi="Times New Roman" w:eastAsia="Times New Roman" w:cs="Times New Roman"/>
                <w:spacing w:val="6"/>
              </w:rPr>
              <w:t>4</w:t>
            </w:r>
            <w:r>
              <w:rPr>
                <w:rFonts w:ascii="Times New Roman" w:hAnsi="Times New Roman" w:eastAsia="Times New Roman" w:cs="Times New Roman"/>
                <w:spacing w:val="35"/>
              </w:rPr>
              <w:t xml:space="preserve"> </w:t>
            </w:r>
            <w:r>
              <w:rPr>
                <w:spacing w:val="6"/>
              </w:rPr>
              <w:t xml:space="preserve">月 </w:t>
            </w:r>
            <w:r>
              <w:rPr>
                <w:rFonts w:ascii="Times New Roman" w:hAnsi="Times New Roman" w:eastAsia="Times New Roman" w:cs="Times New Roman"/>
                <w:spacing w:val="6"/>
              </w:rPr>
              <w:t xml:space="preserve">1  </w:t>
            </w:r>
            <w:r>
              <w:rPr>
                <w:spacing w:val="6"/>
              </w:rPr>
              <w:t>日</w:t>
            </w:r>
            <w:r>
              <w:rPr>
                <w:spacing w:val="-72"/>
              </w:rPr>
              <w:t xml:space="preserve"> </w:t>
            </w:r>
            <w:r>
              <w:rPr>
                <w:spacing w:val="6"/>
              </w:rPr>
              <w:t>中华人民共和国自然资源部颁发探矿权证书（证号：</w:t>
            </w:r>
            <w:r>
              <w:t xml:space="preserve"> </w:t>
            </w:r>
            <w:r>
              <w:rPr>
                <w:rFonts w:ascii="Times New Roman" w:hAnsi="Times New Roman" w:eastAsia="Times New Roman" w:cs="Times New Roman"/>
                <w:spacing w:val="-2"/>
              </w:rPr>
              <w:t>T1000002020121018000204</w:t>
            </w:r>
            <w:r>
              <w:rPr>
                <w:spacing w:val="9"/>
              </w:rPr>
              <w:t>），</w:t>
            </w:r>
            <w:r>
              <w:rPr>
                <w:spacing w:val="-2"/>
              </w:rPr>
              <w:t>勘查项目名称：内蒙古河套盆地吉锦油气勘查，</w:t>
            </w:r>
            <w:r>
              <w:rPr>
                <w:spacing w:val="2"/>
              </w:rPr>
              <w:t>地理位置：内蒙古自治区杭锦后旗、磴口、阿拉善左旗、杭锦旗、巴彦淖尔、</w:t>
            </w:r>
            <w:r>
              <w:rPr>
                <w:spacing w:val="-4"/>
              </w:rPr>
              <w:t>五原，探矿权证书有效期限为</w:t>
            </w:r>
            <w:r>
              <w:rPr>
                <w:spacing w:val="-55"/>
              </w:rPr>
              <w:t xml:space="preserve"> </w:t>
            </w:r>
            <w:r>
              <w:rPr>
                <w:rFonts w:ascii="Times New Roman" w:hAnsi="Times New Roman" w:eastAsia="Times New Roman" w:cs="Times New Roman"/>
                <w:spacing w:val="-4"/>
              </w:rPr>
              <w:t>2022</w:t>
            </w:r>
            <w:r>
              <w:rPr>
                <w:rFonts w:ascii="Times New Roman" w:hAnsi="Times New Roman" w:eastAsia="Times New Roman" w:cs="Times New Roman"/>
                <w:spacing w:val="15"/>
                <w:w w:val="101"/>
              </w:rPr>
              <w:t xml:space="preserve"> </w:t>
            </w:r>
            <w:r>
              <w:rPr>
                <w:spacing w:val="-4"/>
              </w:rPr>
              <w:t>年</w:t>
            </w:r>
            <w:r>
              <w:rPr>
                <w:spacing w:val="-54"/>
              </w:rPr>
              <w:t xml:space="preserve"> </w:t>
            </w:r>
            <w:r>
              <w:rPr>
                <w:rFonts w:ascii="Times New Roman" w:hAnsi="Times New Roman" w:eastAsia="Times New Roman" w:cs="Times New Roman"/>
                <w:spacing w:val="-4"/>
              </w:rPr>
              <w:t>4</w:t>
            </w:r>
            <w:r>
              <w:rPr>
                <w:rFonts w:ascii="Times New Roman" w:hAnsi="Times New Roman" w:eastAsia="Times New Roman" w:cs="Times New Roman"/>
                <w:spacing w:val="17"/>
                <w:w w:val="101"/>
              </w:rPr>
              <w:t xml:space="preserve"> </w:t>
            </w:r>
            <w:r>
              <w:rPr>
                <w:spacing w:val="-5"/>
              </w:rPr>
              <w:t>月</w:t>
            </w:r>
            <w:r>
              <w:rPr>
                <w:spacing w:val="-30"/>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53"/>
                <w:w w:val="101"/>
              </w:rPr>
              <w:t xml:space="preserve"> </w:t>
            </w:r>
            <w:r>
              <w:rPr>
                <w:spacing w:val="-5"/>
              </w:rPr>
              <w:t>日至</w:t>
            </w:r>
            <w:r>
              <w:rPr>
                <w:spacing w:val="-53"/>
              </w:rPr>
              <w:t xml:space="preserve"> </w:t>
            </w:r>
            <w:r>
              <w:rPr>
                <w:rFonts w:ascii="Times New Roman" w:hAnsi="Times New Roman" w:eastAsia="Times New Roman" w:cs="Times New Roman"/>
                <w:spacing w:val="-5"/>
              </w:rPr>
              <w:t xml:space="preserve">2027 </w:t>
            </w:r>
            <w:r>
              <w:rPr>
                <w:spacing w:val="-5"/>
              </w:rPr>
              <w:t>年</w:t>
            </w:r>
            <w:r>
              <w:rPr>
                <w:spacing w:val="-54"/>
              </w:rPr>
              <w:t xml:space="preserve"> </w:t>
            </w:r>
            <w:r>
              <w:rPr>
                <w:rFonts w:ascii="Times New Roman" w:hAnsi="Times New Roman" w:eastAsia="Times New Roman" w:cs="Times New Roman"/>
                <w:spacing w:val="-5"/>
              </w:rPr>
              <w:t>4</w:t>
            </w:r>
            <w:r>
              <w:rPr>
                <w:rFonts w:ascii="Times New Roman" w:hAnsi="Times New Roman" w:eastAsia="Times New Roman" w:cs="Times New Roman"/>
                <w:spacing w:val="18"/>
              </w:rPr>
              <w:t xml:space="preserve"> </w:t>
            </w:r>
            <w:r>
              <w:rPr>
                <w:spacing w:val="-5"/>
              </w:rPr>
              <w:t>月</w:t>
            </w:r>
            <w:r>
              <w:rPr>
                <w:spacing w:val="-30"/>
              </w:rPr>
              <w:t xml:space="preserve"> </w:t>
            </w:r>
            <w:r>
              <w:rPr>
                <w:rFonts w:ascii="Times New Roman" w:hAnsi="Times New Roman" w:eastAsia="Times New Roman" w:cs="Times New Roman"/>
                <w:spacing w:val="-5"/>
              </w:rPr>
              <w:t xml:space="preserve">1  </w:t>
            </w:r>
            <w:r>
              <w:rPr>
                <w:spacing w:val="-5"/>
              </w:rPr>
              <w:t>日。经核实扎</w:t>
            </w:r>
            <w:r>
              <w:rPr>
                <w:spacing w:val="-1"/>
              </w:rPr>
              <w:t>格</w:t>
            </w:r>
            <w:r>
              <w:rPr>
                <w:spacing w:val="-45"/>
              </w:rPr>
              <w:t xml:space="preserve"> </w:t>
            </w:r>
            <w:r>
              <w:rPr>
                <w:rFonts w:ascii="Times New Roman" w:hAnsi="Times New Roman" w:eastAsia="Times New Roman" w:cs="Times New Roman"/>
                <w:spacing w:val="-1"/>
              </w:rPr>
              <w:t xml:space="preserve">9X </w:t>
            </w:r>
            <w:r>
              <w:rPr>
                <w:spacing w:val="-1"/>
              </w:rPr>
              <w:t>井位于该勘查区范围内，探矿权证书见附件。</w:t>
            </w:r>
          </w:p>
          <w:p w14:paraId="7CEE4C5D">
            <w:pPr>
              <w:pStyle w:val="6"/>
              <w:spacing w:before="2" w:line="359" w:lineRule="auto"/>
              <w:ind w:left="107" w:right="102" w:firstLine="480"/>
              <w:jc w:val="both"/>
            </w:pPr>
            <w:r>
              <w:rPr>
                <w:spacing w:val="2"/>
              </w:rPr>
              <w:t>在勘查区范围内，为确定油气藏是否存在，圈定油气藏边界，并对油气藏进行工业评价，取得油气开发所需要的地质资料而钻的井称为探井。根据华北油田巴彦勘探开发分公司在临河坳陷扎格构造部署的预探井勘探结果分析，该区块油藏埋藏较深，储层致密，油层厚度较大，为进一步评价扎格构造油水界面，落实含油范围，确定区块的储量规模、产能及经济价值，华北油田巴彦勘</w:t>
            </w:r>
            <w:r>
              <w:rPr>
                <w:spacing w:val="-2"/>
              </w:rPr>
              <w:t>探开发分公司投资</w:t>
            </w:r>
            <w:r>
              <w:rPr>
                <w:spacing w:val="-44"/>
              </w:rPr>
              <w:t xml:space="preserve"> </w:t>
            </w:r>
            <w:r>
              <w:rPr>
                <w:rFonts w:ascii="Times New Roman" w:hAnsi="Times New Roman" w:eastAsia="Times New Roman" w:cs="Times New Roman"/>
                <w:spacing w:val="-2"/>
              </w:rPr>
              <w:t>7000</w:t>
            </w:r>
            <w:r>
              <w:rPr>
                <w:rFonts w:ascii="Times New Roman" w:hAnsi="Times New Roman" w:eastAsia="Times New Roman" w:cs="Times New Roman"/>
                <w:spacing w:val="15"/>
              </w:rPr>
              <w:t xml:space="preserve"> </w:t>
            </w:r>
            <w:r>
              <w:rPr>
                <w:spacing w:val="-2"/>
              </w:rPr>
              <w:t>万元部署建设扎格</w:t>
            </w:r>
            <w:r>
              <w:rPr>
                <w:spacing w:val="-50"/>
              </w:rPr>
              <w:t xml:space="preserve"> </w:t>
            </w:r>
            <w:r>
              <w:rPr>
                <w:rFonts w:ascii="Times New Roman" w:hAnsi="Times New Roman" w:eastAsia="Times New Roman" w:cs="Times New Roman"/>
                <w:spacing w:val="-2"/>
              </w:rPr>
              <w:t xml:space="preserve">9X </w:t>
            </w:r>
            <w:r>
              <w:rPr>
                <w:spacing w:val="-2"/>
              </w:rPr>
              <w:t>井。</w:t>
            </w:r>
          </w:p>
          <w:p w14:paraId="78DF34AD">
            <w:pPr>
              <w:pStyle w:val="6"/>
              <w:spacing w:before="2" w:line="358" w:lineRule="auto"/>
              <w:ind w:left="110" w:right="102" w:firstLine="479"/>
              <w:jc w:val="both"/>
            </w:pPr>
            <w:r>
              <w:rPr>
                <w:spacing w:val="2"/>
              </w:rPr>
              <w:t>磴口县自然资源局已出具关于查询巴彦勘探开发分公司石油勘探开发项目</w:t>
            </w:r>
            <w:r>
              <w:rPr>
                <w:spacing w:val="-3"/>
              </w:rPr>
              <w:t>扎格</w:t>
            </w:r>
            <w:r>
              <w:rPr>
                <w:spacing w:val="-50"/>
              </w:rPr>
              <w:t xml:space="preserve"> </w:t>
            </w:r>
            <w:r>
              <w:rPr>
                <w:rFonts w:ascii="Times New Roman" w:hAnsi="Times New Roman" w:eastAsia="Times New Roman" w:cs="Times New Roman"/>
                <w:spacing w:val="-3"/>
              </w:rPr>
              <w:t xml:space="preserve">9X </w:t>
            </w:r>
            <w:r>
              <w:rPr>
                <w:spacing w:val="-3"/>
              </w:rPr>
              <w:t>井坐标选址是否在生态红线范围内的复函，项</w:t>
            </w:r>
            <w:r>
              <w:rPr>
                <w:spacing w:val="-4"/>
              </w:rPr>
              <w:t>目拟选址不位于已划定的</w:t>
            </w:r>
            <w:r>
              <w:rPr>
                <w:spacing w:val="-2"/>
              </w:rPr>
              <w:t>生态保护红线范围内。</w:t>
            </w:r>
          </w:p>
          <w:p w14:paraId="1DE39C40">
            <w:pPr>
              <w:pStyle w:val="6"/>
              <w:spacing w:line="220" w:lineRule="auto"/>
              <w:ind w:left="592"/>
            </w:pPr>
            <w:r>
              <w:rPr>
                <w:b/>
                <w:bCs/>
                <w:spacing w:val="-4"/>
              </w:rPr>
              <w:t>二、项目组成</w:t>
            </w:r>
          </w:p>
          <w:p w14:paraId="01AEC3CF">
            <w:pPr>
              <w:pStyle w:val="6"/>
              <w:spacing w:before="182" w:line="359" w:lineRule="auto"/>
              <w:ind w:left="108" w:right="102" w:firstLine="483"/>
            </w:pPr>
            <w:r>
              <w:rPr>
                <w:spacing w:val="-2"/>
              </w:rPr>
              <w:t>项目部署建设勘探井</w:t>
            </w:r>
            <w:r>
              <w:rPr>
                <w:spacing w:val="-27"/>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48"/>
              </w:rPr>
              <w:t xml:space="preserve"> </w:t>
            </w:r>
            <w:r>
              <w:rPr>
                <w:spacing w:val="-2"/>
              </w:rPr>
              <w:t>口，设计井深为</w:t>
            </w:r>
            <w:r>
              <w:rPr>
                <w:spacing w:val="-47"/>
              </w:rPr>
              <w:t xml:space="preserve"> </w:t>
            </w:r>
            <w:r>
              <w:rPr>
                <w:rFonts w:ascii="Times New Roman" w:hAnsi="Times New Roman" w:eastAsia="Times New Roman" w:cs="Times New Roman"/>
                <w:spacing w:val="-2"/>
              </w:rPr>
              <w:t>6700m</w:t>
            </w:r>
            <w:r>
              <w:rPr>
                <w:rFonts w:ascii="Times New Roman" w:hAnsi="Times New Roman" w:eastAsia="Times New Roman" w:cs="Times New Roman"/>
                <w:spacing w:val="-31"/>
              </w:rPr>
              <w:t xml:space="preserve"> </w:t>
            </w:r>
            <w:r>
              <w:rPr>
                <w:spacing w:val="-2"/>
              </w:rPr>
              <w:t>，井型为斜井式，采用三开井身结构，勘探期为</w:t>
            </w:r>
            <w:r>
              <w:rPr>
                <w:spacing w:val="-43"/>
              </w:rPr>
              <w:t xml:space="preserve"> </w:t>
            </w:r>
            <w:r>
              <w:rPr>
                <w:rFonts w:ascii="Times New Roman" w:hAnsi="Times New Roman" w:eastAsia="Times New Roman" w:cs="Times New Roman"/>
                <w:spacing w:val="-2"/>
              </w:rPr>
              <w:t xml:space="preserve">90 </w:t>
            </w:r>
            <w:r>
              <w:rPr>
                <w:spacing w:val="-2"/>
              </w:rPr>
              <w:t>天。</w:t>
            </w:r>
          </w:p>
          <w:p w14:paraId="2F97161B">
            <w:pPr>
              <w:pStyle w:val="6"/>
              <w:spacing w:before="9" w:line="358" w:lineRule="auto"/>
              <w:ind w:left="107" w:right="102" w:firstLine="485"/>
              <w:jc w:val="both"/>
            </w:pPr>
            <w:r>
              <w:rPr>
                <w:spacing w:val="2"/>
              </w:rPr>
              <w:t>项目属于石油开采过程的钻探、试采时期，其工程内容包含钻前工程</w:t>
            </w:r>
            <w:r>
              <w:rPr>
                <w:spacing w:val="1"/>
              </w:rPr>
              <w:t>、钻</w:t>
            </w:r>
            <w:r>
              <w:rPr>
                <w:spacing w:val="2"/>
              </w:rPr>
              <w:t>井工程、试油工程、封井工程等部分，勘探任务完成后，根据测试情况，若有开采价值，则保留试油井场和进场道路，其余临时占地恢复原貌，井口安装采油设备后转为产能井（转为产能井的相关工作内容等需另行设计和开展环境评</w:t>
            </w:r>
            <w:r>
              <w:rPr>
                <w:spacing w:val="1"/>
              </w:rPr>
              <w:t>价，并完善井场永久占地征地手续</w:t>
            </w:r>
            <w:r>
              <w:rPr>
                <w:spacing w:val="18"/>
              </w:rPr>
              <w:t>）；</w:t>
            </w:r>
            <w:r>
              <w:rPr>
                <w:spacing w:val="1"/>
              </w:rPr>
              <w:t>若测试未获可开发利用的工业油流，则进行封井封场处理（无永久占地，临时占地恢复原貌</w:t>
            </w:r>
            <w:r>
              <w:rPr>
                <w:spacing w:val="18"/>
              </w:rPr>
              <w:t>），</w:t>
            </w:r>
            <w:r>
              <w:rPr>
                <w:spacing w:val="1"/>
              </w:rPr>
              <w:t>故项目仅为钻探、试</w:t>
            </w:r>
            <w:r>
              <w:rPr>
                <w:spacing w:val="-1"/>
              </w:rPr>
              <w:t>采施工，不涉及油井开发，不涉及运营期。</w:t>
            </w:r>
          </w:p>
          <w:p w14:paraId="1BF7AE94">
            <w:pPr>
              <w:pStyle w:val="6"/>
              <w:spacing w:line="219" w:lineRule="auto"/>
              <w:ind w:left="592"/>
            </w:pPr>
            <w:r>
              <w:rPr>
                <w:spacing w:val="-2"/>
              </w:rPr>
              <w:t>项目主要建设内容见下表。</w:t>
            </w:r>
          </w:p>
        </w:tc>
      </w:tr>
    </w:tbl>
    <w:p w14:paraId="6F40E2B2">
      <w:pPr>
        <w:spacing w:line="179" w:lineRule="exact"/>
        <w:rPr>
          <w:rFonts w:ascii="Arial"/>
          <w:sz w:val="15"/>
        </w:rPr>
      </w:pPr>
    </w:p>
    <w:p w14:paraId="7A5F9763">
      <w:pPr>
        <w:spacing w:line="179" w:lineRule="exact"/>
        <w:rPr>
          <w:rFonts w:ascii="Arial" w:hAnsi="Arial" w:eastAsia="Arial" w:cs="Arial"/>
          <w:sz w:val="15"/>
          <w:szCs w:val="15"/>
        </w:rPr>
        <w:sectPr>
          <w:footerReference r:id="rId28" w:type="default"/>
          <w:pgSz w:w="11906" w:h="16839"/>
          <w:pgMar w:top="400" w:right="1403" w:bottom="1240" w:left="1572" w:header="0" w:footer="1078" w:gutter="0"/>
          <w:cols w:space="720" w:num="1"/>
        </w:sectPr>
      </w:pPr>
    </w:p>
    <w:p w14:paraId="27A52DCB">
      <w:pPr>
        <w:spacing w:before="56"/>
      </w:pPr>
    </w:p>
    <w:p w14:paraId="4981902A">
      <w:pPr>
        <w:spacing w:before="56"/>
      </w:pPr>
    </w:p>
    <w:p w14:paraId="579E5350">
      <w:pPr>
        <w:spacing w:before="55"/>
      </w:pPr>
    </w:p>
    <w:p w14:paraId="08EA8374">
      <w:pPr>
        <w:spacing w:before="55"/>
      </w:pPr>
    </w:p>
    <w:tbl>
      <w:tblPr>
        <w:tblStyle w:val="5"/>
        <w:tblW w:w="891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6"/>
        <w:gridCol w:w="708"/>
        <w:gridCol w:w="1106"/>
        <w:gridCol w:w="6635"/>
      </w:tblGrid>
      <w:tr w14:paraId="1D7ACF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466" w:type="dxa"/>
            <w:vMerge w:val="restart"/>
            <w:tcBorders>
              <w:top w:val="single" w:color="000000" w:sz="6" w:space="0"/>
              <w:left w:val="single" w:color="000000" w:sz="6" w:space="0"/>
              <w:bottom w:val="nil"/>
            </w:tcBorders>
            <w:vAlign w:val="top"/>
          </w:tcPr>
          <w:p w14:paraId="6C8D0105">
            <w:pPr>
              <w:rPr>
                <w:rFonts w:ascii="Arial"/>
                <w:sz w:val="21"/>
              </w:rPr>
            </w:pPr>
          </w:p>
        </w:tc>
        <w:tc>
          <w:tcPr>
            <w:tcW w:w="8449" w:type="dxa"/>
            <w:gridSpan w:val="3"/>
            <w:tcBorders>
              <w:top w:val="single" w:color="000000" w:sz="6" w:space="0"/>
              <w:bottom w:val="single" w:color="000000" w:sz="10" w:space="0"/>
              <w:right w:val="single" w:color="000000" w:sz="6" w:space="0"/>
            </w:tcBorders>
            <w:vAlign w:val="top"/>
          </w:tcPr>
          <w:p w14:paraId="5248C0F3">
            <w:pPr>
              <w:spacing w:before="30" w:line="215" w:lineRule="auto"/>
              <w:ind w:left="2541"/>
              <w:rPr>
                <w:rFonts w:ascii="黑体" w:hAnsi="黑体" w:eastAsia="黑体" w:cs="黑体"/>
                <w:sz w:val="24"/>
                <w:szCs w:val="24"/>
              </w:rPr>
            </w:pPr>
            <w:r>
              <w:rPr>
                <w:rFonts w:ascii="黑体" w:hAnsi="黑体" w:eastAsia="黑体" w:cs="黑体"/>
                <w:spacing w:val="-3"/>
                <w:sz w:val="24"/>
                <w:szCs w:val="24"/>
              </w:rPr>
              <w:t>表</w:t>
            </w:r>
            <w:r>
              <w:rPr>
                <w:rFonts w:ascii="黑体" w:hAnsi="黑体" w:eastAsia="黑体" w:cs="黑体"/>
                <w:spacing w:val="-52"/>
                <w:sz w:val="24"/>
                <w:szCs w:val="24"/>
              </w:rPr>
              <w:t xml:space="preserve"> </w:t>
            </w:r>
            <w:r>
              <w:rPr>
                <w:rFonts w:ascii="Times New Roman" w:hAnsi="Times New Roman" w:eastAsia="Times New Roman" w:cs="Times New Roman"/>
                <w:spacing w:val="-3"/>
                <w:sz w:val="24"/>
                <w:szCs w:val="24"/>
              </w:rPr>
              <w:t>2-</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 xml:space="preserve">1  </w:t>
            </w:r>
            <w:r>
              <w:rPr>
                <w:rFonts w:ascii="黑体" w:hAnsi="黑体" w:eastAsia="黑体" w:cs="黑体"/>
                <w:spacing w:val="-3"/>
                <w:sz w:val="24"/>
                <w:szCs w:val="24"/>
              </w:rPr>
              <w:t>项目主要建设工程一览表</w:t>
            </w:r>
          </w:p>
        </w:tc>
      </w:tr>
      <w:tr w14:paraId="6E4B7F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466" w:type="dxa"/>
            <w:vMerge w:val="continue"/>
            <w:tcBorders>
              <w:top w:val="nil"/>
              <w:left w:val="single" w:color="000000" w:sz="6" w:space="0"/>
              <w:bottom w:val="nil"/>
            </w:tcBorders>
            <w:vAlign w:val="top"/>
          </w:tcPr>
          <w:p w14:paraId="5C31FDE9">
            <w:pPr>
              <w:rPr>
                <w:rFonts w:ascii="Arial"/>
                <w:sz w:val="21"/>
              </w:rPr>
            </w:pPr>
          </w:p>
        </w:tc>
        <w:tc>
          <w:tcPr>
            <w:tcW w:w="708" w:type="dxa"/>
            <w:tcBorders>
              <w:top w:val="single" w:color="000000" w:sz="10" w:space="0"/>
            </w:tcBorders>
            <w:vAlign w:val="top"/>
          </w:tcPr>
          <w:p w14:paraId="0CCBB818">
            <w:pPr>
              <w:pStyle w:val="6"/>
              <w:spacing w:before="21" w:line="228" w:lineRule="auto"/>
              <w:ind w:left="199"/>
              <w:rPr>
                <w:sz w:val="20"/>
                <w:szCs w:val="20"/>
              </w:rPr>
            </w:pPr>
            <w:r>
              <w:rPr>
                <w:spacing w:val="3"/>
                <w:sz w:val="20"/>
                <w:szCs w:val="20"/>
              </w:rPr>
              <w:t>工程</w:t>
            </w:r>
          </w:p>
          <w:p w14:paraId="3C233098">
            <w:pPr>
              <w:pStyle w:val="6"/>
              <w:spacing w:before="26" w:line="214" w:lineRule="auto"/>
              <w:ind w:left="196"/>
              <w:rPr>
                <w:sz w:val="20"/>
                <w:szCs w:val="20"/>
              </w:rPr>
            </w:pPr>
            <w:r>
              <w:rPr>
                <w:spacing w:val="4"/>
                <w:sz w:val="20"/>
                <w:szCs w:val="20"/>
              </w:rPr>
              <w:t>类别</w:t>
            </w:r>
          </w:p>
        </w:tc>
        <w:tc>
          <w:tcPr>
            <w:tcW w:w="1106" w:type="dxa"/>
            <w:tcBorders>
              <w:top w:val="single" w:color="000000" w:sz="10" w:space="0"/>
            </w:tcBorders>
            <w:vAlign w:val="top"/>
          </w:tcPr>
          <w:p w14:paraId="7669AA80">
            <w:pPr>
              <w:pStyle w:val="6"/>
              <w:spacing w:before="158" w:line="228" w:lineRule="auto"/>
              <w:ind w:left="137"/>
              <w:rPr>
                <w:sz w:val="20"/>
                <w:szCs w:val="20"/>
              </w:rPr>
            </w:pPr>
            <w:r>
              <w:rPr>
                <w:spacing w:val="6"/>
                <w:sz w:val="20"/>
                <w:szCs w:val="20"/>
              </w:rPr>
              <w:t>项目名称</w:t>
            </w:r>
          </w:p>
        </w:tc>
        <w:tc>
          <w:tcPr>
            <w:tcW w:w="6635" w:type="dxa"/>
            <w:tcBorders>
              <w:top w:val="single" w:color="000000" w:sz="10" w:space="0"/>
              <w:right w:val="single" w:color="000000" w:sz="6" w:space="0"/>
            </w:tcBorders>
            <w:vAlign w:val="top"/>
          </w:tcPr>
          <w:p w14:paraId="0AF976D0">
            <w:pPr>
              <w:pStyle w:val="6"/>
              <w:spacing w:before="157" w:line="228" w:lineRule="auto"/>
              <w:ind w:left="2639"/>
              <w:rPr>
                <w:sz w:val="20"/>
                <w:szCs w:val="20"/>
              </w:rPr>
            </w:pPr>
            <w:r>
              <w:rPr>
                <w:spacing w:val="7"/>
                <w:sz w:val="20"/>
                <w:szCs w:val="20"/>
              </w:rPr>
              <w:t>主要工程内容</w:t>
            </w:r>
          </w:p>
        </w:tc>
      </w:tr>
      <w:tr w14:paraId="7253F7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466" w:type="dxa"/>
            <w:vMerge w:val="continue"/>
            <w:tcBorders>
              <w:top w:val="nil"/>
              <w:left w:val="single" w:color="000000" w:sz="6" w:space="0"/>
              <w:bottom w:val="nil"/>
            </w:tcBorders>
            <w:vAlign w:val="top"/>
          </w:tcPr>
          <w:p w14:paraId="7980C8CE">
            <w:pPr>
              <w:rPr>
                <w:rFonts w:ascii="Arial"/>
                <w:sz w:val="21"/>
              </w:rPr>
            </w:pPr>
          </w:p>
        </w:tc>
        <w:tc>
          <w:tcPr>
            <w:tcW w:w="708" w:type="dxa"/>
            <w:vMerge w:val="restart"/>
            <w:tcBorders>
              <w:bottom w:val="nil"/>
            </w:tcBorders>
            <w:vAlign w:val="top"/>
          </w:tcPr>
          <w:p w14:paraId="7B8E0E4A">
            <w:pPr>
              <w:spacing w:line="242" w:lineRule="auto"/>
              <w:rPr>
                <w:rFonts w:ascii="Arial"/>
                <w:sz w:val="21"/>
              </w:rPr>
            </w:pPr>
          </w:p>
          <w:p w14:paraId="56BC0252">
            <w:pPr>
              <w:spacing w:line="242" w:lineRule="auto"/>
              <w:rPr>
                <w:rFonts w:ascii="Arial"/>
                <w:sz w:val="21"/>
              </w:rPr>
            </w:pPr>
          </w:p>
          <w:p w14:paraId="5A3A6119">
            <w:pPr>
              <w:spacing w:line="242" w:lineRule="auto"/>
              <w:rPr>
                <w:rFonts w:ascii="Arial"/>
                <w:sz w:val="21"/>
              </w:rPr>
            </w:pPr>
          </w:p>
          <w:p w14:paraId="63BCEFFA">
            <w:pPr>
              <w:spacing w:line="242" w:lineRule="auto"/>
              <w:rPr>
                <w:rFonts w:ascii="Arial"/>
                <w:sz w:val="21"/>
              </w:rPr>
            </w:pPr>
          </w:p>
          <w:p w14:paraId="25A8EA57">
            <w:pPr>
              <w:spacing w:line="242" w:lineRule="auto"/>
              <w:rPr>
                <w:rFonts w:ascii="Arial"/>
                <w:sz w:val="21"/>
              </w:rPr>
            </w:pPr>
          </w:p>
          <w:p w14:paraId="53C1A837">
            <w:pPr>
              <w:spacing w:line="242" w:lineRule="auto"/>
              <w:rPr>
                <w:rFonts w:ascii="Arial"/>
                <w:sz w:val="21"/>
              </w:rPr>
            </w:pPr>
          </w:p>
          <w:p w14:paraId="77F0C19C">
            <w:pPr>
              <w:spacing w:line="242" w:lineRule="auto"/>
              <w:rPr>
                <w:rFonts w:ascii="Arial"/>
                <w:sz w:val="21"/>
              </w:rPr>
            </w:pPr>
          </w:p>
          <w:p w14:paraId="7FE73F6F">
            <w:pPr>
              <w:spacing w:line="242" w:lineRule="auto"/>
              <w:rPr>
                <w:rFonts w:ascii="Arial"/>
                <w:sz w:val="21"/>
              </w:rPr>
            </w:pPr>
          </w:p>
          <w:p w14:paraId="4710C8A0">
            <w:pPr>
              <w:spacing w:line="242" w:lineRule="auto"/>
              <w:rPr>
                <w:rFonts w:ascii="Arial"/>
                <w:sz w:val="21"/>
              </w:rPr>
            </w:pPr>
          </w:p>
          <w:p w14:paraId="141D7D2A">
            <w:pPr>
              <w:spacing w:line="243" w:lineRule="auto"/>
              <w:rPr>
                <w:rFonts w:ascii="Arial"/>
                <w:sz w:val="21"/>
              </w:rPr>
            </w:pPr>
          </w:p>
          <w:p w14:paraId="0D93D3C9">
            <w:pPr>
              <w:spacing w:line="243" w:lineRule="auto"/>
              <w:rPr>
                <w:rFonts w:ascii="Arial"/>
                <w:sz w:val="21"/>
              </w:rPr>
            </w:pPr>
          </w:p>
          <w:p w14:paraId="546091AB">
            <w:pPr>
              <w:spacing w:line="243" w:lineRule="auto"/>
              <w:rPr>
                <w:rFonts w:ascii="Arial"/>
                <w:sz w:val="21"/>
              </w:rPr>
            </w:pPr>
          </w:p>
          <w:p w14:paraId="2E3A3170">
            <w:pPr>
              <w:spacing w:line="243" w:lineRule="auto"/>
              <w:rPr>
                <w:rFonts w:ascii="Arial"/>
                <w:sz w:val="21"/>
              </w:rPr>
            </w:pPr>
          </w:p>
          <w:p w14:paraId="685A5AC5">
            <w:pPr>
              <w:spacing w:line="243" w:lineRule="auto"/>
              <w:rPr>
                <w:rFonts w:ascii="Arial"/>
                <w:sz w:val="21"/>
              </w:rPr>
            </w:pPr>
          </w:p>
          <w:p w14:paraId="4960A5DE">
            <w:pPr>
              <w:spacing w:line="243" w:lineRule="auto"/>
              <w:rPr>
                <w:rFonts w:ascii="Arial"/>
                <w:sz w:val="21"/>
              </w:rPr>
            </w:pPr>
          </w:p>
          <w:p w14:paraId="0754EE87">
            <w:pPr>
              <w:spacing w:line="243" w:lineRule="auto"/>
              <w:rPr>
                <w:rFonts w:ascii="Arial"/>
                <w:sz w:val="21"/>
              </w:rPr>
            </w:pPr>
          </w:p>
          <w:p w14:paraId="5912B9D4">
            <w:pPr>
              <w:spacing w:line="243" w:lineRule="auto"/>
              <w:rPr>
                <w:rFonts w:ascii="Arial"/>
                <w:sz w:val="21"/>
              </w:rPr>
            </w:pPr>
          </w:p>
          <w:p w14:paraId="352A483F">
            <w:pPr>
              <w:pStyle w:val="6"/>
              <w:spacing w:before="65" w:line="252" w:lineRule="auto"/>
              <w:ind w:left="198" w:right="96"/>
              <w:rPr>
                <w:sz w:val="20"/>
                <w:szCs w:val="20"/>
              </w:rPr>
            </w:pPr>
            <w:r>
              <w:rPr>
                <w:spacing w:val="3"/>
                <w:sz w:val="20"/>
                <w:szCs w:val="20"/>
              </w:rPr>
              <w:t>主体工程</w:t>
            </w:r>
          </w:p>
        </w:tc>
        <w:tc>
          <w:tcPr>
            <w:tcW w:w="1106" w:type="dxa"/>
            <w:vMerge w:val="restart"/>
            <w:tcBorders>
              <w:bottom w:val="nil"/>
            </w:tcBorders>
            <w:vAlign w:val="top"/>
          </w:tcPr>
          <w:p w14:paraId="5B9C31C7">
            <w:pPr>
              <w:spacing w:line="245" w:lineRule="auto"/>
              <w:rPr>
                <w:rFonts w:ascii="Arial"/>
                <w:sz w:val="21"/>
              </w:rPr>
            </w:pPr>
          </w:p>
          <w:p w14:paraId="4D005751">
            <w:pPr>
              <w:spacing w:line="245" w:lineRule="auto"/>
              <w:rPr>
                <w:rFonts w:ascii="Arial"/>
                <w:sz w:val="21"/>
              </w:rPr>
            </w:pPr>
          </w:p>
          <w:p w14:paraId="425DC434">
            <w:pPr>
              <w:spacing w:line="246" w:lineRule="auto"/>
              <w:rPr>
                <w:rFonts w:ascii="Arial"/>
                <w:sz w:val="21"/>
              </w:rPr>
            </w:pPr>
          </w:p>
          <w:p w14:paraId="154076E8">
            <w:pPr>
              <w:spacing w:line="246" w:lineRule="auto"/>
              <w:rPr>
                <w:rFonts w:ascii="Arial"/>
                <w:sz w:val="21"/>
              </w:rPr>
            </w:pPr>
          </w:p>
          <w:p w14:paraId="678D68B3">
            <w:pPr>
              <w:spacing w:line="246" w:lineRule="auto"/>
              <w:rPr>
                <w:rFonts w:ascii="Arial"/>
                <w:sz w:val="21"/>
              </w:rPr>
            </w:pPr>
          </w:p>
          <w:p w14:paraId="5E212A9C">
            <w:pPr>
              <w:pStyle w:val="6"/>
              <w:spacing w:before="65" w:line="228" w:lineRule="auto"/>
              <w:ind w:left="134"/>
              <w:rPr>
                <w:sz w:val="20"/>
                <w:szCs w:val="20"/>
              </w:rPr>
            </w:pPr>
            <w:r>
              <w:rPr>
                <w:spacing w:val="7"/>
                <w:sz w:val="20"/>
                <w:szCs w:val="20"/>
              </w:rPr>
              <w:t>钻前工程</w:t>
            </w:r>
          </w:p>
        </w:tc>
        <w:tc>
          <w:tcPr>
            <w:tcW w:w="6635" w:type="dxa"/>
            <w:tcBorders>
              <w:right w:val="single" w:color="000000" w:sz="6" w:space="0"/>
            </w:tcBorders>
            <w:vAlign w:val="top"/>
          </w:tcPr>
          <w:p w14:paraId="5B0A4F98">
            <w:pPr>
              <w:pStyle w:val="6"/>
              <w:spacing w:before="69" w:line="227" w:lineRule="auto"/>
              <w:rPr>
                <w:sz w:val="20"/>
                <w:szCs w:val="20"/>
              </w:rPr>
            </w:pPr>
            <w:r>
              <w:rPr>
                <w:spacing w:val="9"/>
                <w:sz w:val="20"/>
                <w:szCs w:val="20"/>
              </w:rPr>
              <w:t>进场道路：项目充分利用现有乡村道路，无需新建进场道路。</w:t>
            </w:r>
          </w:p>
        </w:tc>
      </w:tr>
      <w:tr w14:paraId="3C4055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2" w:hRule="atLeast"/>
        </w:trPr>
        <w:tc>
          <w:tcPr>
            <w:tcW w:w="466" w:type="dxa"/>
            <w:vMerge w:val="continue"/>
            <w:tcBorders>
              <w:top w:val="nil"/>
              <w:left w:val="single" w:color="000000" w:sz="6" w:space="0"/>
              <w:bottom w:val="nil"/>
            </w:tcBorders>
            <w:vAlign w:val="top"/>
          </w:tcPr>
          <w:p w14:paraId="06D57A6C">
            <w:pPr>
              <w:rPr>
                <w:rFonts w:ascii="Arial"/>
                <w:sz w:val="21"/>
              </w:rPr>
            </w:pPr>
          </w:p>
        </w:tc>
        <w:tc>
          <w:tcPr>
            <w:tcW w:w="708" w:type="dxa"/>
            <w:vMerge w:val="continue"/>
            <w:tcBorders>
              <w:top w:val="nil"/>
              <w:bottom w:val="nil"/>
            </w:tcBorders>
            <w:vAlign w:val="top"/>
          </w:tcPr>
          <w:p w14:paraId="3766E234">
            <w:pPr>
              <w:rPr>
                <w:rFonts w:ascii="Arial"/>
                <w:sz w:val="21"/>
              </w:rPr>
            </w:pPr>
          </w:p>
        </w:tc>
        <w:tc>
          <w:tcPr>
            <w:tcW w:w="1106" w:type="dxa"/>
            <w:vMerge w:val="continue"/>
            <w:tcBorders>
              <w:top w:val="nil"/>
              <w:bottom w:val="nil"/>
            </w:tcBorders>
            <w:vAlign w:val="top"/>
          </w:tcPr>
          <w:p w14:paraId="7AB485D9">
            <w:pPr>
              <w:rPr>
                <w:rFonts w:ascii="Arial"/>
                <w:sz w:val="21"/>
              </w:rPr>
            </w:pPr>
          </w:p>
        </w:tc>
        <w:tc>
          <w:tcPr>
            <w:tcW w:w="6635" w:type="dxa"/>
            <w:tcBorders>
              <w:right w:val="single" w:color="000000" w:sz="6" w:space="0"/>
            </w:tcBorders>
            <w:vAlign w:val="top"/>
          </w:tcPr>
          <w:p w14:paraId="6DE7BAFC">
            <w:pPr>
              <w:pStyle w:val="6"/>
              <w:spacing w:before="29" w:line="245" w:lineRule="auto"/>
              <w:ind w:left="3" w:right="34" w:firstLine="33"/>
              <w:jc w:val="both"/>
              <w:rPr>
                <w:sz w:val="20"/>
                <w:szCs w:val="20"/>
              </w:rPr>
            </w:pPr>
            <w:r>
              <w:rPr>
                <w:spacing w:val="4"/>
                <w:sz w:val="20"/>
                <w:szCs w:val="20"/>
              </w:rPr>
              <w:t>占地及表土剥离：扎格</w:t>
            </w:r>
            <w:r>
              <w:rPr>
                <w:spacing w:val="-39"/>
                <w:sz w:val="20"/>
                <w:szCs w:val="20"/>
              </w:rPr>
              <w:t xml:space="preserve"> </w:t>
            </w:r>
            <w:r>
              <w:rPr>
                <w:rFonts w:ascii="Times New Roman" w:hAnsi="Times New Roman" w:eastAsia="Times New Roman" w:cs="Times New Roman"/>
                <w:spacing w:val="4"/>
                <w:sz w:val="20"/>
                <w:szCs w:val="20"/>
              </w:rPr>
              <w:t xml:space="preserve">9X </w:t>
            </w:r>
            <w:r>
              <w:rPr>
                <w:spacing w:val="4"/>
                <w:sz w:val="20"/>
                <w:szCs w:val="20"/>
              </w:rPr>
              <w:t>井场占地面积</w:t>
            </w:r>
            <w:r>
              <w:rPr>
                <w:spacing w:val="-21"/>
                <w:sz w:val="20"/>
                <w:szCs w:val="20"/>
              </w:rPr>
              <w:t xml:space="preserve"> </w:t>
            </w:r>
            <w:r>
              <w:rPr>
                <w:rFonts w:ascii="Times New Roman" w:hAnsi="Times New Roman" w:eastAsia="Times New Roman" w:cs="Times New Roman"/>
                <w:spacing w:val="4"/>
                <w:sz w:val="20"/>
                <w:szCs w:val="20"/>
              </w:rPr>
              <w:t>13</w:t>
            </w:r>
            <w:r>
              <w:rPr>
                <w:rFonts w:ascii="Times New Roman" w:hAnsi="Times New Roman" w:eastAsia="Times New Roman" w:cs="Times New Roman"/>
                <w:spacing w:val="3"/>
                <w:sz w:val="20"/>
                <w:szCs w:val="20"/>
              </w:rPr>
              <w:t>293m</w:t>
            </w:r>
            <w:r>
              <w:rPr>
                <w:rFonts w:ascii="Times New Roman" w:hAnsi="Times New Roman" w:eastAsia="Times New Roman" w:cs="Times New Roman"/>
                <w:spacing w:val="3"/>
                <w:position w:val="6"/>
                <w:sz w:val="13"/>
                <w:szCs w:val="13"/>
              </w:rPr>
              <w:t>2</w:t>
            </w:r>
            <w:r>
              <w:rPr>
                <w:spacing w:val="3"/>
                <w:sz w:val="20"/>
                <w:szCs w:val="20"/>
              </w:rPr>
              <w:t>。勘探施工前对井场表</w:t>
            </w:r>
            <w:r>
              <w:rPr>
                <w:spacing w:val="7"/>
                <w:sz w:val="20"/>
                <w:szCs w:val="20"/>
              </w:rPr>
              <w:t>土进行剥离并堆存（表土堆存区面积</w:t>
            </w:r>
            <w:r>
              <w:rPr>
                <w:spacing w:val="-41"/>
                <w:sz w:val="20"/>
                <w:szCs w:val="20"/>
              </w:rPr>
              <w:t xml:space="preserve"> </w:t>
            </w:r>
            <w:r>
              <w:rPr>
                <w:rFonts w:ascii="Times New Roman" w:hAnsi="Times New Roman" w:eastAsia="Times New Roman" w:cs="Times New Roman"/>
                <w:spacing w:val="7"/>
                <w:sz w:val="20"/>
                <w:szCs w:val="20"/>
              </w:rPr>
              <w:t>2000m</w:t>
            </w:r>
            <w:r>
              <w:rPr>
                <w:rFonts w:ascii="Times New Roman" w:hAnsi="Times New Roman" w:eastAsia="Times New Roman" w:cs="Times New Roman"/>
                <w:spacing w:val="7"/>
                <w:position w:val="6"/>
                <w:sz w:val="13"/>
                <w:szCs w:val="13"/>
              </w:rPr>
              <w:t>2</w:t>
            </w:r>
            <w:r>
              <w:rPr>
                <w:spacing w:val="7"/>
                <w:sz w:val="20"/>
                <w:szCs w:val="20"/>
              </w:rPr>
              <w:t>，堆存区范围内不进行表土</w:t>
            </w:r>
            <w:r>
              <w:rPr>
                <w:sz w:val="20"/>
                <w:szCs w:val="20"/>
              </w:rPr>
              <w:t>剥离工程</w:t>
            </w:r>
            <w:r>
              <w:rPr>
                <w:spacing w:val="-42"/>
                <w:w w:val="80"/>
                <w:sz w:val="20"/>
                <w:szCs w:val="20"/>
              </w:rPr>
              <w:t>），</w:t>
            </w:r>
            <w:r>
              <w:rPr>
                <w:sz w:val="20"/>
                <w:szCs w:val="20"/>
              </w:rPr>
              <w:t>随后平整场地。表土堆存区面积</w:t>
            </w:r>
            <w:r>
              <w:rPr>
                <w:spacing w:val="-56"/>
                <w:sz w:val="20"/>
                <w:szCs w:val="20"/>
              </w:rPr>
              <w:t xml:space="preserve"> </w:t>
            </w:r>
            <w:r>
              <w:rPr>
                <w:rFonts w:ascii="Times New Roman" w:hAnsi="Times New Roman" w:eastAsia="Times New Roman" w:cs="Times New Roman"/>
                <w:sz w:val="20"/>
                <w:szCs w:val="20"/>
              </w:rPr>
              <w:t>2000m</w:t>
            </w:r>
            <w:r>
              <w:rPr>
                <w:rFonts w:ascii="Times New Roman" w:hAnsi="Times New Roman" w:eastAsia="Times New Roman" w:cs="Times New Roman"/>
                <w:position w:val="6"/>
                <w:sz w:val="13"/>
                <w:szCs w:val="13"/>
              </w:rPr>
              <w:t>2</w:t>
            </w:r>
            <w:r>
              <w:rPr>
                <w:sz w:val="20"/>
                <w:szCs w:val="20"/>
              </w:rPr>
              <w:t>、生活区面积</w:t>
            </w:r>
            <w:r>
              <w:rPr>
                <w:spacing w:val="-35"/>
                <w:sz w:val="20"/>
                <w:szCs w:val="20"/>
              </w:rPr>
              <w:t xml:space="preserve"> </w:t>
            </w:r>
            <w:r>
              <w:rPr>
                <w:rFonts w:ascii="Times New Roman" w:hAnsi="Times New Roman" w:eastAsia="Times New Roman" w:cs="Times New Roman"/>
                <w:sz w:val="20"/>
                <w:szCs w:val="20"/>
              </w:rPr>
              <w:t>1500m</w:t>
            </w:r>
            <w:r>
              <w:rPr>
                <w:rFonts w:ascii="Times New Roman" w:hAnsi="Times New Roman" w:eastAsia="Times New Roman" w:cs="Times New Roman"/>
                <w:position w:val="6"/>
                <w:sz w:val="13"/>
                <w:szCs w:val="13"/>
              </w:rPr>
              <w:t>2</w:t>
            </w:r>
            <w:r>
              <w:rPr>
                <w:sz w:val="20"/>
                <w:szCs w:val="20"/>
              </w:rPr>
              <w:t>、</w:t>
            </w:r>
            <w:r>
              <w:rPr>
                <w:spacing w:val="8"/>
                <w:sz w:val="20"/>
                <w:szCs w:val="20"/>
              </w:rPr>
              <w:t>设备区面积</w:t>
            </w:r>
            <w:r>
              <w:rPr>
                <w:spacing w:val="-22"/>
                <w:sz w:val="20"/>
                <w:szCs w:val="20"/>
              </w:rPr>
              <w:t xml:space="preserve"> </w:t>
            </w:r>
            <w:r>
              <w:rPr>
                <w:rFonts w:ascii="Times New Roman" w:hAnsi="Times New Roman" w:eastAsia="Times New Roman" w:cs="Times New Roman"/>
                <w:spacing w:val="8"/>
                <w:sz w:val="20"/>
                <w:szCs w:val="20"/>
              </w:rPr>
              <w:t>2500m</w:t>
            </w:r>
            <w:r>
              <w:rPr>
                <w:rFonts w:ascii="Times New Roman" w:hAnsi="Times New Roman" w:eastAsia="Times New Roman" w:cs="Times New Roman"/>
                <w:spacing w:val="8"/>
                <w:position w:val="6"/>
                <w:sz w:val="13"/>
                <w:szCs w:val="13"/>
              </w:rPr>
              <w:t>2</w:t>
            </w:r>
            <w:r>
              <w:rPr>
                <w:rFonts w:ascii="Times New Roman" w:hAnsi="Times New Roman" w:eastAsia="Times New Roman" w:cs="Times New Roman"/>
                <w:spacing w:val="-6"/>
                <w:position w:val="6"/>
                <w:sz w:val="13"/>
                <w:szCs w:val="13"/>
              </w:rPr>
              <w:t xml:space="preserve"> </w:t>
            </w:r>
            <w:r>
              <w:rPr>
                <w:spacing w:val="8"/>
                <w:sz w:val="20"/>
                <w:szCs w:val="20"/>
              </w:rPr>
              <w:t>、柴油储罐区面积</w:t>
            </w:r>
            <w:r>
              <w:rPr>
                <w:spacing w:val="-37"/>
                <w:sz w:val="20"/>
                <w:szCs w:val="20"/>
              </w:rPr>
              <w:t xml:space="preserve"> </w:t>
            </w:r>
            <w:r>
              <w:rPr>
                <w:rFonts w:ascii="Times New Roman" w:hAnsi="Times New Roman" w:eastAsia="Times New Roman" w:cs="Times New Roman"/>
                <w:spacing w:val="8"/>
                <w:sz w:val="20"/>
                <w:szCs w:val="20"/>
              </w:rPr>
              <w:t>36m</w:t>
            </w:r>
            <w:r>
              <w:rPr>
                <w:rFonts w:ascii="Times New Roman" w:hAnsi="Times New Roman" w:eastAsia="Times New Roman" w:cs="Times New Roman"/>
                <w:spacing w:val="8"/>
                <w:position w:val="6"/>
                <w:sz w:val="13"/>
                <w:szCs w:val="13"/>
              </w:rPr>
              <w:t>2</w:t>
            </w:r>
            <w:r>
              <w:rPr>
                <w:rFonts w:ascii="Times New Roman" w:hAnsi="Times New Roman" w:eastAsia="Times New Roman" w:cs="Times New Roman"/>
                <w:spacing w:val="-6"/>
                <w:position w:val="6"/>
                <w:sz w:val="13"/>
                <w:szCs w:val="13"/>
              </w:rPr>
              <w:t xml:space="preserve"> </w:t>
            </w:r>
            <w:r>
              <w:rPr>
                <w:spacing w:val="8"/>
                <w:sz w:val="20"/>
                <w:szCs w:val="20"/>
              </w:rPr>
              <w:t>、泥浆不落地循环系统装置</w:t>
            </w:r>
            <w:r>
              <w:rPr>
                <w:spacing w:val="3"/>
                <w:sz w:val="20"/>
                <w:szCs w:val="20"/>
              </w:rPr>
              <w:t>区面积</w:t>
            </w:r>
            <w:r>
              <w:rPr>
                <w:spacing w:val="-37"/>
                <w:sz w:val="20"/>
                <w:szCs w:val="20"/>
              </w:rPr>
              <w:t xml:space="preserve"> </w:t>
            </w:r>
            <w:r>
              <w:rPr>
                <w:rFonts w:ascii="Times New Roman" w:hAnsi="Times New Roman" w:eastAsia="Times New Roman" w:cs="Times New Roman"/>
                <w:spacing w:val="3"/>
                <w:sz w:val="20"/>
                <w:szCs w:val="20"/>
              </w:rPr>
              <w:t>350m</w:t>
            </w:r>
            <w:r>
              <w:rPr>
                <w:rFonts w:ascii="Times New Roman" w:hAnsi="Times New Roman" w:eastAsia="Times New Roman" w:cs="Times New Roman"/>
                <w:spacing w:val="3"/>
                <w:position w:val="6"/>
                <w:sz w:val="13"/>
                <w:szCs w:val="13"/>
              </w:rPr>
              <w:t>2</w:t>
            </w:r>
            <w:r>
              <w:rPr>
                <w:spacing w:val="3"/>
                <w:sz w:val="20"/>
                <w:szCs w:val="20"/>
              </w:rPr>
              <w:t>、撬装式危废贮存点面积</w:t>
            </w:r>
            <w:r>
              <w:rPr>
                <w:spacing w:val="-23"/>
                <w:sz w:val="20"/>
                <w:szCs w:val="20"/>
              </w:rPr>
              <w:t xml:space="preserve"> </w:t>
            </w:r>
            <w:r>
              <w:rPr>
                <w:rFonts w:ascii="Times New Roman" w:hAnsi="Times New Roman" w:eastAsia="Times New Roman" w:cs="Times New Roman"/>
                <w:spacing w:val="3"/>
                <w:sz w:val="20"/>
                <w:szCs w:val="20"/>
              </w:rPr>
              <w:t>10m</w:t>
            </w:r>
            <w:r>
              <w:rPr>
                <w:rFonts w:ascii="Times New Roman" w:hAnsi="Times New Roman" w:eastAsia="Times New Roman" w:cs="Times New Roman"/>
                <w:spacing w:val="3"/>
                <w:position w:val="6"/>
                <w:sz w:val="13"/>
                <w:szCs w:val="13"/>
              </w:rPr>
              <w:t>2</w:t>
            </w:r>
            <w:r>
              <w:rPr>
                <w:spacing w:val="3"/>
                <w:sz w:val="20"/>
                <w:szCs w:val="20"/>
              </w:rPr>
              <w:t>、原材料堆存区面</w:t>
            </w:r>
            <w:r>
              <w:rPr>
                <w:spacing w:val="2"/>
                <w:sz w:val="20"/>
                <w:szCs w:val="20"/>
              </w:rPr>
              <w:t>积</w:t>
            </w:r>
            <w:r>
              <w:rPr>
                <w:spacing w:val="-23"/>
                <w:sz w:val="20"/>
                <w:szCs w:val="20"/>
              </w:rPr>
              <w:t xml:space="preserve"> </w:t>
            </w:r>
            <w:r>
              <w:rPr>
                <w:rFonts w:ascii="Times New Roman" w:hAnsi="Times New Roman" w:eastAsia="Times New Roman" w:cs="Times New Roman"/>
                <w:spacing w:val="2"/>
                <w:sz w:val="20"/>
                <w:szCs w:val="20"/>
              </w:rPr>
              <w:t>100m</w:t>
            </w:r>
            <w:r>
              <w:rPr>
                <w:rFonts w:ascii="Times New Roman" w:hAnsi="Times New Roman" w:eastAsia="Times New Roman" w:cs="Times New Roman"/>
                <w:spacing w:val="2"/>
                <w:position w:val="6"/>
                <w:sz w:val="13"/>
                <w:szCs w:val="13"/>
              </w:rPr>
              <w:t>2</w:t>
            </w:r>
            <w:r>
              <w:rPr>
                <w:spacing w:val="2"/>
                <w:sz w:val="20"/>
                <w:szCs w:val="20"/>
              </w:rPr>
              <w:t>、</w:t>
            </w:r>
            <w:r>
              <w:rPr>
                <w:spacing w:val="3"/>
                <w:sz w:val="20"/>
                <w:szCs w:val="20"/>
              </w:rPr>
              <w:t>其他</w:t>
            </w:r>
            <w:r>
              <w:rPr>
                <w:spacing w:val="-34"/>
                <w:sz w:val="20"/>
                <w:szCs w:val="20"/>
              </w:rPr>
              <w:t xml:space="preserve"> </w:t>
            </w:r>
            <w:r>
              <w:rPr>
                <w:rFonts w:ascii="Times New Roman" w:hAnsi="Times New Roman" w:eastAsia="Times New Roman" w:cs="Times New Roman"/>
                <w:spacing w:val="3"/>
                <w:sz w:val="20"/>
                <w:szCs w:val="20"/>
              </w:rPr>
              <w:t>6881m</w:t>
            </w:r>
            <w:r>
              <w:rPr>
                <w:rFonts w:ascii="Times New Roman" w:hAnsi="Times New Roman" w:eastAsia="Times New Roman" w:cs="Times New Roman"/>
                <w:spacing w:val="3"/>
                <w:position w:val="6"/>
                <w:sz w:val="13"/>
                <w:szCs w:val="13"/>
              </w:rPr>
              <w:t>2</w:t>
            </w:r>
            <w:r>
              <w:rPr>
                <w:spacing w:val="3"/>
                <w:sz w:val="20"/>
                <w:szCs w:val="20"/>
              </w:rPr>
              <w:t>。</w:t>
            </w:r>
          </w:p>
        </w:tc>
      </w:tr>
      <w:tr w14:paraId="20C21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trPr>
        <w:tc>
          <w:tcPr>
            <w:tcW w:w="466" w:type="dxa"/>
            <w:vMerge w:val="continue"/>
            <w:tcBorders>
              <w:top w:val="nil"/>
              <w:left w:val="single" w:color="000000" w:sz="6" w:space="0"/>
              <w:bottom w:val="nil"/>
            </w:tcBorders>
            <w:vAlign w:val="top"/>
          </w:tcPr>
          <w:p w14:paraId="4F639A7F">
            <w:pPr>
              <w:rPr>
                <w:rFonts w:ascii="Arial"/>
                <w:sz w:val="21"/>
              </w:rPr>
            </w:pPr>
          </w:p>
        </w:tc>
        <w:tc>
          <w:tcPr>
            <w:tcW w:w="708" w:type="dxa"/>
            <w:vMerge w:val="continue"/>
            <w:tcBorders>
              <w:top w:val="nil"/>
              <w:bottom w:val="nil"/>
            </w:tcBorders>
            <w:vAlign w:val="top"/>
          </w:tcPr>
          <w:p w14:paraId="0E4785BB">
            <w:pPr>
              <w:rPr>
                <w:rFonts w:ascii="Arial"/>
                <w:sz w:val="21"/>
              </w:rPr>
            </w:pPr>
          </w:p>
        </w:tc>
        <w:tc>
          <w:tcPr>
            <w:tcW w:w="1106" w:type="dxa"/>
            <w:vMerge w:val="continue"/>
            <w:tcBorders>
              <w:top w:val="nil"/>
            </w:tcBorders>
            <w:vAlign w:val="top"/>
          </w:tcPr>
          <w:p w14:paraId="79B6486F">
            <w:pPr>
              <w:rPr>
                <w:rFonts w:ascii="Arial"/>
                <w:sz w:val="21"/>
              </w:rPr>
            </w:pPr>
          </w:p>
        </w:tc>
        <w:tc>
          <w:tcPr>
            <w:tcW w:w="6635" w:type="dxa"/>
            <w:tcBorders>
              <w:right w:val="single" w:color="000000" w:sz="6" w:space="0"/>
            </w:tcBorders>
            <w:vAlign w:val="top"/>
          </w:tcPr>
          <w:p w14:paraId="58211689">
            <w:pPr>
              <w:pStyle w:val="6"/>
              <w:spacing w:before="32" w:line="238" w:lineRule="auto"/>
              <w:ind w:right="102" w:firstLine="1"/>
              <w:jc w:val="both"/>
              <w:rPr>
                <w:sz w:val="20"/>
                <w:szCs w:val="20"/>
              </w:rPr>
            </w:pPr>
            <w:r>
              <w:rPr>
                <w:spacing w:val="10"/>
                <w:sz w:val="20"/>
                <w:szCs w:val="20"/>
              </w:rPr>
              <w:t>井架基础：井口位于井场中部偏北，地面铺设井架基础，井架基础采用</w:t>
            </w:r>
            <w:r>
              <w:rPr>
                <w:spacing w:val="9"/>
                <w:sz w:val="20"/>
                <w:szCs w:val="20"/>
              </w:rPr>
              <w:t>钢结构活动基础，承载能力不小于</w:t>
            </w:r>
            <w:r>
              <w:rPr>
                <w:spacing w:val="-38"/>
                <w:sz w:val="20"/>
                <w:szCs w:val="20"/>
              </w:rPr>
              <w:t xml:space="preserve"> </w:t>
            </w:r>
            <w:r>
              <w:rPr>
                <w:rFonts w:ascii="Times New Roman" w:hAnsi="Times New Roman" w:eastAsia="Times New Roman" w:cs="Times New Roman"/>
                <w:spacing w:val="9"/>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9"/>
                <w:sz w:val="20"/>
                <w:szCs w:val="20"/>
              </w:rPr>
              <w:t>15</w:t>
            </w:r>
            <w:r>
              <w:rPr>
                <w:rFonts w:ascii="Times New Roman" w:hAnsi="Times New Roman" w:eastAsia="Times New Roman" w:cs="Times New Roman"/>
                <w:sz w:val="20"/>
                <w:szCs w:val="20"/>
              </w:rPr>
              <w:t>MPa</w:t>
            </w:r>
            <w:r>
              <w:rPr>
                <w:rFonts w:ascii="Times New Roman" w:hAnsi="Times New Roman" w:eastAsia="Times New Roman" w:cs="Times New Roman"/>
                <w:spacing w:val="-21"/>
                <w:sz w:val="20"/>
                <w:szCs w:val="20"/>
              </w:rPr>
              <w:t xml:space="preserve"> </w:t>
            </w:r>
            <w:r>
              <w:rPr>
                <w:spacing w:val="9"/>
                <w:sz w:val="20"/>
                <w:szCs w:val="20"/>
              </w:rPr>
              <w:t>，钻探结束后拉</w:t>
            </w:r>
            <w:r>
              <w:rPr>
                <w:spacing w:val="8"/>
                <w:sz w:val="20"/>
                <w:szCs w:val="20"/>
              </w:rPr>
              <w:t>运至其他井</w:t>
            </w:r>
            <w:r>
              <w:rPr>
                <w:spacing w:val="7"/>
                <w:sz w:val="20"/>
                <w:szCs w:val="20"/>
              </w:rPr>
              <w:t>场继续使用。</w:t>
            </w:r>
          </w:p>
        </w:tc>
      </w:tr>
      <w:tr w14:paraId="67E124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466" w:type="dxa"/>
            <w:vMerge w:val="continue"/>
            <w:tcBorders>
              <w:top w:val="nil"/>
              <w:left w:val="single" w:color="000000" w:sz="6" w:space="0"/>
              <w:bottom w:val="nil"/>
            </w:tcBorders>
            <w:vAlign w:val="top"/>
          </w:tcPr>
          <w:p w14:paraId="4A764CE3">
            <w:pPr>
              <w:rPr>
                <w:rFonts w:ascii="Arial"/>
                <w:sz w:val="21"/>
              </w:rPr>
            </w:pPr>
          </w:p>
        </w:tc>
        <w:tc>
          <w:tcPr>
            <w:tcW w:w="708" w:type="dxa"/>
            <w:vMerge w:val="continue"/>
            <w:tcBorders>
              <w:top w:val="nil"/>
              <w:bottom w:val="nil"/>
            </w:tcBorders>
            <w:vAlign w:val="top"/>
          </w:tcPr>
          <w:p w14:paraId="62CCF0B8">
            <w:pPr>
              <w:rPr>
                <w:rFonts w:ascii="Arial"/>
                <w:sz w:val="21"/>
              </w:rPr>
            </w:pPr>
          </w:p>
        </w:tc>
        <w:tc>
          <w:tcPr>
            <w:tcW w:w="1106" w:type="dxa"/>
            <w:vMerge w:val="restart"/>
            <w:tcBorders>
              <w:bottom w:val="nil"/>
            </w:tcBorders>
            <w:vAlign w:val="top"/>
          </w:tcPr>
          <w:p w14:paraId="7BD9BDC5">
            <w:pPr>
              <w:spacing w:line="258" w:lineRule="auto"/>
              <w:rPr>
                <w:rFonts w:ascii="Arial"/>
                <w:sz w:val="21"/>
              </w:rPr>
            </w:pPr>
          </w:p>
          <w:p w14:paraId="012F9E86">
            <w:pPr>
              <w:spacing w:line="258" w:lineRule="auto"/>
              <w:rPr>
                <w:rFonts w:ascii="Arial"/>
                <w:sz w:val="21"/>
              </w:rPr>
            </w:pPr>
          </w:p>
          <w:p w14:paraId="46602988">
            <w:pPr>
              <w:pStyle w:val="6"/>
              <w:spacing w:before="65" w:line="228" w:lineRule="auto"/>
              <w:ind w:left="134"/>
              <w:rPr>
                <w:sz w:val="20"/>
                <w:szCs w:val="20"/>
              </w:rPr>
            </w:pPr>
            <w:r>
              <w:rPr>
                <w:spacing w:val="7"/>
                <w:sz w:val="20"/>
                <w:szCs w:val="20"/>
              </w:rPr>
              <w:t>钻井工程</w:t>
            </w:r>
          </w:p>
        </w:tc>
        <w:tc>
          <w:tcPr>
            <w:tcW w:w="6635" w:type="dxa"/>
            <w:tcBorders>
              <w:right w:val="single" w:color="000000" w:sz="6" w:space="0"/>
            </w:tcBorders>
            <w:vAlign w:val="top"/>
          </w:tcPr>
          <w:p w14:paraId="0C1B0F35">
            <w:pPr>
              <w:pStyle w:val="6"/>
              <w:spacing w:before="34" w:line="210" w:lineRule="auto"/>
              <w:ind w:left="2"/>
              <w:rPr>
                <w:sz w:val="20"/>
                <w:szCs w:val="20"/>
              </w:rPr>
            </w:pPr>
            <w:r>
              <w:rPr>
                <w:spacing w:val="9"/>
                <w:sz w:val="20"/>
                <w:szCs w:val="20"/>
              </w:rPr>
              <w:t>钻井设备安装：</w:t>
            </w:r>
            <w:r>
              <w:rPr>
                <w:rFonts w:ascii="Times New Roman" w:hAnsi="Times New Roman" w:eastAsia="Times New Roman" w:cs="Times New Roman"/>
                <w:sz w:val="20"/>
                <w:szCs w:val="20"/>
              </w:rPr>
              <w:t>ZJ</w:t>
            </w:r>
            <w:r>
              <w:rPr>
                <w:rFonts w:ascii="Times New Roman" w:hAnsi="Times New Roman" w:eastAsia="Times New Roman" w:cs="Times New Roman"/>
                <w:spacing w:val="9"/>
                <w:sz w:val="20"/>
                <w:szCs w:val="20"/>
              </w:rPr>
              <w:t xml:space="preserve">70 </w:t>
            </w:r>
            <w:r>
              <w:rPr>
                <w:spacing w:val="9"/>
                <w:sz w:val="20"/>
                <w:szCs w:val="20"/>
              </w:rPr>
              <w:t>钻机，设备搬运、安装、</w:t>
            </w:r>
            <w:r>
              <w:rPr>
                <w:spacing w:val="8"/>
                <w:sz w:val="20"/>
                <w:szCs w:val="20"/>
              </w:rPr>
              <w:t>调试。</w:t>
            </w:r>
          </w:p>
        </w:tc>
      </w:tr>
      <w:tr w14:paraId="1ACF68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466" w:type="dxa"/>
            <w:vMerge w:val="continue"/>
            <w:tcBorders>
              <w:top w:val="nil"/>
              <w:left w:val="single" w:color="000000" w:sz="6" w:space="0"/>
              <w:bottom w:val="nil"/>
            </w:tcBorders>
            <w:vAlign w:val="top"/>
          </w:tcPr>
          <w:p w14:paraId="4A533BA8">
            <w:pPr>
              <w:rPr>
                <w:rFonts w:ascii="Arial"/>
                <w:sz w:val="21"/>
              </w:rPr>
            </w:pPr>
          </w:p>
        </w:tc>
        <w:tc>
          <w:tcPr>
            <w:tcW w:w="708" w:type="dxa"/>
            <w:vMerge w:val="continue"/>
            <w:tcBorders>
              <w:top w:val="nil"/>
              <w:bottom w:val="nil"/>
            </w:tcBorders>
            <w:vAlign w:val="top"/>
          </w:tcPr>
          <w:p w14:paraId="251D9D12">
            <w:pPr>
              <w:rPr>
                <w:rFonts w:ascii="Arial"/>
                <w:sz w:val="21"/>
              </w:rPr>
            </w:pPr>
          </w:p>
        </w:tc>
        <w:tc>
          <w:tcPr>
            <w:tcW w:w="1106" w:type="dxa"/>
            <w:vMerge w:val="continue"/>
            <w:tcBorders>
              <w:top w:val="nil"/>
              <w:bottom w:val="nil"/>
            </w:tcBorders>
            <w:vAlign w:val="top"/>
          </w:tcPr>
          <w:p w14:paraId="7824264E">
            <w:pPr>
              <w:rPr>
                <w:rFonts w:ascii="Arial"/>
                <w:sz w:val="21"/>
              </w:rPr>
            </w:pPr>
          </w:p>
        </w:tc>
        <w:tc>
          <w:tcPr>
            <w:tcW w:w="6635" w:type="dxa"/>
            <w:tcBorders>
              <w:right w:val="single" w:color="000000" w:sz="6" w:space="0"/>
            </w:tcBorders>
            <w:vAlign w:val="top"/>
          </w:tcPr>
          <w:p w14:paraId="574EBD36">
            <w:pPr>
              <w:pStyle w:val="6"/>
              <w:spacing w:before="33" w:line="231" w:lineRule="auto"/>
              <w:ind w:left="6" w:right="174" w:hanging="1"/>
              <w:rPr>
                <w:sz w:val="20"/>
                <w:szCs w:val="20"/>
              </w:rPr>
            </w:pPr>
            <w:r>
              <w:rPr>
                <w:spacing w:val="7"/>
                <w:sz w:val="20"/>
                <w:szCs w:val="20"/>
              </w:rPr>
              <w:t>扎格</w:t>
            </w:r>
            <w:r>
              <w:rPr>
                <w:spacing w:val="-32"/>
                <w:sz w:val="20"/>
                <w:szCs w:val="20"/>
              </w:rPr>
              <w:t xml:space="preserve"> </w:t>
            </w:r>
            <w:r>
              <w:rPr>
                <w:rFonts w:ascii="Times New Roman" w:hAnsi="Times New Roman" w:eastAsia="Times New Roman" w:cs="Times New Roman"/>
                <w:spacing w:val="7"/>
                <w:sz w:val="20"/>
                <w:szCs w:val="20"/>
              </w:rPr>
              <w:t xml:space="preserve">9X </w:t>
            </w:r>
            <w:r>
              <w:rPr>
                <w:spacing w:val="7"/>
                <w:sz w:val="20"/>
                <w:szCs w:val="20"/>
              </w:rPr>
              <w:t>井设计井深</w:t>
            </w:r>
            <w:r>
              <w:rPr>
                <w:spacing w:val="-38"/>
                <w:sz w:val="20"/>
                <w:szCs w:val="20"/>
              </w:rPr>
              <w:t xml:space="preserve"> </w:t>
            </w:r>
            <w:r>
              <w:rPr>
                <w:rFonts w:ascii="Times New Roman" w:hAnsi="Times New Roman" w:eastAsia="Times New Roman" w:cs="Times New Roman"/>
                <w:spacing w:val="7"/>
                <w:sz w:val="20"/>
                <w:szCs w:val="20"/>
              </w:rPr>
              <w:t>6700m</w:t>
            </w:r>
            <w:r>
              <w:rPr>
                <w:rFonts w:ascii="Times New Roman" w:hAnsi="Times New Roman" w:eastAsia="Times New Roman" w:cs="Times New Roman"/>
                <w:spacing w:val="-24"/>
                <w:sz w:val="20"/>
                <w:szCs w:val="20"/>
              </w:rPr>
              <w:t xml:space="preserve"> </w:t>
            </w:r>
            <w:r>
              <w:rPr>
                <w:spacing w:val="7"/>
                <w:sz w:val="20"/>
                <w:szCs w:val="20"/>
              </w:rPr>
              <w:t>，使用水基泥浆，现场设置泥浆不落地循环</w:t>
            </w:r>
            <w:r>
              <w:rPr>
                <w:spacing w:val="9"/>
                <w:sz w:val="20"/>
                <w:szCs w:val="20"/>
              </w:rPr>
              <w:t>系统装置，采用钻井泥浆循环罐，不设置泥</w:t>
            </w:r>
            <w:r>
              <w:rPr>
                <w:spacing w:val="8"/>
                <w:sz w:val="20"/>
                <w:szCs w:val="20"/>
              </w:rPr>
              <w:t>浆池。</w:t>
            </w:r>
          </w:p>
        </w:tc>
      </w:tr>
      <w:tr w14:paraId="62AEB8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466" w:type="dxa"/>
            <w:vMerge w:val="continue"/>
            <w:tcBorders>
              <w:top w:val="nil"/>
              <w:left w:val="single" w:color="000000" w:sz="6" w:space="0"/>
              <w:bottom w:val="nil"/>
            </w:tcBorders>
            <w:vAlign w:val="top"/>
          </w:tcPr>
          <w:p w14:paraId="0863D855">
            <w:pPr>
              <w:rPr>
                <w:rFonts w:ascii="Arial"/>
                <w:sz w:val="21"/>
              </w:rPr>
            </w:pPr>
          </w:p>
        </w:tc>
        <w:tc>
          <w:tcPr>
            <w:tcW w:w="708" w:type="dxa"/>
            <w:vMerge w:val="continue"/>
            <w:tcBorders>
              <w:top w:val="nil"/>
              <w:bottom w:val="nil"/>
            </w:tcBorders>
            <w:vAlign w:val="top"/>
          </w:tcPr>
          <w:p w14:paraId="5C4E917B">
            <w:pPr>
              <w:rPr>
                <w:rFonts w:ascii="Arial"/>
                <w:sz w:val="21"/>
              </w:rPr>
            </w:pPr>
          </w:p>
        </w:tc>
        <w:tc>
          <w:tcPr>
            <w:tcW w:w="1106" w:type="dxa"/>
            <w:vMerge w:val="continue"/>
            <w:tcBorders>
              <w:top w:val="nil"/>
              <w:bottom w:val="nil"/>
            </w:tcBorders>
            <w:vAlign w:val="top"/>
          </w:tcPr>
          <w:p w14:paraId="0CA67A51">
            <w:pPr>
              <w:rPr>
                <w:rFonts w:ascii="Arial"/>
                <w:sz w:val="21"/>
              </w:rPr>
            </w:pPr>
          </w:p>
        </w:tc>
        <w:tc>
          <w:tcPr>
            <w:tcW w:w="6635" w:type="dxa"/>
            <w:tcBorders>
              <w:right w:val="single" w:color="000000" w:sz="6" w:space="0"/>
            </w:tcBorders>
            <w:vAlign w:val="top"/>
          </w:tcPr>
          <w:p w14:paraId="64DB1560">
            <w:pPr>
              <w:pStyle w:val="6"/>
              <w:spacing w:before="34" w:line="210" w:lineRule="auto"/>
              <w:ind w:left="20"/>
              <w:rPr>
                <w:sz w:val="20"/>
                <w:szCs w:val="20"/>
              </w:rPr>
            </w:pPr>
            <w:r>
              <w:rPr>
                <w:spacing w:val="8"/>
                <w:sz w:val="20"/>
                <w:szCs w:val="20"/>
              </w:rPr>
              <w:t>固井工程全井段实施套管保护</w:t>
            </w:r>
            <w:r>
              <w:rPr>
                <w:rFonts w:ascii="Times New Roman" w:hAnsi="Times New Roman" w:eastAsia="Times New Roman" w:cs="Times New Roman"/>
                <w:spacing w:val="8"/>
                <w:sz w:val="20"/>
                <w:szCs w:val="20"/>
              </w:rPr>
              <w:t>+</w:t>
            </w:r>
            <w:r>
              <w:rPr>
                <w:spacing w:val="8"/>
                <w:sz w:val="20"/>
                <w:szCs w:val="20"/>
              </w:rPr>
              <w:t>水泥固井</w:t>
            </w:r>
            <w:r>
              <w:rPr>
                <w:rFonts w:ascii="Times New Roman" w:hAnsi="Times New Roman" w:eastAsia="Times New Roman" w:cs="Times New Roman"/>
                <w:spacing w:val="8"/>
                <w:sz w:val="20"/>
                <w:szCs w:val="20"/>
              </w:rPr>
              <w:t>+</w:t>
            </w:r>
            <w:r>
              <w:rPr>
                <w:spacing w:val="8"/>
                <w:sz w:val="20"/>
                <w:szCs w:val="20"/>
              </w:rPr>
              <w:t>测井工作。</w:t>
            </w:r>
          </w:p>
        </w:tc>
      </w:tr>
      <w:tr w14:paraId="1A8D5B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466" w:type="dxa"/>
            <w:vMerge w:val="continue"/>
            <w:tcBorders>
              <w:top w:val="nil"/>
              <w:left w:val="single" w:color="000000" w:sz="6" w:space="0"/>
              <w:bottom w:val="nil"/>
            </w:tcBorders>
            <w:vAlign w:val="top"/>
          </w:tcPr>
          <w:p w14:paraId="5115CD19">
            <w:pPr>
              <w:rPr>
                <w:rFonts w:ascii="Arial"/>
                <w:sz w:val="21"/>
              </w:rPr>
            </w:pPr>
          </w:p>
        </w:tc>
        <w:tc>
          <w:tcPr>
            <w:tcW w:w="708" w:type="dxa"/>
            <w:vMerge w:val="continue"/>
            <w:tcBorders>
              <w:top w:val="nil"/>
              <w:bottom w:val="nil"/>
            </w:tcBorders>
            <w:vAlign w:val="top"/>
          </w:tcPr>
          <w:p w14:paraId="649E8D99">
            <w:pPr>
              <w:rPr>
                <w:rFonts w:ascii="Arial"/>
                <w:sz w:val="21"/>
              </w:rPr>
            </w:pPr>
          </w:p>
        </w:tc>
        <w:tc>
          <w:tcPr>
            <w:tcW w:w="1106" w:type="dxa"/>
            <w:vMerge w:val="continue"/>
            <w:tcBorders>
              <w:top w:val="nil"/>
            </w:tcBorders>
            <w:vAlign w:val="top"/>
          </w:tcPr>
          <w:p w14:paraId="22C1A27A">
            <w:pPr>
              <w:rPr>
                <w:rFonts w:ascii="Arial"/>
                <w:sz w:val="21"/>
              </w:rPr>
            </w:pPr>
          </w:p>
        </w:tc>
        <w:tc>
          <w:tcPr>
            <w:tcW w:w="6635" w:type="dxa"/>
            <w:tcBorders>
              <w:right w:val="single" w:color="000000" w:sz="6" w:space="0"/>
            </w:tcBorders>
            <w:vAlign w:val="top"/>
          </w:tcPr>
          <w:p w14:paraId="6A1D39DB">
            <w:pPr>
              <w:pStyle w:val="6"/>
              <w:spacing w:before="35" w:line="210" w:lineRule="auto"/>
              <w:ind w:left="2"/>
              <w:rPr>
                <w:sz w:val="20"/>
                <w:szCs w:val="20"/>
              </w:rPr>
            </w:pPr>
            <w:r>
              <w:rPr>
                <w:spacing w:val="9"/>
                <w:sz w:val="20"/>
                <w:szCs w:val="20"/>
              </w:rPr>
              <w:t>井控装置：液压泵站、节流压井管汇和井口防喷器设备。</w:t>
            </w:r>
          </w:p>
        </w:tc>
      </w:tr>
      <w:tr w14:paraId="5F4F27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466" w:type="dxa"/>
            <w:vMerge w:val="continue"/>
            <w:tcBorders>
              <w:top w:val="nil"/>
              <w:left w:val="single" w:color="000000" w:sz="6" w:space="0"/>
              <w:bottom w:val="nil"/>
            </w:tcBorders>
            <w:vAlign w:val="top"/>
          </w:tcPr>
          <w:p w14:paraId="607117CA">
            <w:pPr>
              <w:rPr>
                <w:rFonts w:ascii="Arial"/>
                <w:sz w:val="21"/>
              </w:rPr>
            </w:pPr>
          </w:p>
        </w:tc>
        <w:tc>
          <w:tcPr>
            <w:tcW w:w="708" w:type="dxa"/>
            <w:vMerge w:val="continue"/>
            <w:tcBorders>
              <w:top w:val="nil"/>
              <w:bottom w:val="nil"/>
            </w:tcBorders>
            <w:vAlign w:val="top"/>
          </w:tcPr>
          <w:p w14:paraId="294B2D9F">
            <w:pPr>
              <w:rPr>
                <w:rFonts w:ascii="Arial"/>
                <w:sz w:val="21"/>
              </w:rPr>
            </w:pPr>
          </w:p>
        </w:tc>
        <w:tc>
          <w:tcPr>
            <w:tcW w:w="1106" w:type="dxa"/>
            <w:vMerge w:val="restart"/>
            <w:tcBorders>
              <w:bottom w:val="nil"/>
            </w:tcBorders>
            <w:vAlign w:val="top"/>
          </w:tcPr>
          <w:p w14:paraId="502B6955">
            <w:pPr>
              <w:spacing w:line="306" w:lineRule="auto"/>
              <w:rPr>
                <w:rFonts w:ascii="Arial"/>
                <w:sz w:val="21"/>
              </w:rPr>
            </w:pPr>
          </w:p>
          <w:p w14:paraId="5B4BD3CC">
            <w:pPr>
              <w:spacing w:line="307" w:lineRule="auto"/>
              <w:rPr>
                <w:rFonts w:ascii="Arial"/>
                <w:sz w:val="21"/>
              </w:rPr>
            </w:pPr>
          </w:p>
          <w:p w14:paraId="4A817036">
            <w:pPr>
              <w:spacing w:line="307" w:lineRule="auto"/>
              <w:rPr>
                <w:rFonts w:ascii="Arial"/>
                <w:sz w:val="21"/>
              </w:rPr>
            </w:pPr>
          </w:p>
          <w:p w14:paraId="00451DB2">
            <w:pPr>
              <w:pStyle w:val="6"/>
              <w:spacing w:before="65" w:line="228" w:lineRule="auto"/>
              <w:ind w:left="134"/>
              <w:rPr>
                <w:sz w:val="20"/>
                <w:szCs w:val="20"/>
              </w:rPr>
            </w:pPr>
            <w:r>
              <w:rPr>
                <w:spacing w:val="7"/>
                <w:sz w:val="20"/>
                <w:szCs w:val="20"/>
              </w:rPr>
              <w:t>试油工程</w:t>
            </w:r>
          </w:p>
        </w:tc>
        <w:tc>
          <w:tcPr>
            <w:tcW w:w="6635" w:type="dxa"/>
            <w:tcBorders>
              <w:right w:val="single" w:color="000000" w:sz="6" w:space="0"/>
            </w:tcBorders>
            <w:vAlign w:val="top"/>
          </w:tcPr>
          <w:p w14:paraId="055D214B">
            <w:pPr>
              <w:pStyle w:val="6"/>
              <w:spacing w:before="32" w:line="231" w:lineRule="auto"/>
              <w:ind w:left="4" w:right="104" w:hanging="3"/>
              <w:rPr>
                <w:sz w:val="20"/>
                <w:szCs w:val="20"/>
              </w:rPr>
            </w:pPr>
            <w:r>
              <w:rPr>
                <w:spacing w:val="9"/>
                <w:sz w:val="20"/>
                <w:szCs w:val="20"/>
              </w:rPr>
              <w:t>采用抽油机进行试油，试油阶段井场设置储液罐</w:t>
            </w:r>
            <w:r>
              <w:rPr>
                <w:spacing w:val="-37"/>
                <w:sz w:val="20"/>
                <w:szCs w:val="20"/>
              </w:rPr>
              <w:t xml:space="preserve"> </w:t>
            </w:r>
            <w:r>
              <w:rPr>
                <w:rFonts w:ascii="Times New Roman" w:hAnsi="Times New Roman" w:eastAsia="Times New Roman" w:cs="Times New Roman"/>
                <w:spacing w:val="9"/>
                <w:sz w:val="20"/>
                <w:szCs w:val="20"/>
              </w:rPr>
              <w:t xml:space="preserve">2 </w:t>
            </w:r>
            <w:r>
              <w:rPr>
                <w:spacing w:val="9"/>
                <w:sz w:val="20"/>
                <w:szCs w:val="20"/>
              </w:rPr>
              <w:t>个（一用一备</w:t>
            </w:r>
            <w:r>
              <w:rPr>
                <w:spacing w:val="17"/>
                <w:sz w:val="20"/>
                <w:szCs w:val="20"/>
              </w:rPr>
              <w:t>），</w:t>
            </w:r>
            <w:r>
              <w:rPr>
                <w:spacing w:val="9"/>
                <w:sz w:val="20"/>
                <w:szCs w:val="20"/>
              </w:rPr>
              <w:t>均</w:t>
            </w:r>
            <w:r>
              <w:rPr>
                <w:spacing w:val="7"/>
                <w:sz w:val="20"/>
                <w:szCs w:val="20"/>
              </w:rPr>
              <w:t>为高架卧式固定罐，容积</w:t>
            </w:r>
            <w:r>
              <w:rPr>
                <w:spacing w:val="-36"/>
                <w:sz w:val="20"/>
                <w:szCs w:val="20"/>
              </w:rPr>
              <w:t xml:space="preserve"> </w:t>
            </w:r>
            <w:r>
              <w:rPr>
                <w:rFonts w:ascii="Times New Roman" w:hAnsi="Times New Roman" w:eastAsia="Times New Roman" w:cs="Times New Roman"/>
                <w:spacing w:val="7"/>
                <w:sz w:val="20"/>
                <w:szCs w:val="20"/>
              </w:rPr>
              <w:t>40m</w:t>
            </w:r>
            <w:r>
              <w:rPr>
                <w:rFonts w:ascii="Times New Roman" w:hAnsi="Times New Roman" w:eastAsia="Times New Roman" w:cs="Times New Roman"/>
                <w:spacing w:val="7"/>
                <w:position w:val="6"/>
                <w:sz w:val="13"/>
                <w:szCs w:val="13"/>
              </w:rPr>
              <w:t>3</w:t>
            </w:r>
            <w:r>
              <w:rPr>
                <w:rFonts w:ascii="Times New Roman" w:hAnsi="Times New Roman" w:eastAsia="Times New Roman" w:cs="Times New Roman"/>
                <w:spacing w:val="7"/>
                <w:sz w:val="20"/>
                <w:szCs w:val="20"/>
              </w:rPr>
              <w:t>/</w:t>
            </w:r>
            <w:r>
              <w:rPr>
                <w:spacing w:val="7"/>
                <w:sz w:val="20"/>
                <w:szCs w:val="20"/>
              </w:rPr>
              <w:t>个，储液罐区约</w:t>
            </w:r>
            <w:r>
              <w:rPr>
                <w:spacing w:val="-40"/>
                <w:sz w:val="20"/>
                <w:szCs w:val="20"/>
              </w:rPr>
              <w:t xml:space="preserve"> </w:t>
            </w:r>
            <w:r>
              <w:rPr>
                <w:rFonts w:ascii="Times New Roman" w:hAnsi="Times New Roman" w:eastAsia="Times New Roman" w:cs="Times New Roman"/>
                <w:spacing w:val="7"/>
                <w:sz w:val="20"/>
                <w:szCs w:val="20"/>
              </w:rPr>
              <w:t>7m×9m</w:t>
            </w:r>
            <w:r>
              <w:rPr>
                <w:spacing w:val="7"/>
                <w:sz w:val="20"/>
                <w:szCs w:val="20"/>
              </w:rPr>
              <w:t>。</w:t>
            </w:r>
          </w:p>
        </w:tc>
      </w:tr>
      <w:tr w14:paraId="1CF9F5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trPr>
        <w:tc>
          <w:tcPr>
            <w:tcW w:w="466" w:type="dxa"/>
            <w:vMerge w:val="continue"/>
            <w:tcBorders>
              <w:top w:val="nil"/>
              <w:left w:val="single" w:color="000000" w:sz="6" w:space="0"/>
              <w:bottom w:val="nil"/>
            </w:tcBorders>
            <w:vAlign w:val="top"/>
          </w:tcPr>
          <w:p w14:paraId="37A13A14">
            <w:pPr>
              <w:rPr>
                <w:rFonts w:ascii="Arial"/>
                <w:sz w:val="21"/>
              </w:rPr>
            </w:pPr>
          </w:p>
        </w:tc>
        <w:tc>
          <w:tcPr>
            <w:tcW w:w="708" w:type="dxa"/>
            <w:vMerge w:val="continue"/>
            <w:tcBorders>
              <w:top w:val="nil"/>
              <w:bottom w:val="nil"/>
            </w:tcBorders>
            <w:vAlign w:val="top"/>
          </w:tcPr>
          <w:p w14:paraId="743FECBE">
            <w:pPr>
              <w:rPr>
                <w:rFonts w:ascii="Arial"/>
                <w:sz w:val="21"/>
              </w:rPr>
            </w:pPr>
          </w:p>
        </w:tc>
        <w:tc>
          <w:tcPr>
            <w:tcW w:w="1106" w:type="dxa"/>
            <w:vMerge w:val="continue"/>
            <w:tcBorders>
              <w:top w:val="nil"/>
              <w:bottom w:val="nil"/>
            </w:tcBorders>
            <w:vAlign w:val="top"/>
          </w:tcPr>
          <w:p w14:paraId="27D52900">
            <w:pPr>
              <w:rPr>
                <w:rFonts w:ascii="Arial"/>
                <w:sz w:val="21"/>
              </w:rPr>
            </w:pPr>
          </w:p>
        </w:tc>
        <w:tc>
          <w:tcPr>
            <w:tcW w:w="6635" w:type="dxa"/>
            <w:tcBorders>
              <w:right w:val="single" w:color="000000" w:sz="6" w:space="0"/>
            </w:tcBorders>
            <w:vAlign w:val="top"/>
          </w:tcPr>
          <w:p w14:paraId="08BF437D">
            <w:pPr>
              <w:pStyle w:val="6"/>
              <w:spacing w:before="35" w:line="237" w:lineRule="auto"/>
              <w:ind w:left="1" w:right="50"/>
              <w:jc w:val="both"/>
              <w:rPr>
                <w:sz w:val="20"/>
                <w:szCs w:val="20"/>
              </w:rPr>
            </w:pPr>
            <w:r>
              <w:rPr>
                <w:spacing w:val="6"/>
                <w:sz w:val="20"/>
                <w:szCs w:val="20"/>
              </w:rPr>
              <w:t>井口与储液罐之间输油管线长约</w:t>
            </w:r>
            <w:r>
              <w:rPr>
                <w:spacing w:val="-23"/>
                <w:sz w:val="20"/>
                <w:szCs w:val="20"/>
              </w:rPr>
              <w:t xml:space="preserve"> </w:t>
            </w:r>
            <w:r>
              <w:rPr>
                <w:rFonts w:ascii="Times New Roman" w:hAnsi="Times New Roman" w:eastAsia="Times New Roman" w:cs="Times New Roman"/>
                <w:spacing w:val="6"/>
                <w:sz w:val="20"/>
                <w:szCs w:val="20"/>
              </w:rPr>
              <w:t>30~50m</w:t>
            </w:r>
            <w:r>
              <w:rPr>
                <w:rFonts w:ascii="Times New Roman" w:hAnsi="Times New Roman" w:eastAsia="Times New Roman" w:cs="Times New Roman"/>
                <w:spacing w:val="-24"/>
                <w:sz w:val="20"/>
                <w:szCs w:val="20"/>
              </w:rPr>
              <w:t xml:space="preserve"> </w:t>
            </w:r>
            <w:r>
              <w:rPr>
                <w:spacing w:val="6"/>
                <w:sz w:val="20"/>
                <w:szCs w:val="20"/>
              </w:rPr>
              <w:t>，井口与储液罐均设置切断阀，</w:t>
            </w:r>
            <w:r>
              <w:rPr>
                <w:spacing w:val="1"/>
                <w:sz w:val="20"/>
                <w:szCs w:val="20"/>
              </w:rPr>
              <w:t>输油管线采用架空敷设，距离地面约</w:t>
            </w:r>
            <w:r>
              <w:rPr>
                <w:spacing w:val="-5"/>
                <w:sz w:val="20"/>
                <w:szCs w:val="20"/>
              </w:rPr>
              <w:t xml:space="preserve"> </w:t>
            </w:r>
            <w:r>
              <w:rPr>
                <w:rFonts w:ascii="Times New Roman" w:hAnsi="Times New Roman" w:eastAsia="Times New Roman" w:cs="Times New Roman"/>
                <w:spacing w:val="1"/>
                <w:sz w:val="20"/>
                <w:szCs w:val="20"/>
              </w:rPr>
              <w:t>10</w:t>
            </w:r>
            <w:r>
              <w:rPr>
                <w:rFonts w:ascii="Times New Roman" w:hAnsi="Times New Roman" w:eastAsia="Times New Roman" w:cs="Times New Roman"/>
                <w:sz w:val="20"/>
                <w:szCs w:val="20"/>
              </w:rPr>
              <w:t>cm</w:t>
            </w:r>
            <w:r>
              <w:rPr>
                <w:spacing w:val="1"/>
                <w:sz w:val="20"/>
                <w:szCs w:val="20"/>
              </w:rPr>
              <w:t>，输油管线下方铺设有防渗膜，</w:t>
            </w:r>
            <w:r>
              <w:rPr>
                <w:spacing w:val="7"/>
                <w:sz w:val="20"/>
                <w:szCs w:val="20"/>
              </w:rPr>
              <w:t>若管线漏油可收集。</w:t>
            </w:r>
          </w:p>
        </w:tc>
      </w:tr>
      <w:tr w14:paraId="10294F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7" w:hRule="atLeast"/>
        </w:trPr>
        <w:tc>
          <w:tcPr>
            <w:tcW w:w="466" w:type="dxa"/>
            <w:vMerge w:val="continue"/>
            <w:tcBorders>
              <w:top w:val="nil"/>
              <w:left w:val="single" w:color="000000" w:sz="6" w:space="0"/>
              <w:bottom w:val="nil"/>
            </w:tcBorders>
            <w:vAlign w:val="top"/>
          </w:tcPr>
          <w:p w14:paraId="10F01D95">
            <w:pPr>
              <w:rPr>
                <w:rFonts w:ascii="Arial"/>
                <w:sz w:val="21"/>
              </w:rPr>
            </w:pPr>
          </w:p>
        </w:tc>
        <w:tc>
          <w:tcPr>
            <w:tcW w:w="708" w:type="dxa"/>
            <w:vMerge w:val="continue"/>
            <w:tcBorders>
              <w:top w:val="nil"/>
              <w:bottom w:val="nil"/>
            </w:tcBorders>
            <w:vAlign w:val="top"/>
          </w:tcPr>
          <w:p w14:paraId="62FD53A2">
            <w:pPr>
              <w:rPr>
                <w:rFonts w:ascii="Arial"/>
                <w:sz w:val="21"/>
              </w:rPr>
            </w:pPr>
          </w:p>
        </w:tc>
        <w:tc>
          <w:tcPr>
            <w:tcW w:w="1106" w:type="dxa"/>
            <w:vMerge w:val="continue"/>
            <w:tcBorders>
              <w:top w:val="nil"/>
            </w:tcBorders>
            <w:vAlign w:val="top"/>
          </w:tcPr>
          <w:p w14:paraId="6562FE33">
            <w:pPr>
              <w:rPr>
                <w:rFonts w:ascii="Arial"/>
                <w:sz w:val="21"/>
              </w:rPr>
            </w:pPr>
          </w:p>
        </w:tc>
        <w:tc>
          <w:tcPr>
            <w:tcW w:w="6635" w:type="dxa"/>
            <w:tcBorders>
              <w:right w:val="single" w:color="000000" w:sz="6" w:space="0"/>
            </w:tcBorders>
            <w:vAlign w:val="top"/>
          </w:tcPr>
          <w:p w14:paraId="255C0928">
            <w:pPr>
              <w:pStyle w:val="6"/>
              <w:spacing w:before="36" w:line="237" w:lineRule="auto"/>
              <w:ind w:left="2" w:right="102"/>
              <w:jc w:val="both"/>
              <w:rPr>
                <w:sz w:val="20"/>
                <w:szCs w:val="20"/>
              </w:rPr>
            </w:pPr>
            <w:r>
              <w:rPr>
                <w:spacing w:val="10"/>
                <w:sz w:val="20"/>
                <w:szCs w:val="20"/>
              </w:rPr>
              <w:t>试油过程中采出液在储液罐内暂存，定期拉运</w:t>
            </w:r>
            <w:r>
              <w:rPr>
                <w:spacing w:val="9"/>
                <w:sz w:val="20"/>
                <w:szCs w:val="20"/>
              </w:rPr>
              <w:t>至临河联合站进行进一步</w:t>
            </w:r>
            <w:r>
              <w:rPr>
                <w:spacing w:val="7"/>
                <w:sz w:val="20"/>
                <w:szCs w:val="20"/>
              </w:rPr>
              <w:t>处理。若采出液中存在伴生气则经管道输送至井口</w:t>
            </w:r>
            <w:r>
              <w:rPr>
                <w:spacing w:val="-27"/>
                <w:sz w:val="20"/>
                <w:szCs w:val="20"/>
              </w:rPr>
              <w:t xml:space="preserve"> </w:t>
            </w:r>
            <w:r>
              <w:rPr>
                <w:rFonts w:ascii="Times New Roman" w:hAnsi="Times New Roman" w:eastAsia="Times New Roman" w:cs="Times New Roman"/>
                <w:spacing w:val="7"/>
                <w:sz w:val="20"/>
                <w:szCs w:val="20"/>
              </w:rPr>
              <w:t>50m</w:t>
            </w:r>
            <w:r>
              <w:rPr>
                <w:rFonts w:ascii="Times New Roman" w:hAnsi="Times New Roman" w:eastAsia="Times New Roman" w:cs="Times New Roman"/>
                <w:spacing w:val="16"/>
                <w:sz w:val="20"/>
                <w:szCs w:val="20"/>
              </w:rPr>
              <w:t xml:space="preserve"> </w:t>
            </w:r>
            <w:r>
              <w:rPr>
                <w:spacing w:val="7"/>
                <w:sz w:val="20"/>
                <w:szCs w:val="20"/>
              </w:rPr>
              <w:t>外的火炬燃烧后</w:t>
            </w:r>
            <w:r>
              <w:rPr>
                <w:spacing w:val="3"/>
                <w:sz w:val="20"/>
                <w:szCs w:val="20"/>
              </w:rPr>
              <w:t>排放。</w:t>
            </w:r>
          </w:p>
        </w:tc>
      </w:tr>
      <w:tr w14:paraId="335071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2" w:hRule="atLeast"/>
        </w:trPr>
        <w:tc>
          <w:tcPr>
            <w:tcW w:w="466" w:type="dxa"/>
            <w:vMerge w:val="continue"/>
            <w:tcBorders>
              <w:top w:val="nil"/>
              <w:left w:val="single" w:color="000000" w:sz="6" w:space="0"/>
              <w:bottom w:val="nil"/>
            </w:tcBorders>
            <w:vAlign w:val="top"/>
          </w:tcPr>
          <w:p w14:paraId="6E7FA5B0">
            <w:pPr>
              <w:rPr>
                <w:rFonts w:ascii="Arial"/>
                <w:sz w:val="21"/>
              </w:rPr>
            </w:pPr>
          </w:p>
        </w:tc>
        <w:tc>
          <w:tcPr>
            <w:tcW w:w="708" w:type="dxa"/>
            <w:vMerge w:val="continue"/>
            <w:tcBorders>
              <w:top w:val="nil"/>
              <w:bottom w:val="nil"/>
            </w:tcBorders>
            <w:vAlign w:val="top"/>
          </w:tcPr>
          <w:p w14:paraId="13FF5718">
            <w:pPr>
              <w:rPr>
                <w:rFonts w:ascii="Arial"/>
                <w:sz w:val="21"/>
              </w:rPr>
            </w:pPr>
          </w:p>
        </w:tc>
        <w:tc>
          <w:tcPr>
            <w:tcW w:w="1106" w:type="dxa"/>
            <w:vMerge w:val="restart"/>
            <w:tcBorders>
              <w:bottom w:val="nil"/>
            </w:tcBorders>
            <w:vAlign w:val="top"/>
          </w:tcPr>
          <w:p w14:paraId="2805166C">
            <w:pPr>
              <w:spacing w:line="271" w:lineRule="auto"/>
              <w:rPr>
                <w:rFonts w:ascii="Arial"/>
                <w:sz w:val="21"/>
              </w:rPr>
            </w:pPr>
          </w:p>
          <w:p w14:paraId="7DA26FF6">
            <w:pPr>
              <w:spacing w:line="271" w:lineRule="auto"/>
              <w:rPr>
                <w:rFonts w:ascii="Arial"/>
                <w:sz w:val="21"/>
              </w:rPr>
            </w:pPr>
          </w:p>
          <w:p w14:paraId="3F71BCAF">
            <w:pPr>
              <w:spacing w:line="271" w:lineRule="auto"/>
              <w:rPr>
                <w:rFonts w:ascii="Arial"/>
                <w:sz w:val="21"/>
              </w:rPr>
            </w:pPr>
          </w:p>
          <w:p w14:paraId="7E22760F">
            <w:pPr>
              <w:spacing w:line="272" w:lineRule="auto"/>
              <w:rPr>
                <w:rFonts w:ascii="Arial"/>
                <w:sz w:val="21"/>
              </w:rPr>
            </w:pPr>
          </w:p>
          <w:p w14:paraId="778D1223">
            <w:pPr>
              <w:pStyle w:val="6"/>
              <w:spacing w:before="65" w:line="228" w:lineRule="auto"/>
              <w:ind w:left="133"/>
              <w:rPr>
                <w:sz w:val="20"/>
                <w:szCs w:val="20"/>
              </w:rPr>
            </w:pPr>
            <w:r>
              <w:rPr>
                <w:spacing w:val="7"/>
                <w:sz w:val="20"/>
                <w:szCs w:val="20"/>
              </w:rPr>
              <w:t>封井作业</w:t>
            </w:r>
          </w:p>
        </w:tc>
        <w:tc>
          <w:tcPr>
            <w:tcW w:w="6635" w:type="dxa"/>
            <w:tcBorders>
              <w:right w:val="single" w:color="000000" w:sz="6" w:space="0"/>
            </w:tcBorders>
            <w:vAlign w:val="top"/>
          </w:tcPr>
          <w:p w14:paraId="501B392C">
            <w:pPr>
              <w:pStyle w:val="6"/>
              <w:spacing w:before="63" w:line="249" w:lineRule="auto"/>
              <w:ind w:left="1" w:right="34" w:firstLine="2"/>
              <w:jc w:val="both"/>
              <w:rPr>
                <w:sz w:val="20"/>
                <w:szCs w:val="20"/>
              </w:rPr>
            </w:pPr>
            <w:r>
              <w:rPr>
                <w:spacing w:val="9"/>
                <w:sz w:val="20"/>
                <w:szCs w:val="20"/>
              </w:rPr>
              <w:t>完井后若有利用价值则采用临时封井，使用水泥封固井眼，封井井口套</w:t>
            </w:r>
            <w:r>
              <w:rPr>
                <w:spacing w:val="10"/>
                <w:sz w:val="20"/>
                <w:szCs w:val="20"/>
              </w:rPr>
              <w:t>管头上安装丝扣法兰，其工作压力大于地层压力</w:t>
            </w:r>
            <w:r>
              <w:rPr>
                <w:spacing w:val="9"/>
                <w:sz w:val="20"/>
                <w:szCs w:val="20"/>
              </w:rPr>
              <w:t>，并在丝扣法兰上标注</w:t>
            </w:r>
            <w:r>
              <w:rPr>
                <w:spacing w:val="10"/>
                <w:sz w:val="20"/>
                <w:szCs w:val="20"/>
              </w:rPr>
              <w:t>井号，并设置醒目的警示标志，移交勘探井所属</w:t>
            </w:r>
            <w:r>
              <w:rPr>
                <w:spacing w:val="9"/>
                <w:sz w:val="20"/>
                <w:szCs w:val="20"/>
              </w:rPr>
              <w:t>相关部门管理，定期对</w:t>
            </w:r>
            <w:r>
              <w:rPr>
                <w:spacing w:val="6"/>
                <w:sz w:val="20"/>
                <w:szCs w:val="20"/>
              </w:rPr>
              <w:t>勘探井巡视，若后续利用该勘探井从事生产活动，需另行履行环</w:t>
            </w:r>
            <w:r>
              <w:rPr>
                <w:spacing w:val="5"/>
                <w:sz w:val="20"/>
                <w:szCs w:val="20"/>
              </w:rPr>
              <w:t>保手续。</w:t>
            </w:r>
            <w:r>
              <w:rPr>
                <w:spacing w:val="10"/>
                <w:sz w:val="20"/>
                <w:szCs w:val="20"/>
              </w:rPr>
              <w:t>若无利用价值则永久封井，隔离各个油气层，最</w:t>
            </w:r>
            <w:r>
              <w:rPr>
                <w:spacing w:val="9"/>
                <w:sz w:val="20"/>
                <w:szCs w:val="20"/>
              </w:rPr>
              <w:t>下部打水泥塞，打地表</w:t>
            </w:r>
            <w:r>
              <w:rPr>
                <w:spacing w:val="10"/>
                <w:sz w:val="20"/>
                <w:szCs w:val="20"/>
              </w:rPr>
              <w:t>水泥塞，要求所有关键性层段之间隔离开，恢复</w:t>
            </w:r>
            <w:r>
              <w:rPr>
                <w:spacing w:val="9"/>
                <w:sz w:val="20"/>
                <w:szCs w:val="20"/>
              </w:rPr>
              <w:t>地貌，在井口位置处安</w:t>
            </w:r>
            <w:r>
              <w:rPr>
                <w:spacing w:val="8"/>
                <w:sz w:val="20"/>
                <w:szCs w:val="20"/>
              </w:rPr>
              <w:t>装可供识别的标志，加以保护。</w:t>
            </w:r>
          </w:p>
        </w:tc>
      </w:tr>
      <w:tr w14:paraId="5C017E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466" w:type="dxa"/>
            <w:vMerge w:val="continue"/>
            <w:tcBorders>
              <w:top w:val="nil"/>
              <w:left w:val="single" w:color="000000" w:sz="6" w:space="0"/>
              <w:bottom w:val="nil"/>
            </w:tcBorders>
            <w:vAlign w:val="top"/>
          </w:tcPr>
          <w:p w14:paraId="4D2DDA22">
            <w:pPr>
              <w:rPr>
                <w:rFonts w:ascii="Arial"/>
                <w:sz w:val="21"/>
              </w:rPr>
            </w:pPr>
          </w:p>
        </w:tc>
        <w:tc>
          <w:tcPr>
            <w:tcW w:w="708" w:type="dxa"/>
            <w:vMerge w:val="continue"/>
            <w:tcBorders>
              <w:top w:val="nil"/>
            </w:tcBorders>
            <w:vAlign w:val="top"/>
          </w:tcPr>
          <w:p w14:paraId="47DC2C89">
            <w:pPr>
              <w:rPr>
                <w:rFonts w:ascii="Arial"/>
                <w:sz w:val="21"/>
              </w:rPr>
            </w:pPr>
          </w:p>
        </w:tc>
        <w:tc>
          <w:tcPr>
            <w:tcW w:w="1106" w:type="dxa"/>
            <w:vMerge w:val="continue"/>
            <w:tcBorders>
              <w:top w:val="nil"/>
            </w:tcBorders>
            <w:vAlign w:val="top"/>
          </w:tcPr>
          <w:p w14:paraId="37597B45">
            <w:pPr>
              <w:rPr>
                <w:rFonts w:ascii="Arial"/>
                <w:sz w:val="21"/>
              </w:rPr>
            </w:pPr>
          </w:p>
        </w:tc>
        <w:tc>
          <w:tcPr>
            <w:tcW w:w="6635" w:type="dxa"/>
            <w:tcBorders>
              <w:right w:val="single" w:color="000000" w:sz="6" w:space="0"/>
            </w:tcBorders>
            <w:vAlign w:val="top"/>
          </w:tcPr>
          <w:p w14:paraId="6185EC90">
            <w:pPr>
              <w:pStyle w:val="6"/>
              <w:spacing w:before="38" w:line="228" w:lineRule="auto"/>
              <w:ind w:left="1" w:right="105"/>
              <w:rPr>
                <w:sz w:val="20"/>
                <w:szCs w:val="20"/>
              </w:rPr>
            </w:pPr>
            <w:r>
              <w:rPr>
                <w:spacing w:val="10"/>
                <w:sz w:val="20"/>
                <w:szCs w:val="20"/>
              </w:rPr>
              <w:t>拆除临时占地设备、建筑物，将钻前工程保留的表土直接摊铺覆盖于井</w:t>
            </w:r>
            <w:r>
              <w:rPr>
                <w:spacing w:val="8"/>
                <w:sz w:val="20"/>
                <w:szCs w:val="20"/>
              </w:rPr>
              <w:t>场上，</w:t>
            </w:r>
            <w:r>
              <w:rPr>
                <w:spacing w:val="-60"/>
                <w:sz w:val="20"/>
                <w:szCs w:val="20"/>
              </w:rPr>
              <w:t xml:space="preserve"> </w:t>
            </w:r>
            <w:r>
              <w:rPr>
                <w:spacing w:val="8"/>
                <w:sz w:val="20"/>
                <w:szCs w:val="20"/>
              </w:rPr>
              <w:t>以恢复耕地为主，同时进行土壤培育，满足正常耕种要求。</w:t>
            </w:r>
          </w:p>
        </w:tc>
      </w:tr>
      <w:tr w14:paraId="0C6267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466" w:type="dxa"/>
            <w:vMerge w:val="continue"/>
            <w:tcBorders>
              <w:top w:val="nil"/>
              <w:left w:val="single" w:color="000000" w:sz="6" w:space="0"/>
              <w:bottom w:val="nil"/>
            </w:tcBorders>
            <w:vAlign w:val="top"/>
          </w:tcPr>
          <w:p w14:paraId="4F60D88C">
            <w:pPr>
              <w:rPr>
                <w:rFonts w:ascii="Arial"/>
                <w:sz w:val="21"/>
              </w:rPr>
            </w:pPr>
          </w:p>
        </w:tc>
        <w:tc>
          <w:tcPr>
            <w:tcW w:w="708" w:type="dxa"/>
            <w:vMerge w:val="restart"/>
            <w:tcBorders>
              <w:bottom w:val="nil"/>
            </w:tcBorders>
            <w:vAlign w:val="top"/>
          </w:tcPr>
          <w:p w14:paraId="36F62D88">
            <w:pPr>
              <w:spacing w:line="260" w:lineRule="auto"/>
              <w:rPr>
                <w:rFonts w:ascii="Arial"/>
                <w:sz w:val="21"/>
              </w:rPr>
            </w:pPr>
          </w:p>
          <w:p w14:paraId="363B706D">
            <w:pPr>
              <w:spacing w:line="261" w:lineRule="auto"/>
              <w:rPr>
                <w:rFonts w:ascii="Arial"/>
                <w:sz w:val="21"/>
              </w:rPr>
            </w:pPr>
          </w:p>
          <w:p w14:paraId="6F1975B8">
            <w:pPr>
              <w:spacing w:line="261" w:lineRule="auto"/>
              <w:rPr>
                <w:rFonts w:ascii="Arial"/>
                <w:sz w:val="21"/>
              </w:rPr>
            </w:pPr>
          </w:p>
          <w:p w14:paraId="7C74DAFE">
            <w:pPr>
              <w:pStyle w:val="6"/>
              <w:spacing w:before="65" w:line="252" w:lineRule="auto"/>
              <w:ind w:left="198" w:right="96"/>
              <w:rPr>
                <w:sz w:val="20"/>
                <w:szCs w:val="20"/>
              </w:rPr>
            </w:pPr>
            <w:r>
              <w:rPr>
                <w:spacing w:val="3"/>
                <w:sz w:val="20"/>
                <w:szCs w:val="20"/>
              </w:rPr>
              <w:t>辅助工程</w:t>
            </w:r>
          </w:p>
        </w:tc>
        <w:tc>
          <w:tcPr>
            <w:tcW w:w="1106" w:type="dxa"/>
            <w:vAlign w:val="top"/>
          </w:tcPr>
          <w:p w14:paraId="7C2A3D09">
            <w:pPr>
              <w:pStyle w:val="6"/>
              <w:spacing w:before="45" w:line="210" w:lineRule="auto"/>
              <w:ind w:left="133"/>
              <w:rPr>
                <w:sz w:val="20"/>
                <w:szCs w:val="20"/>
              </w:rPr>
            </w:pPr>
            <w:r>
              <w:rPr>
                <w:spacing w:val="7"/>
                <w:sz w:val="20"/>
                <w:szCs w:val="20"/>
              </w:rPr>
              <w:t>场界围挡</w:t>
            </w:r>
          </w:p>
        </w:tc>
        <w:tc>
          <w:tcPr>
            <w:tcW w:w="6635" w:type="dxa"/>
            <w:tcBorders>
              <w:right w:val="single" w:color="000000" w:sz="6" w:space="0"/>
            </w:tcBorders>
            <w:vAlign w:val="top"/>
          </w:tcPr>
          <w:p w14:paraId="16B4759E">
            <w:pPr>
              <w:pStyle w:val="6"/>
              <w:spacing w:before="45" w:line="210" w:lineRule="auto"/>
              <w:ind w:left="1"/>
              <w:rPr>
                <w:sz w:val="20"/>
                <w:szCs w:val="20"/>
              </w:rPr>
            </w:pPr>
            <w:r>
              <w:rPr>
                <w:spacing w:val="7"/>
                <w:sz w:val="20"/>
                <w:szCs w:val="20"/>
              </w:rPr>
              <w:t>在井场边界设置高</w:t>
            </w:r>
            <w:r>
              <w:rPr>
                <w:spacing w:val="-32"/>
                <w:sz w:val="20"/>
                <w:szCs w:val="20"/>
              </w:rPr>
              <w:t xml:space="preserve"> </w:t>
            </w:r>
            <w:r>
              <w:rPr>
                <w:rFonts w:ascii="Times New Roman" w:hAnsi="Times New Roman" w:eastAsia="Times New Roman" w:cs="Times New Roman"/>
                <w:spacing w:val="7"/>
                <w:sz w:val="20"/>
                <w:szCs w:val="20"/>
              </w:rPr>
              <w:t>2m</w:t>
            </w:r>
            <w:r>
              <w:rPr>
                <w:rFonts w:ascii="Times New Roman" w:hAnsi="Times New Roman" w:eastAsia="Times New Roman" w:cs="Times New Roman"/>
                <w:spacing w:val="29"/>
                <w:sz w:val="20"/>
                <w:szCs w:val="20"/>
              </w:rPr>
              <w:t xml:space="preserve"> </w:t>
            </w:r>
            <w:r>
              <w:rPr>
                <w:spacing w:val="7"/>
                <w:sz w:val="20"/>
                <w:szCs w:val="20"/>
              </w:rPr>
              <w:t>的围挡，若封井则拆除围挡。</w:t>
            </w:r>
          </w:p>
        </w:tc>
      </w:tr>
      <w:tr w14:paraId="74DD8C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466" w:type="dxa"/>
            <w:vMerge w:val="continue"/>
            <w:tcBorders>
              <w:top w:val="nil"/>
              <w:left w:val="single" w:color="000000" w:sz="6" w:space="0"/>
              <w:bottom w:val="nil"/>
            </w:tcBorders>
            <w:vAlign w:val="top"/>
          </w:tcPr>
          <w:p w14:paraId="112764C7">
            <w:pPr>
              <w:rPr>
                <w:rFonts w:ascii="Arial"/>
                <w:sz w:val="21"/>
              </w:rPr>
            </w:pPr>
          </w:p>
        </w:tc>
        <w:tc>
          <w:tcPr>
            <w:tcW w:w="708" w:type="dxa"/>
            <w:vMerge w:val="continue"/>
            <w:tcBorders>
              <w:top w:val="nil"/>
              <w:bottom w:val="nil"/>
            </w:tcBorders>
            <w:vAlign w:val="top"/>
          </w:tcPr>
          <w:p w14:paraId="23545405">
            <w:pPr>
              <w:rPr>
                <w:rFonts w:ascii="Arial"/>
                <w:sz w:val="21"/>
              </w:rPr>
            </w:pPr>
          </w:p>
        </w:tc>
        <w:tc>
          <w:tcPr>
            <w:tcW w:w="1106" w:type="dxa"/>
            <w:vAlign w:val="top"/>
          </w:tcPr>
          <w:p w14:paraId="65737306">
            <w:pPr>
              <w:pStyle w:val="6"/>
              <w:spacing w:before="79" w:line="246" w:lineRule="auto"/>
              <w:ind w:left="446" w:right="31" w:hanging="418"/>
              <w:rPr>
                <w:sz w:val="20"/>
                <w:szCs w:val="20"/>
              </w:rPr>
            </w:pPr>
            <w:r>
              <w:rPr>
                <w:spacing w:val="8"/>
                <w:sz w:val="20"/>
                <w:szCs w:val="20"/>
              </w:rPr>
              <w:t>钻井测定装</w:t>
            </w:r>
            <w:r>
              <w:rPr>
                <w:spacing w:val="2"/>
                <w:sz w:val="20"/>
                <w:szCs w:val="20"/>
              </w:rPr>
              <w:t>置</w:t>
            </w:r>
          </w:p>
        </w:tc>
        <w:tc>
          <w:tcPr>
            <w:tcW w:w="6635" w:type="dxa"/>
            <w:tcBorders>
              <w:right w:val="single" w:color="000000" w:sz="6" w:space="0"/>
            </w:tcBorders>
            <w:vAlign w:val="top"/>
          </w:tcPr>
          <w:p w14:paraId="6644E3F0">
            <w:pPr>
              <w:pStyle w:val="6"/>
              <w:spacing w:before="79" w:line="246" w:lineRule="auto"/>
              <w:ind w:left="3" w:right="34" w:hanging="1"/>
              <w:rPr>
                <w:sz w:val="20"/>
                <w:szCs w:val="20"/>
              </w:rPr>
            </w:pPr>
            <w:r>
              <w:rPr>
                <w:spacing w:val="5"/>
                <w:sz w:val="20"/>
                <w:szCs w:val="20"/>
              </w:rPr>
              <w:t>井场配备钻井测定装置</w:t>
            </w:r>
            <w:r>
              <w:rPr>
                <w:spacing w:val="-20"/>
                <w:sz w:val="20"/>
                <w:szCs w:val="20"/>
              </w:rPr>
              <w:t xml:space="preserve"> </w:t>
            </w:r>
            <w:r>
              <w:rPr>
                <w:rFonts w:ascii="Times New Roman" w:hAnsi="Times New Roman" w:eastAsia="Times New Roman" w:cs="Times New Roman"/>
                <w:spacing w:val="5"/>
                <w:sz w:val="20"/>
                <w:szCs w:val="20"/>
              </w:rPr>
              <w:t xml:space="preserve">1 </w:t>
            </w:r>
            <w:r>
              <w:rPr>
                <w:spacing w:val="5"/>
                <w:sz w:val="20"/>
                <w:szCs w:val="20"/>
              </w:rPr>
              <w:t>套，对钻压、扭矩、转速、泵</w:t>
            </w:r>
            <w:r>
              <w:rPr>
                <w:spacing w:val="4"/>
                <w:sz w:val="20"/>
                <w:szCs w:val="20"/>
              </w:rPr>
              <w:t>压、泵冲、悬重、</w:t>
            </w:r>
            <w:r>
              <w:rPr>
                <w:spacing w:val="8"/>
                <w:sz w:val="20"/>
                <w:szCs w:val="20"/>
              </w:rPr>
              <w:t>泥浆体积等参数在司钻台、监督房内显示。</w:t>
            </w:r>
          </w:p>
        </w:tc>
      </w:tr>
      <w:tr w14:paraId="364FB0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466" w:type="dxa"/>
            <w:vMerge w:val="continue"/>
            <w:tcBorders>
              <w:top w:val="nil"/>
              <w:left w:val="single" w:color="000000" w:sz="6" w:space="0"/>
              <w:bottom w:val="nil"/>
            </w:tcBorders>
            <w:vAlign w:val="top"/>
          </w:tcPr>
          <w:p w14:paraId="6E9750E5">
            <w:pPr>
              <w:rPr>
                <w:rFonts w:ascii="Arial"/>
                <w:sz w:val="21"/>
              </w:rPr>
            </w:pPr>
          </w:p>
        </w:tc>
        <w:tc>
          <w:tcPr>
            <w:tcW w:w="708" w:type="dxa"/>
            <w:vMerge w:val="continue"/>
            <w:tcBorders>
              <w:top w:val="nil"/>
              <w:bottom w:val="nil"/>
            </w:tcBorders>
            <w:vAlign w:val="top"/>
          </w:tcPr>
          <w:p w14:paraId="244FEA40">
            <w:pPr>
              <w:rPr>
                <w:rFonts w:ascii="Arial"/>
                <w:sz w:val="21"/>
              </w:rPr>
            </w:pPr>
          </w:p>
        </w:tc>
        <w:tc>
          <w:tcPr>
            <w:tcW w:w="1106" w:type="dxa"/>
            <w:vAlign w:val="top"/>
          </w:tcPr>
          <w:p w14:paraId="752A9DCA">
            <w:pPr>
              <w:pStyle w:val="6"/>
              <w:spacing w:before="79" w:line="246" w:lineRule="auto"/>
              <w:ind w:left="446" w:right="31" w:hanging="418"/>
              <w:rPr>
                <w:sz w:val="20"/>
                <w:szCs w:val="20"/>
              </w:rPr>
            </w:pPr>
            <w:r>
              <w:rPr>
                <w:spacing w:val="8"/>
                <w:sz w:val="20"/>
                <w:szCs w:val="20"/>
              </w:rPr>
              <w:t>钻井监控装</w:t>
            </w:r>
            <w:r>
              <w:rPr>
                <w:spacing w:val="2"/>
                <w:sz w:val="20"/>
                <w:szCs w:val="20"/>
              </w:rPr>
              <w:t>置</w:t>
            </w:r>
          </w:p>
        </w:tc>
        <w:tc>
          <w:tcPr>
            <w:tcW w:w="6635" w:type="dxa"/>
            <w:tcBorders>
              <w:right w:val="single" w:color="000000" w:sz="6" w:space="0"/>
            </w:tcBorders>
            <w:vAlign w:val="top"/>
          </w:tcPr>
          <w:p w14:paraId="44115EF0">
            <w:pPr>
              <w:pStyle w:val="6"/>
              <w:spacing w:before="79" w:line="246" w:lineRule="auto"/>
              <w:ind w:left="2" w:right="50"/>
              <w:rPr>
                <w:sz w:val="20"/>
                <w:szCs w:val="20"/>
              </w:rPr>
            </w:pPr>
            <w:r>
              <w:rPr>
                <w:spacing w:val="4"/>
                <w:sz w:val="20"/>
                <w:szCs w:val="20"/>
              </w:rPr>
              <w:t>井场配备钻井监控装置</w:t>
            </w:r>
            <w:r>
              <w:rPr>
                <w:spacing w:val="-11"/>
                <w:sz w:val="20"/>
                <w:szCs w:val="20"/>
              </w:rPr>
              <w:t xml:space="preserve"> </w:t>
            </w:r>
            <w:r>
              <w:rPr>
                <w:rFonts w:ascii="Times New Roman" w:hAnsi="Times New Roman" w:eastAsia="Times New Roman" w:cs="Times New Roman"/>
                <w:spacing w:val="4"/>
                <w:sz w:val="20"/>
                <w:szCs w:val="20"/>
              </w:rPr>
              <w:t xml:space="preserve">1 </w:t>
            </w:r>
            <w:r>
              <w:rPr>
                <w:spacing w:val="4"/>
                <w:sz w:val="20"/>
                <w:szCs w:val="20"/>
              </w:rPr>
              <w:t>套，含司钻控制台、节流控制室、远程控制台，</w:t>
            </w:r>
            <w:r>
              <w:rPr>
                <w:spacing w:val="8"/>
                <w:sz w:val="20"/>
                <w:szCs w:val="20"/>
              </w:rPr>
              <w:t>均可独立开启井控装置。</w:t>
            </w:r>
          </w:p>
        </w:tc>
      </w:tr>
      <w:tr w14:paraId="10384E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466" w:type="dxa"/>
            <w:vMerge w:val="continue"/>
            <w:tcBorders>
              <w:top w:val="nil"/>
              <w:left w:val="single" w:color="000000" w:sz="6" w:space="0"/>
              <w:bottom w:val="nil"/>
            </w:tcBorders>
            <w:vAlign w:val="top"/>
          </w:tcPr>
          <w:p w14:paraId="7F00F0ED">
            <w:pPr>
              <w:rPr>
                <w:rFonts w:ascii="Arial"/>
                <w:sz w:val="21"/>
              </w:rPr>
            </w:pPr>
          </w:p>
        </w:tc>
        <w:tc>
          <w:tcPr>
            <w:tcW w:w="708" w:type="dxa"/>
            <w:vMerge w:val="continue"/>
            <w:tcBorders>
              <w:top w:val="nil"/>
            </w:tcBorders>
            <w:vAlign w:val="top"/>
          </w:tcPr>
          <w:p w14:paraId="7EE0B91F">
            <w:pPr>
              <w:rPr>
                <w:rFonts w:ascii="Arial"/>
                <w:sz w:val="21"/>
              </w:rPr>
            </w:pPr>
          </w:p>
        </w:tc>
        <w:tc>
          <w:tcPr>
            <w:tcW w:w="1106" w:type="dxa"/>
            <w:vAlign w:val="top"/>
          </w:tcPr>
          <w:p w14:paraId="6693081F">
            <w:pPr>
              <w:pStyle w:val="6"/>
              <w:spacing w:before="218" w:line="228" w:lineRule="auto"/>
              <w:ind w:left="133"/>
              <w:rPr>
                <w:sz w:val="20"/>
                <w:szCs w:val="20"/>
              </w:rPr>
            </w:pPr>
            <w:r>
              <w:rPr>
                <w:spacing w:val="7"/>
                <w:sz w:val="20"/>
                <w:szCs w:val="20"/>
              </w:rPr>
              <w:t>施工营地</w:t>
            </w:r>
          </w:p>
        </w:tc>
        <w:tc>
          <w:tcPr>
            <w:tcW w:w="6635" w:type="dxa"/>
            <w:tcBorders>
              <w:right w:val="single" w:color="000000" w:sz="6" w:space="0"/>
            </w:tcBorders>
            <w:vAlign w:val="top"/>
          </w:tcPr>
          <w:p w14:paraId="36DBEB62">
            <w:pPr>
              <w:pStyle w:val="6"/>
              <w:spacing w:before="79" w:line="246" w:lineRule="auto"/>
              <w:ind w:left="3" w:right="104" w:hanging="2"/>
              <w:rPr>
                <w:sz w:val="20"/>
                <w:szCs w:val="20"/>
              </w:rPr>
            </w:pPr>
            <w:r>
              <w:rPr>
                <w:spacing w:val="6"/>
                <w:sz w:val="20"/>
                <w:szCs w:val="20"/>
              </w:rPr>
              <w:t>施工营地位于井场范围内，采用移动板房，占</w:t>
            </w:r>
            <w:r>
              <w:rPr>
                <w:spacing w:val="5"/>
                <w:sz w:val="20"/>
                <w:szCs w:val="20"/>
              </w:rPr>
              <w:t>地面积</w:t>
            </w:r>
            <w:r>
              <w:rPr>
                <w:spacing w:val="-21"/>
                <w:sz w:val="20"/>
                <w:szCs w:val="20"/>
              </w:rPr>
              <w:t xml:space="preserve"> </w:t>
            </w:r>
            <w:r>
              <w:rPr>
                <w:rFonts w:ascii="Times New Roman" w:hAnsi="Times New Roman" w:eastAsia="Times New Roman" w:cs="Times New Roman"/>
                <w:spacing w:val="5"/>
                <w:sz w:val="20"/>
                <w:szCs w:val="20"/>
              </w:rPr>
              <w:t>1500m</w:t>
            </w:r>
            <w:r>
              <w:rPr>
                <w:rFonts w:ascii="Times New Roman" w:hAnsi="Times New Roman" w:eastAsia="Times New Roman" w:cs="Times New Roman"/>
                <w:spacing w:val="5"/>
                <w:position w:val="6"/>
                <w:sz w:val="13"/>
                <w:szCs w:val="13"/>
              </w:rPr>
              <w:t>2</w:t>
            </w:r>
            <w:r>
              <w:rPr>
                <w:rFonts w:ascii="Times New Roman" w:hAnsi="Times New Roman" w:eastAsia="Times New Roman" w:cs="Times New Roman"/>
                <w:spacing w:val="-5"/>
                <w:position w:val="6"/>
                <w:sz w:val="13"/>
                <w:szCs w:val="13"/>
              </w:rPr>
              <w:t xml:space="preserve"> </w:t>
            </w:r>
            <w:r>
              <w:rPr>
                <w:spacing w:val="5"/>
                <w:sz w:val="20"/>
                <w:szCs w:val="20"/>
              </w:rPr>
              <w:t>。用于施工</w:t>
            </w:r>
            <w:r>
              <w:rPr>
                <w:spacing w:val="8"/>
                <w:sz w:val="20"/>
                <w:szCs w:val="20"/>
              </w:rPr>
              <w:t>人员临时休息、办公使用。</w:t>
            </w:r>
          </w:p>
        </w:tc>
      </w:tr>
      <w:tr w14:paraId="6088AF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1" w:hRule="atLeast"/>
        </w:trPr>
        <w:tc>
          <w:tcPr>
            <w:tcW w:w="466" w:type="dxa"/>
            <w:vMerge w:val="continue"/>
            <w:tcBorders>
              <w:top w:val="nil"/>
              <w:left w:val="single" w:color="000000" w:sz="6" w:space="0"/>
              <w:bottom w:val="single" w:color="000000" w:sz="6" w:space="0"/>
            </w:tcBorders>
            <w:vAlign w:val="top"/>
          </w:tcPr>
          <w:p w14:paraId="27D64D52">
            <w:pPr>
              <w:rPr>
                <w:rFonts w:ascii="Arial"/>
                <w:sz w:val="21"/>
              </w:rPr>
            </w:pPr>
          </w:p>
        </w:tc>
        <w:tc>
          <w:tcPr>
            <w:tcW w:w="708" w:type="dxa"/>
            <w:tcBorders>
              <w:bottom w:val="single" w:color="000000" w:sz="6" w:space="0"/>
            </w:tcBorders>
            <w:vAlign w:val="top"/>
          </w:tcPr>
          <w:p w14:paraId="139C268D">
            <w:pPr>
              <w:pStyle w:val="6"/>
              <w:spacing w:before="180" w:line="252" w:lineRule="auto"/>
              <w:ind w:left="198" w:right="96" w:hanging="3"/>
              <w:rPr>
                <w:sz w:val="20"/>
                <w:szCs w:val="20"/>
              </w:rPr>
            </w:pPr>
            <w:r>
              <w:rPr>
                <w:spacing w:val="5"/>
                <w:sz w:val="20"/>
                <w:szCs w:val="20"/>
              </w:rPr>
              <w:t>储运</w:t>
            </w:r>
            <w:r>
              <w:rPr>
                <w:spacing w:val="3"/>
                <w:sz w:val="20"/>
                <w:szCs w:val="20"/>
              </w:rPr>
              <w:t>工程</w:t>
            </w:r>
          </w:p>
        </w:tc>
        <w:tc>
          <w:tcPr>
            <w:tcW w:w="1106" w:type="dxa"/>
            <w:tcBorders>
              <w:bottom w:val="single" w:color="000000" w:sz="6" w:space="0"/>
            </w:tcBorders>
            <w:vAlign w:val="top"/>
          </w:tcPr>
          <w:p w14:paraId="49752B4A">
            <w:pPr>
              <w:pStyle w:val="6"/>
              <w:spacing w:before="180" w:line="254" w:lineRule="auto"/>
              <w:ind w:left="463" w:right="31" w:hanging="430"/>
              <w:rPr>
                <w:sz w:val="20"/>
                <w:szCs w:val="20"/>
              </w:rPr>
            </w:pPr>
            <w:r>
              <w:rPr>
                <w:spacing w:val="7"/>
                <w:sz w:val="20"/>
                <w:szCs w:val="20"/>
              </w:rPr>
              <w:t>原材料堆存</w:t>
            </w:r>
            <w:r>
              <w:rPr>
                <w:sz w:val="20"/>
                <w:szCs w:val="20"/>
              </w:rPr>
              <w:t>区</w:t>
            </w:r>
          </w:p>
        </w:tc>
        <w:tc>
          <w:tcPr>
            <w:tcW w:w="6635" w:type="dxa"/>
            <w:tcBorders>
              <w:bottom w:val="single" w:color="000000" w:sz="6" w:space="0"/>
              <w:right w:val="single" w:color="000000" w:sz="6" w:space="0"/>
            </w:tcBorders>
            <w:vAlign w:val="top"/>
          </w:tcPr>
          <w:p w14:paraId="7DB10D55">
            <w:pPr>
              <w:pStyle w:val="6"/>
              <w:spacing w:before="44" w:line="239" w:lineRule="auto"/>
              <w:ind w:left="2" w:right="102" w:firstLine="34"/>
              <w:jc w:val="both"/>
              <w:rPr>
                <w:sz w:val="20"/>
                <w:szCs w:val="20"/>
              </w:rPr>
            </w:pPr>
            <w:r>
              <w:rPr>
                <w:spacing w:val="8"/>
                <w:sz w:val="20"/>
                <w:szCs w:val="20"/>
              </w:rPr>
              <w:t>占地面积</w:t>
            </w:r>
            <w:r>
              <w:rPr>
                <w:spacing w:val="-21"/>
                <w:sz w:val="20"/>
                <w:szCs w:val="20"/>
              </w:rPr>
              <w:t xml:space="preserve"> </w:t>
            </w:r>
            <w:r>
              <w:rPr>
                <w:rFonts w:ascii="Times New Roman" w:hAnsi="Times New Roman" w:eastAsia="Times New Roman" w:cs="Times New Roman"/>
                <w:spacing w:val="8"/>
                <w:sz w:val="20"/>
                <w:szCs w:val="20"/>
              </w:rPr>
              <w:t>100m</w:t>
            </w:r>
            <w:r>
              <w:rPr>
                <w:rFonts w:ascii="Times New Roman" w:hAnsi="Times New Roman" w:eastAsia="Times New Roman" w:cs="Times New Roman"/>
                <w:spacing w:val="8"/>
                <w:position w:val="6"/>
                <w:sz w:val="13"/>
                <w:szCs w:val="13"/>
              </w:rPr>
              <w:t>2</w:t>
            </w:r>
            <w:r>
              <w:rPr>
                <w:rFonts w:ascii="Times New Roman" w:hAnsi="Times New Roman" w:eastAsia="Times New Roman" w:cs="Times New Roman"/>
                <w:spacing w:val="-6"/>
                <w:position w:val="6"/>
                <w:sz w:val="13"/>
                <w:szCs w:val="13"/>
              </w:rPr>
              <w:t xml:space="preserve"> </w:t>
            </w:r>
            <w:r>
              <w:rPr>
                <w:spacing w:val="8"/>
                <w:sz w:val="20"/>
                <w:szCs w:val="20"/>
              </w:rPr>
              <w:t>，用于调配钻井泥浆的原材料均从外部购</w:t>
            </w:r>
            <w:r>
              <w:rPr>
                <w:spacing w:val="7"/>
                <w:sz w:val="20"/>
                <w:szCs w:val="20"/>
              </w:rPr>
              <w:t>买，为桶装或</w:t>
            </w:r>
            <w:r>
              <w:rPr>
                <w:spacing w:val="10"/>
                <w:sz w:val="20"/>
                <w:szCs w:val="20"/>
              </w:rPr>
              <w:t>袋装，分区分类贮存于井场内原材料堆存区，堆存区下部铺设防渗膜，</w:t>
            </w:r>
            <w:r>
              <w:rPr>
                <w:spacing w:val="7"/>
                <w:sz w:val="20"/>
                <w:szCs w:val="20"/>
              </w:rPr>
              <w:t>上部设苫布遮盖。</w:t>
            </w:r>
          </w:p>
        </w:tc>
      </w:tr>
    </w:tbl>
    <w:p w14:paraId="01EB9F2B">
      <w:pPr>
        <w:rPr>
          <w:rFonts w:ascii="Arial"/>
          <w:sz w:val="21"/>
        </w:rPr>
      </w:pPr>
    </w:p>
    <w:p w14:paraId="1898BEC4">
      <w:pPr>
        <w:rPr>
          <w:rFonts w:ascii="Arial" w:hAnsi="Arial" w:eastAsia="Arial" w:cs="Arial"/>
          <w:sz w:val="21"/>
          <w:szCs w:val="21"/>
        </w:rPr>
        <w:sectPr>
          <w:footerReference r:id="rId29" w:type="default"/>
          <w:pgSz w:w="11906" w:h="16839"/>
          <w:pgMar w:top="400" w:right="1403" w:bottom="1240" w:left="1572" w:header="0" w:footer="1078" w:gutter="0"/>
          <w:cols w:space="720" w:num="1"/>
        </w:sectPr>
      </w:pPr>
    </w:p>
    <w:p w14:paraId="0DD675FE">
      <w:pPr>
        <w:spacing w:before="56"/>
      </w:pPr>
    </w:p>
    <w:p w14:paraId="1F5897B0">
      <w:pPr>
        <w:spacing w:before="56"/>
      </w:pPr>
    </w:p>
    <w:p w14:paraId="7420BFEA">
      <w:pPr>
        <w:spacing w:before="55"/>
      </w:pPr>
    </w:p>
    <w:p w14:paraId="7E50C210">
      <w:pPr>
        <w:spacing w:before="55"/>
      </w:pPr>
    </w:p>
    <w:tbl>
      <w:tblPr>
        <w:tblStyle w:val="5"/>
        <w:tblW w:w="891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6"/>
        <w:gridCol w:w="708"/>
        <w:gridCol w:w="399"/>
        <w:gridCol w:w="707"/>
        <w:gridCol w:w="6635"/>
      </w:tblGrid>
      <w:tr w14:paraId="649E0D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8" w:hRule="atLeast"/>
        </w:trPr>
        <w:tc>
          <w:tcPr>
            <w:tcW w:w="466" w:type="dxa"/>
            <w:vMerge w:val="restart"/>
            <w:tcBorders>
              <w:top w:val="single" w:color="000000" w:sz="6" w:space="0"/>
              <w:left w:val="single" w:color="000000" w:sz="6" w:space="0"/>
              <w:bottom w:val="nil"/>
            </w:tcBorders>
            <w:vAlign w:val="top"/>
          </w:tcPr>
          <w:p w14:paraId="116FF8F2">
            <w:pPr>
              <w:rPr>
                <w:rFonts w:ascii="Arial"/>
                <w:sz w:val="21"/>
              </w:rPr>
            </w:pPr>
          </w:p>
        </w:tc>
        <w:tc>
          <w:tcPr>
            <w:tcW w:w="708" w:type="dxa"/>
            <w:vMerge w:val="restart"/>
            <w:tcBorders>
              <w:top w:val="single" w:color="000000" w:sz="6" w:space="0"/>
              <w:bottom w:val="nil"/>
            </w:tcBorders>
            <w:vAlign w:val="top"/>
          </w:tcPr>
          <w:p w14:paraId="2F3DB8F1">
            <w:pPr>
              <w:rPr>
                <w:rFonts w:ascii="Arial"/>
                <w:sz w:val="21"/>
              </w:rPr>
            </w:pPr>
          </w:p>
        </w:tc>
        <w:tc>
          <w:tcPr>
            <w:tcW w:w="1106" w:type="dxa"/>
            <w:gridSpan w:val="2"/>
            <w:tcBorders>
              <w:top w:val="single" w:color="000000" w:sz="6" w:space="0"/>
            </w:tcBorders>
            <w:vAlign w:val="top"/>
          </w:tcPr>
          <w:p w14:paraId="608497C5">
            <w:pPr>
              <w:spacing w:line="396" w:lineRule="auto"/>
              <w:rPr>
                <w:rFonts w:ascii="Arial"/>
                <w:sz w:val="21"/>
              </w:rPr>
            </w:pPr>
          </w:p>
          <w:p w14:paraId="598C8EC2">
            <w:pPr>
              <w:pStyle w:val="6"/>
              <w:spacing w:before="65" w:line="252" w:lineRule="auto"/>
              <w:ind w:left="239" w:right="31" w:hanging="212"/>
              <w:rPr>
                <w:sz w:val="20"/>
                <w:szCs w:val="20"/>
              </w:rPr>
            </w:pPr>
            <w:r>
              <w:rPr>
                <w:spacing w:val="8"/>
                <w:sz w:val="20"/>
                <w:szCs w:val="20"/>
              </w:rPr>
              <w:t>撬装式危废</w:t>
            </w:r>
            <w:r>
              <w:rPr>
                <w:spacing w:val="6"/>
                <w:sz w:val="20"/>
                <w:szCs w:val="20"/>
              </w:rPr>
              <w:t>贮存点</w:t>
            </w:r>
          </w:p>
        </w:tc>
        <w:tc>
          <w:tcPr>
            <w:tcW w:w="6635" w:type="dxa"/>
            <w:tcBorders>
              <w:top w:val="single" w:color="000000" w:sz="6" w:space="0"/>
              <w:right w:val="single" w:color="000000" w:sz="6" w:space="0"/>
            </w:tcBorders>
            <w:vAlign w:val="top"/>
          </w:tcPr>
          <w:p w14:paraId="74B076F2">
            <w:pPr>
              <w:pStyle w:val="6"/>
              <w:spacing w:before="56" w:line="244" w:lineRule="auto"/>
              <w:ind w:right="55" w:firstLine="7"/>
              <w:jc w:val="both"/>
              <w:rPr>
                <w:sz w:val="20"/>
                <w:szCs w:val="20"/>
              </w:rPr>
            </w:pPr>
            <w:r>
              <w:rPr>
                <w:spacing w:val="6"/>
                <w:sz w:val="20"/>
                <w:szCs w:val="20"/>
              </w:rPr>
              <w:t>设置撬装式危废暂存设施，面积为</w:t>
            </w:r>
            <w:r>
              <w:rPr>
                <w:spacing w:val="-8"/>
                <w:sz w:val="20"/>
                <w:szCs w:val="20"/>
              </w:rPr>
              <w:t xml:space="preserve"> </w:t>
            </w:r>
            <w:r>
              <w:rPr>
                <w:rFonts w:ascii="Times New Roman" w:hAnsi="Times New Roman" w:eastAsia="Times New Roman" w:cs="Times New Roman"/>
                <w:spacing w:val="6"/>
                <w:sz w:val="20"/>
                <w:szCs w:val="20"/>
              </w:rPr>
              <w:t>10m</w:t>
            </w:r>
            <w:r>
              <w:rPr>
                <w:rFonts w:ascii="Times New Roman" w:hAnsi="Times New Roman" w:eastAsia="Times New Roman" w:cs="Times New Roman"/>
                <w:spacing w:val="6"/>
                <w:position w:val="6"/>
                <w:sz w:val="13"/>
                <w:szCs w:val="13"/>
              </w:rPr>
              <w:t>2</w:t>
            </w:r>
            <w:r>
              <w:rPr>
                <w:spacing w:val="6"/>
                <w:sz w:val="20"/>
                <w:szCs w:val="20"/>
              </w:rPr>
              <w:t>。撬装式危废暂存设施内部铺设</w:t>
            </w:r>
            <w:r>
              <w:rPr>
                <w:spacing w:val="8"/>
                <w:sz w:val="20"/>
                <w:szCs w:val="20"/>
              </w:rPr>
              <w:t>双层</w:t>
            </w:r>
            <w:r>
              <w:rPr>
                <w:spacing w:val="-41"/>
                <w:sz w:val="20"/>
                <w:szCs w:val="20"/>
              </w:rPr>
              <w:t xml:space="preserve"> </w:t>
            </w:r>
            <w:r>
              <w:rPr>
                <w:rFonts w:ascii="Times New Roman" w:hAnsi="Times New Roman" w:eastAsia="Times New Roman" w:cs="Times New Roman"/>
                <w:spacing w:val="8"/>
                <w:sz w:val="20"/>
                <w:szCs w:val="20"/>
              </w:rPr>
              <w:t>2</w:t>
            </w:r>
            <w:r>
              <w:rPr>
                <w:rFonts w:ascii="Times New Roman" w:hAnsi="Times New Roman" w:eastAsia="Times New Roman" w:cs="Times New Roman"/>
                <w:sz w:val="20"/>
                <w:szCs w:val="20"/>
              </w:rPr>
              <w:t>mm</w:t>
            </w:r>
            <w:r>
              <w:rPr>
                <w:rFonts w:ascii="Times New Roman" w:hAnsi="Times New Roman" w:eastAsia="Times New Roman" w:cs="Times New Roman"/>
                <w:spacing w:val="19"/>
                <w:w w:val="101"/>
                <w:sz w:val="20"/>
                <w:szCs w:val="20"/>
              </w:rPr>
              <w:t xml:space="preserve"> </w:t>
            </w:r>
            <w:r>
              <w:rPr>
                <w:spacing w:val="8"/>
                <w:sz w:val="20"/>
                <w:szCs w:val="20"/>
              </w:rPr>
              <w:t>厚高密度聚乙烯防渗膜，设置隔板、</w:t>
            </w:r>
            <w:r>
              <w:rPr>
                <w:spacing w:val="7"/>
                <w:sz w:val="20"/>
                <w:szCs w:val="20"/>
              </w:rPr>
              <w:t>托盘，液体物料泄漏后，</w:t>
            </w:r>
            <w:r>
              <w:rPr>
                <w:spacing w:val="11"/>
                <w:sz w:val="20"/>
                <w:szCs w:val="20"/>
              </w:rPr>
              <w:t>可全部收集。撬装式危废暂存设施四周加设高度为</w:t>
            </w:r>
            <w:r>
              <w:rPr>
                <w:spacing w:val="-35"/>
                <w:sz w:val="20"/>
                <w:szCs w:val="20"/>
              </w:rPr>
              <w:t xml:space="preserve"> </w:t>
            </w:r>
            <w:r>
              <w:rPr>
                <w:rFonts w:ascii="Times New Roman" w:hAnsi="Times New Roman" w:eastAsia="Times New Roman" w:cs="Times New Roman"/>
                <w:spacing w:val="11"/>
                <w:sz w:val="20"/>
                <w:szCs w:val="20"/>
              </w:rPr>
              <w:t>20</w:t>
            </w:r>
            <w:r>
              <w:rPr>
                <w:rFonts w:ascii="Times New Roman" w:hAnsi="Times New Roman" w:eastAsia="Times New Roman" w:cs="Times New Roman"/>
                <w:sz w:val="20"/>
                <w:szCs w:val="20"/>
              </w:rPr>
              <w:t>cm</w:t>
            </w:r>
            <w:r>
              <w:rPr>
                <w:rFonts w:ascii="Times New Roman" w:hAnsi="Times New Roman" w:eastAsia="Times New Roman" w:cs="Times New Roman"/>
                <w:spacing w:val="29"/>
                <w:w w:val="101"/>
                <w:sz w:val="20"/>
                <w:szCs w:val="20"/>
              </w:rPr>
              <w:t xml:space="preserve"> </w:t>
            </w:r>
            <w:r>
              <w:rPr>
                <w:spacing w:val="11"/>
                <w:sz w:val="20"/>
                <w:szCs w:val="20"/>
              </w:rPr>
              <w:t>的围堰，然后</w:t>
            </w:r>
            <w:r>
              <w:rPr>
                <w:spacing w:val="17"/>
                <w:sz w:val="20"/>
                <w:szCs w:val="20"/>
              </w:rPr>
              <w:t>铺</w:t>
            </w:r>
            <w:r>
              <w:rPr>
                <w:spacing w:val="-48"/>
                <w:sz w:val="20"/>
                <w:szCs w:val="20"/>
              </w:rPr>
              <w:t xml:space="preserve"> </w:t>
            </w:r>
            <w:r>
              <w:rPr>
                <w:spacing w:val="17"/>
                <w:sz w:val="20"/>
                <w:szCs w:val="20"/>
              </w:rPr>
              <w:t>设双层</w:t>
            </w:r>
            <w:r>
              <w:rPr>
                <w:spacing w:val="-15"/>
                <w:sz w:val="20"/>
                <w:szCs w:val="20"/>
              </w:rPr>
              <w:t xml:space="preserve"> </w:t>
            </w:r>
            <w:r>
              <w:rPr>
                <w:rFonts w:ascii="Times New Roman" w:hAnsi="Times New Roman" w:eastAsia="Times New Roman" w:cs="Times New Roman"/>
                <w:spacing w:val="17"/>
                <w:sz w:val="20"/>
                <w:szCs w:val="20"/>
              </w:rPr>
              <w:t>2</w:t>
            </w:r>
            <w:r>
              <w:rPr>
                <w:rFonts w:ascii="Times New Roman" w:hAnsi="Times New Roman" w:eastAsia="Times New Roman" w:cs="Times New Roman"/>
                <w:sz w:val="20"/>
                <w:szCs w:val="20"/>
              </w:rPr>
              <w:t>mm</w:t>
            </w:r>
            <w:r>
              <w:rPr>
                <w:rFonts w:ascii="Times New Roman" w:hAnsi="Times New Roman" w:eastAsia="Times New Roman" w:cs="Times New Roman"/>
                <w:spacing w:val="48"/>
                <w:w w:val="101"/>
                <w:sz w:val="20"/>
                <w:szCs w:val="20"/>
              </w:rPr>
              <w:t xml:space="preserve"> </w:t>
            </w:r>
            <w:r>
              <w:rPr>
                <w:spacing w:val="17"/>
                <w:sz w:val="20"/>
                <w:szCs w:val="20"/>
              </w:rPr>
              <w:t>厚</w:t>
            </w:r>
            <w:r>
              <w:rPr>
                <w:spacing w:val="-55"/>
                <w:sz w:val="20"/>
                <w:szCs w:val="20"/>
              </w:rPr>
              <w:t xml:space="preserve"> </w:t>
            </w:r>
            <w:r>
              <w:rPr>
                <w:spacing w:val="17"/>
                <w:sz w:val="20"/>
                <w:szCs w:val="20"/>
              </w:rPr>
              <w:t>高密度</w:t>
            </w:r>
            <w:r>
              <w:rPr>
                <w:spacing w:val="-53"/>
                <w:sz w:val="20"/>
                <w:szCs w:val="20"/>
              </w:rPr>
              <w:t xml:space="preserve"> </w:t>
            </w:r>
            <w:r>
              <w:rPr>
                <w:spacing w:val="17"/>
                <w:sz w:val="20"/>
                <w:szCs w:val="20"/>
              </w:rPr>
              <w:t>聚</w:t>
            </w:r>
            <w:r>
              <w:rPr>
                <w:spacing w:val="-40"/>
                <w:sz w:val="20"/>
                <w:szCs w:val="20"/>
              </w:rPr>
              <w:t xml:space="preserve"> </w:t>
            </w:r>
            <w:r>
              <w:rPr>
                <w:spacing w:val="17"/>
                <w:sz w:val="20"/>
                <w:szCs w:val="20"/>
              </w:rPr>
              <w:t>乙烯</w:t>
            </w:r>
            <w:r>
              <w:rPr>
                <w:spacing w:val="-48"/>
                <w:sz w:val="20"/>
                <w:szCs w:val="20"/>
              </w:rPr>
              <w:t xml:space="preserve"> </w:t>
            </w:r>
            <w:r>
              <w:rPr>
                <w:spacing w:val="17"/>
                <w:sz w:val="20"/>
                <w:szCs w:val="20"/>
              </w:rPr>
              <w:t>防渗膜覆盖作</w:t>
            </w:r>
            <w:r>
              <w:rPr>
                <w:spacing w:val="-58"/>
                <w:sz w:val="20"/>
                <w:szCs w:val="20"/>
              </w:rPr>
              <w:t xml:space="preserve"> </w:t>
            </w:r>
            <w:r>
              <w:rPr>
                <w:spacing w:val="17"/>
                <w:sz w:val="20"/>
                <w:szCs w:val="20"/>
              </w:rPr>
              <w:t>为底层</w:t>
            </w:r>
            <w:r>
              <w:rPr>
                <w:spacing w:val="-44"/>
                <w:sz w:val="20"/>
                <w:szCs w:val="20"/>
              </w:rPr>
              <w:t xml:space="preserve"> </w:t>
            </w:r>
            <w:r>
              <w:rPr>
                <w:spacing w:val="17"/>
                <w:sz w:val="20"/>
                <w:szCs w:val="20"/>
              </w:rPr>
              <w:t>，</w:t>
            </w:r>
            <w:r>
              <w:rPr>
                <w:spacing w:val="-56"/>
                <w:sz w:val="20"/>
                <w:szCs w:val="20"/>
              </w:rPr>
              <w:t xml:space="preserve"> </w:t>
            </w:r>
            <w:r>
              <w:rPr>
                <w:spacing w:val="17"/>
                <w:sz w:val="20"/>
                <w:szCs w:val="20"/>
              </w:rPr>
              <w:t>渗透</w:t>
            </w:r>
            <w:r>
              <w:rPr>
                <w:spacing w:val="-57"/>
                <w:sz w:val="20"/>
                <w:szCs w:val="20"/>
              </w:rPr>
              <w:t xml:space="preserve"> </w:t>
            </w:r>
            <w:r>
              <w:rPr>
                <w:spacing w:val="17"/>
                <w:sz w:val="20"/>
                <w:szCs w:val="20"/>
              </w:rPr>
              <w:t>系</w:t>
            </w:r>
            <w:r>
              <w:rPr>
                <w:spacing w:val="-59"/>
                <w:sz w:val="20"/>
                <w:szCs w:val="20"/>
              </w:rPr>
              <w:t xml:space="preserve"> </w:t>
            </w:r>
            <w:r>
              <w:rPr>
                <w:spacing w:val="17"/>
                <w:sz w:val="20"/>
                <w:szCs w:val="20"/>
              </w:rPr>
              <w:t>数</w:t>
            </w:r>
            <w:r>
              <w:rPr>
                <w:rFonts w:ascii="Times New Roman" w:hAnsi="Times New Roman" w:eastAsia="Times New Roman" w:cs="Times New Roman"/>
                <w:spacing w:val="4"/>
                <w:sz w:val="20"/>
                <w:szCs w:val="20"/>
              </w:rPr>
              <w:t>K≤1×10</w:t>
            </w:r>
            <w:r>
              <w:rPr>
                <w:rFonts w:ascii="Times New Roman" w:hAnsi="Times New Roman" w:eastAsia="Times New Roman" w:cs="Times New Roman"/>
                <w:spacing w:val="4"/>
                <w:position w:val="6"/>
                <w:sz w:val="13"/>
                <w:szCs w:val="13"/>
              </w:rPr>
              <w:t>-10</w:t>
            </w:r>
            <w:r>
              <w:rPr>
                <w:rFonts w:ascii="Times New Roman" w:hAnsi="Times New Roman" w:eastAsia="Times New Roman" w:cs="Times New Roman"/>
                <w:sz w:val="20"/>
                <w:szCs w:val="20"/>
              </w:rPr>
              <w:t>cm</w:t>
            </w:r>
            <w:r>
              <w:rPr>
                <w:rFonts w:ascii="Times New Roman" w:hAnsi="Times New Roman" w:eastAsia="Times New Roman" w:cs="Times New Roman"/>
                <w:spacing w:val="4"/>
                <w:sz w:val="20"/>
                <w:szCs w:val="20"/>
              </w:rPr>
              <w:t>/s</w:t>
            </w:r>
            <w:r>
              <w:rPr>
                <w:spacing w:val="4"/>
                <w:sz w:val="20"/>
                <w:szCs w:val="20"/>
              </w:rPr>
              <w:t>。</w:t>
            </w:r>
          </w:p>
        </w:tc>
      </w:tr>
      <w:tr w14:paraId="1C8E8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466" w:type="dxa"/>
            <w:vMerge w:val="continue"/>
            <w:tcBorders>
              <w:top w:val="nil"/>
              <w:left w:val="single" w:color="000000" w:sz="6" w:space="0"/>
              <w:bottom w:val="nil"/>
            </w:tcBorders>
            <w:vAlign w:val="top"/>
          </w:tcPr>
          <w:p w14:paraId="7E6727CA">
            <w:pPr>
              <w:rPr>
                <w:rFonts w:ascii="Arial"/>
                <w:sz w:val="21"/>
              </w:rPr>
            </w:pPr>
          </w:p>
        </w:tc>
        <w:tc>
          <w:tcPr>
            <w:tcW w:w="708" w:type="dxa"/>
            <w:vMerge w:val="continue"/>
            <w:tcBorders>
              <w:top w:val="nil"/>
              <w:bottom w:val="nil"/>
            </w:tcBorders>
            <w:vAlign w:val="top"/>
          </w:tcPr>
          <w:p w14:paraId="53DB6A60">
            <w:pPr>
              <w:rPr>
                <w:rFonts w:ascii="Arial"/>
                <w:sz w:val="21"/>
              </w:rPr>
            </w:pPr>
          </w:p>
        </w:tc>
        <w:tc>
          <w:tcPr>
            <w:tcW w:w="1106" w:type="dxa"/>
            <w:gridSpan w:val="2"/>
            <w:vAlign w:val="top"/>
          </w:tcPr>
          <w:p w14:paraId="1FCEB0D1">
            <w:pPr>
              <w:pStyle w:val="6"/>
              <w:spacing w:before="163" w:line="228" w:lineRule="auto"/>
              <w:ind w:left="27"/>
              <w:rPr>
                <w:sz w:val="20"/>
                <w:szCs w:val="20"/>
              </w:rPr>
            </w:pPr>
            <w:r>
              <w:rPr>
                <w:spacing w:val="8"/>
                <w:sz w:val="20"/>
                <w:szCs w:val="20"/>
              </w:rPr>
              <w:t>表土堆存区</w:t>
            </w:r>
          </w:p>
        </w:tc>
        <w:tc>
          <w:tcPr>
            <w:tcW w:w="6635" w:type="dxa"/>
            <w:tcBorders>
              <w:right w:val="single" w:color="000000" w:sz="6" w:space="0"/>
            </w:tcBorders>
            <w:vAlign w:val="top"/>
          </w:tcPr>
          <w:p w14:paraId="2809449E">
            <w:pPr>
              <w:pStyle w:val="6"/>
              <w:spacing w:before="30" w:line="232" w:lineRule="auto"/>
              <w:ind w:left="2" w:right="102" w:firstLine="3"/>
              <w:rPr>
                <w:sz w:val="20"/>
                <w:szCs w:val="20"/>
              </w:rPr>
            </w:pPr>
            <w:r>
              <w:rPr>
                <w:spacing w:val="6"/>
                <w:sz w:val="20"/>
                <w:szCs w:val="20"/>
              </w:rPr>
              <w:t>设置表土堆存区，位于井场东北部，占地面积</w:t>
            </w:r>
            <w:r>
              <w:rPr>
                <w:spacing w:val="-43"/>
                <w:sz w:val="20"/>
                <w:szCs w:val="20"/>
              </w:rPr>
              <w:t xml:space="preserve"> </w:t>
            </w:r>
            <w:r>
              <w:rPr>
                <w:rFonts w:ascii="Times New Roman" w:hAnsi="Times New Roman" w:eastAsia="Times New Roman" w:cs="Times New Roman"/>
                <w:spacing w:val="6"/>
                <w:sz w:val="20"/>
                <w:szCs w:val="20"/>
              </w:rPr>
              <w:t>2000m</w:t>
            </w:r>
            <w:r>
              <w:rPr>
                <w:rFonts w:ascii="Times New Roman" w:hAnsi="Times New Roman" w:eastAsia="Times New Roman" w:cs="Times New Roman"/>
                <w:spacing w:val="6"/>
                <w:position w:val="6"/>
                <w:sz w:val="13"/>
                <w:szCs w:val="13"/>
              </w:rPr>
              <w:t xml:space="preserve">2 </w:t>
            </w:r>
            <w:r>
              <w:rPr>
                <w:spacing w:val="6"/>
                <w:sz w:val="20"/>
                <w:szCs w:val="20"/>
              </w:rPr>
              <w:t>。勘探</w:t>
            </w:r>
            <w:r>
              <w:rPr>
                <w:spacing w:val="5"/>
                <w:sz w:val="20"/>
                <w:szCs w:val="20"/>
              </w:rPr>
              <w:t>施工前将表</w:t>
            </w:r>
            <w:r>
              <w:rPr>
                <w:spacing w:val="8"/>
                <w:sz w:val="20"/>
                <w:szCs w:val="20"/>
              </w:rPr>
              <w:t>层土壤剥离，用密目网遮盖。</w:t>
            </w:r>
          </w:p>
        </w:tc>
      </w:tr>
      <w:tr w14:paraId="5AAED2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trPr>
        <w:tc>
          <w:tcPr>
            <w:tcW w:w="466" w:type="dxa"/>
            <w:vMerge w:val="continue"/>
            <w:tcBorders>
              <w:top w:val="nil"/>
              <w:left w:val="single" w:color="000000" w:sz="6" w:space="0"/>
              <w:bottom w:val="nil"/>
            </w:tcBorders>
            <w:vAlign w:val="top"/>
          </w:tcPr>
          <w:p w14:paraId="2A92241A">
            <w:pPr>
              <w:rPr>
                <w:rFonts w:ascii="Arial"/>
                <w:sz w:val="21"/>
              </w:rPr>
            </w:pPr>
          </w:p>
        </w:tc>
        <w:tc>
          <w:tcPr>
            <w:tcW w:w="708" w:type="dxa"/>
            <w:vMerge w:val="continue"/>
            <w:tcBorders>
              <w:top w:val="nil"/>
              <w:bottom w:val="nil"/>
            </w:tcBorders>
            <w:vAlign w:val="top"/>
          </w:tcPr>
          <w:p w14:paraId="2C16400E">
            <w:pPr>
              <w:rPr>
                <w:rFonts w:ascii="Arial"/>
                <w:sz w:val="21"/>
              </w:rPr>
            </w:pPr>
          </w:p>
        </w:tc>
        <w:tc>
          <w:tcPr>
            <w:tcW w:w="1106" w:type="dxa"/>
            <w:gridSpan w:val="2"/>
            <w:vAlign w:val="top"/>
          </w:tcPr>
          <w:p w14:paraId="4D29DB7D">
            <w:pPr>
              <w:pStyle w:val="6"/>
              <w:spacing w:before="301" w:line="228" w:lineRule="auto"/>
              <w:ind w:left="239"/>
              <w:rPr>
                <w:sz w:val="20"/>
                <w:szCs w:val="20"/>
              </w:rPr>
            </w:pPr>
            <w:r>
              <w:rPr>
                <w:spacing w:val="6"/>
                <w:sz w:val="20"/>
                <w:szCs w:val="20"/>
              </w:rPr>
              <w:t>柴油罐</w:t>
            </w:r>
          </w:p>
        </w:tc>
        <w:tc>
          <w:tcPr>
            <w:tcW w:w="6635" w:type="dxa"/>
            <w:tcBorders>
              <w:right w:val="single" w:color="000000" w:sz="6" w:space="0"/>
            </w:tcBorders>
            <w:vAlign w:val="top"/>
          </w:tcPr>
          <w:p w14:paraId="2F1C8956">
            <w:pPr>
              <w:pStyle w:val="6"/>
              <w:spacing w:before="32" w:line="238" w:lineRule="auto"/>
              <w:ind w:left="1" w:right="104" w:firstLine="4"/>
              <w:jc w:val="both"/>
              <w:rPr>
                <w:sz w:val="20"/>
                <w:szCs w:val="20"/>
              </w:rPr>
            </w:pPr>
            <w:r>
              <w:rPr>
                <w:spacing w:val="5"/>
                <w:sz w:val="20"/>
                <w:szCs w:val="20"/>
              </w:rPr>
              <w:t>项目设置柴油发电机组，提供动力和电力，设置一具</w:t>
            </w:r>
            <w:r>
              <w:rPr>
                <w:spacing w:val="-25"/>
                <w:sz w:val="20"/>
                <w:szCs w:val="20"/>
              </w:rPr>
              <w:t xml:space="preserve"> </w:t>
            </w:r>
            <w:r>
              <w:rPr>
                <w:rFonts w:ascii="Times New Roman" w:hAnsi="Times New Roman" w:eastAsia="Times New Roman" w:cs="Times New Roman"/>
                <w:spacing w:val="5"/>
                <w:sz w:val="20"/>
                <w:szCs w:val="20"/>
              </w:rPr>
              <w:t>40m</w:t>
            </w:r>
            <w:r>
              <w:rPr>
                <w:rFonts w:ascii="Times New Roman" w:hAnsi="Times New Roman" w:eastAsia="Times New Roman" w:cs="Times New Roman"/>
                <w:spacing w:val="5"/>
                <w:position w:val="6"/>
                <w:sz w:val="13"/>
                <w:szCs w:val="13"/>
              </w:rPr>
              <w:t>3</w:t>
            </w:r>
            <w:r>
              <w:rPr>
                <w:rFonts w:ascii="Times New Roman" w:hAnsi="Times New Roman" w:eastAsia="Times New Roman" w:cs="Times New Roman"/>
                <w:spacing w:val="20"/>
                <w:position w:val="6"/>
                <w:sz w:val="13"/>
                <w:szCs w:val="13"/>
              </w:rPr>
              <w:t xml:space="preserve"> </w:t>
            </w:r>
            <w:r>
              <w:rPr>
                <w:spacing w:val="5"/>
                <w:sz w:val="20"/>
                <w:szCs w:val="20"/>
              </w:rPr>
              <w:t>卧式固定柴油</w:t>
            </w:r>
            <w:r>
              <w:rPr>
                <w:spacing w:val="7"/>
                <w:sz w:val="20"/>
                <w:szCs w:val="20"/>
              </w:rPr>
              <w:t>罐。柴油罐区四周加设高度为</w:t>
            </w:r>
            <w:r>
              <w:rPr>
                <w:spacing w:val="-43"/>
                <w:sz w:val="20"/>
                <w:szCs w:val="20"/>
              </w:rPr>
              <w:t xml:space="preserve"> </w:t>
            </w:r>
            <w:r>
              <w:rPr>
                <w:rFonts w:ascii="Times New Roman" w:hAnsi="Times New Roman" w:eastAsia="Times New Roman" w:cs="Times New Roman"/>
                <w:spacing w:val="7"/>
                <w:sz w:val="20"/>
                <w:szCs w:val="20"/>
              </w:rPr>
              <w:t>20</w:t>
            </w:r>
            <w:r>
              <w:rPr>
                <w:rFonts w:ascii="Times New Roman" w:hAnsi="Times New Roman" w:eastAsia="Times New Roman" w:cs="Times New Roman"/>
                <w:sz w:val="20"/>
                <w:szCs w:val="20"/>
              </w:rPr>
              <w:t>cm</w:t>
            </w:r>
            <w:r>
              <w:rPr>
                <w:rFonts w:ascii="Times New Roman" w:hAnsi="Times New Roman" w:eastAsia="Times New Roman" w:cs="Times New Roman"/>
                <w:spacing w:val="27"/>
                <w:sz w:val="20"/>
                <w:szCs w:val="20"/>
              </w:rPr>
              <w:t xml:space="preserve"> </w:t>
            </w:r>
            <w:r>
              <w:rPr>
                <w:spacing w:val="7"/>
                <w:sz w:val="20"/>
                <w:szCs w:val="20"/>
              </w:rPr>
              <w:t>的围堰，然后铺设双层</w:t>
            </w:r>
            <w:r>
              <w:rPr>
                <w:spacing w:val="-43"/>
                <w:sz w:val="20"/>
                <w:szCs w:val="20"/>
              </w:rPr>
              <w:t xml:space="preserve"> </w:t>
            </w:r>
            <w:r>
              <w:rPr>
                <w:rFonts w:ascii="Times New Roman" w:hAnsi="Times New Roman" w:eastAsia="Times New Roman" w:cs="Times New Roman"/>
                <w:spacing w:val="6"/>
                <w:sz w:val="20"/>
                <w:szCs w:val="20"/>
              </w:rPr>
              <w:t>2</w:t>
            </w:r>
            <w:r>
              <w:rPr>
                <w:rFonts w:ascii="Times New Roman" w:hAnsi="Times New Roman" w:eastAsia="Times New Roman" w:cs="Times New Roman"/>
                <w:sz w:val="20"/>
                <w:szCs w:val="20"/>
              </w:rPr>
              <w:t>mm</w:t>
            </w:r>
            <w:r>
              <w:rPr>
                <w:rFonts w:ascii="Times New Roman" w:hAnsi="Times New Roman" w:eastAsia="Times New Roman" w:cs="Times New Roman"/>
                <w:spacing w:val="22"/>
                <w:sz w:val="20"/>
                <w:szCs w:val="20"/>
              </w:rPr>
              <w:t xml:space="preserve"> </w:t>
            </w:r>
            <w:r>
              <w:rPr>
                <w:spacing w:val="6"/>
                <w:sz w:val="20"/>
                <w:szCs w:val="20"/>
              </w:rPr>
              <w:t>厚高密</w:t>
            </w:r>
            <w:r>
              <w:rPr>
                <w:spacing w:val="8"/>
                <w:sz w:val="20"/>
                <w:szCs w:val="20"/>
              </w:rPr>
              <w:t>度聚乙烯防渗膜覆盖作为底层。</w:t>
            </w:r>
          </w:p>
        </w:tc>
      </w:tr>
      <w:tr w14:paraId="04611E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trPr>
        <w:tc>
          <w:tcPr>
            <w:tcW w:w="466" w:type="dxa"/>
            <w:vMerge w:val="continue"/>
            <w:tcBorders>
              <w:top w:val="nil"/>
              <w:left w:val="single" w:color="000000" w:sz="6" w:space="0"/>
              <w:bottom w:val="nil"/>
            </w:tcBorders>
            <w:vAlign w:val="top"/>
          </w:tcPr>
          <w:p w14:paraId="25B5079D">
            <w:pPr>
              <w:rPr>
                <w:rFonts w:ascii="Arial"/>
                <w:sz w:val="21"/>
              </w:rPr>
            </w:pPr>
          </w:p>
        </w:tc>
        <w:tc>
          <w:tcPr>
            <w:tcW w:w="708" w:type="dxa"/>
            <w:vMerge w:val="continue"/>
            <w:tcBorders>
              <w:top w:val="nil"/>
              <w:bottom w:val="nil"/>
            </w:tcBorders>
            <w:vAlign w:val="top"/>
          </w:tcPr>
          <w:p w14:paraId="7DEBD337">
            <w:pPr>
              <w:rPr>
                <w:rFonts w:ascii="Arial"/>
                <w:sz w:val="21"/>
              </w:rPr>
            </w:pPr>
          </w:p>
        </w:tc>
        <w:tc>
          <w:tcPr>
            <w:tcW w:w="1106" w:type="dxa"/>
            <w:gridSpan w:val="2"/>
            <w:vAlign w:val="top"/>
          </w:tcPr>
          <w:p w14:paraId="4F8E2B4B">
            <w:pPr>
              <w:pStyle w:val="6"/>
              <w:spacing w:before="304" w:line="228" w:lineRule="auto"/>
              <w:ind w:left="238"/>
              <w:rPr>
                <w:sz w:val="20"/>
                <w:szCs w:val="20"/>
              </w:rPr>
            </w:pPr>
            <w:r>
              <w:rPr>
                <w:spacing w:val="7"/>
                <w:sz w:val="20"/>
                <w:szCs w:val="20"/>
              </w:rPr>
              <w:t>废水罐</w:t>
            </w:r>
          </w:p>
        </w:tc>
        <w:tc>
          <w:tcPr>
            <w:tcW w:w="6635" w:type="dxa"/>
            <w:tcBorders>
              <w:right w:val="single" w:color="000000" w:sz="6" w:space="0"/>
            </w:tcBorders>
            <w:vAlign w:val="top"/>
          </w:tcPr>
          <w:p w14:paraId="350700DD">
            <w:pPr>
              <w:pStyle w:val="6"/>
              <w:spacing w:before="32" w:line="238" w:lineRule="auto"/>
              <w:ind w:left="18" w:right="103" w:hanging="17"/>
              <w:jc w:val="both"/>
              <w:rPr>
                <w:sz w:val="20"/>
                <w:szCs w:val="20"/>
              </w:rPr>
            </w:pPr>
            <w:r>
              <w:rPr>
                <w:spacing w:val="8"/>
                <w:sz w:val="20"/>
                <w:szCs w:val="20"/>
              </w:rPr>
              <w:t>在泥浆不落地循环系统装置旁设</w:t>
            </w:r>
            <w:r>
              <w:rPr>
                <w:spacing w:val="-24"/>
                <w:sz w:val="20"/>
                <w:szCs w:val="20"/>
              </w:rPr>
              <w:t xml:space="preserve"> </w:t>
            </w:r>
            <w:r>
              <w:rPr>
                <w:rFonts w:ascii="Times New Roman" w:hAnsi="Times New Roman" w:eastAsia="Times New Roman" w:cs="Times New Roman"/>
                <w:spacing w:val="8"/>
                <w:sz w:val="20"/>
                <w:szCs w:val="20"/>
              </w:rPr>
              <w:t>3</w:t>
            </w:r>
            <w:r>
              <w:rPr>
                <w:rFonts w:ascii="Times New Roman" w:hAnsi="Times New Roman" w:eastAsia="Times New Roman" w:cs="Times New Roman"/>
                <w:spacing w:val="18"/>
                <w:w w:val="101"/>
                <w:sz w:val="20"/>
                <w:szCs w:val="20"/>
              </w:rPr>
              <w:t xml:space="preserve"> </w:t>
            </w:r>
            <w:r>
              <w:rPr>
                <w:spacing w:val="8"/>
                <w:sz w:val="20"/>
                <w:szCs w:val="20"/>
              </w:rPr>
              <w:t>具</w:t>
            </w:r>
            <w:r>
              <w:rPr>
                <w:spacing w:val="-36"/>
                <w:sz w:val="20"/>
                <w:szCs w:val="20"/>
              </w:rPr>
              <w:t xml:space="preserve"> </w:t>
            </w:r>
            <w:r>
              <w:rPr>
                <w:rFonts w:ascii="Times New Roman" w:hAnsi="Times New Roman" w:eastAsia="Times New Roman" w:cs="Times New Roman"/>
                <w:spacing w:val="8"/>
                <w:sz w:val="20"/>
                <w:szCs w:val="20"/>
              </w:rPr>
              <w:t>30m</w:t>
            </w:r>
            <w:r>
              <w:rPr>
                <w:rFonts w:ascii="Times New Roman" w:hAnsi="Times New Roman" w:eastAsia="Times New Roman" w:cs="Times New Roman"/>
                <w:spacing w:val="8"/>
                <w:position w:val="6"/>
                <w:sz w:val="13"/>
                <w:szCs w:val="13"/>
              </w:rPr>
              <w:t>3</w:t>
            </w:r>
            <w:r>
              <w:rPr>
                <w:spacing w:val="8"/>
                <w:sz w:val="20"/>
                <w:szCs w:val="20"/>
              </w:rPr>
              <w:t>（</w:t>
            </w:r>
            <w:r>
              <w:rPr>
                <w:rFonts w:ascii="Times New Roman" w:hAnsi="Times New Roman" w:eastAsia="Times New Roman" w:cs="Times New Roman"/>
                <w:spacing w:val="8"/>
                <w:sz w:val="20"/>
                <w:szCs w:val="20"/>
              </w:rPr>
              <w:t>2×2.5×6m</w:t>
            </w:r>
            <w:r>
              <w:rPr>
                <w:spacing w:val="8"/>
                <w:sz w:val="20"/>
                <w:szCs w:val="20"/>
              </w:rPr>
              <w:t>）、壁厚约</w:t>
            </w:r>
            <w:r>
              <w:rPr>
                <w:spacing w:val="-33"/>
                <w:sz w:val="20"/>
                <w:szCs w:val="20"/>
              </w:rPr>
              <w:t xml:space="preserve"> </w:t>
            </w:r>
            <w:r>
              <w:rPr>
                <w:rFonts w:ascii="Times New Roman" w:hAnsi="Times New Roman" w:eastAsia="Times New Roman" w:cs="Times New Roman"/>
                <w:spacing w:val="8"/>
                <w:sz w:val="20"/>
                <w:szCs w:val="20"/>
              </w:rPr>
              <w:t>5</w:t>
            </w:r>
            <w:r>
              <w:rPr>
                <w:rFonts w:ascii="Times New Roman" w:hAnsi="Times New Roman" w:eastAsia="Times New Roman" w:cs="Times New Roman"/>
                <w:sz w:val="20"/>
                <w:szCs w:val="20"/>
              </w:rPr>
              <w:t>mm</w:t>
            </w:r>
            <w:r>
              <w:rPr>
                <w:spacing w:val="6"/>
                <w:sz w:val="20"/>
                <w:szCs w:val="20"/>
              </w:rPr>
              <w:t>的废水罐，用于存放废弃泥浆、钻井岩屑。废水罐四周加设高度为</w:t>
            </w:r>
            <w:r>
              <w:rPr>
                <w:spacing w:val="-30"/>
                <w:sz w:val="20"/>
                <w:szCs w:val="20"/>
              </w:rPr>
              <w:t xml:space="preserve"> </w:t>
            </w:r>
            <w:r>
              <w:rPr>
                <w:rFonts w:ascii="Times New Roman" w:hAnsi="Times New Roman" w:eastAsia="Times New Roman" w:cs="Times New Roman"/>
                <w:spacing w:val="6"/>
                <w:sz w:val="20"/>
                <w:szCs w:val="20"/>
              </w:rPr>
              <w:t>20</w:t>
            </w:r>
            <w:r>
              <w:rPr>
                <w:rFonts w:ascii="Times New Roman" w:hAnsi="Times New Roman" w:eastAsia="Times New Roman" w:cs="Times New Roman"/>
                <w:sz w:val="20"/>
                <w:szCs w:val="20"/>
              </w:rPr>
              <w:t>cm</w:t>
            </w:r>
            <w:r>
              <w:rPr>
                <w:spacing w:val="7"/>
                <w:sz w:val="20"/>
                <w:szCs w:val="20"/>
              </w:rPr>
              <w:t>的围堰，然后铺设双层</w:t>
            </w:r>
            <w:r>
              <w:rPr>
                <w:spacing w:val="-13"/>
                <w:sz w:val="20"/>
                <w:szCs w:val="20"/>
              </w:rPr>
              <w:t xml:space="preserve"> </w:t>
            </w:r>
            <w:r>
              <w:rPr>
                <w:rFonts w:ascii="Times New Roman" w:hAnsi="Times New Roman" w:eastAsia="Times New Roman" w:cs="Times New Roman"/>
                <w:spacing w:val="7"/>
                <w:sz w:val="20"/>
                <w:szCs w:val="20"/>
              </w:rPr>
              <w:t>1.5</w:t>
            </w:r>
            <w:r>
              <w:rPr>
                <w:rFonts w:ascii="Times New Roman" w:hAnsi="Times New Roman" w:eastAsia="Times New Roman" w:cs="Times New Roman"/>
                <w:sz w:val="20"/>
                <w:szCs w:val="20"/>
              </w:rPr>
              <w:t>mm</w:t>
            </w:r>
            <w:r>
              <w:rPr>
                <w:rFonts w:ascii="Times New Roman" w:hAnsi="Times New Roman" w:eastAsia="Times New Roman" w:cs="Times New Roman"/>
                <w:spacing w:val="19"/>
                <w:sz w:val="20"/>
                <w:szCs w:val="20"/>
              </w:rPr>
              <w:t xml:space="preserve"> </w:t>
            </w:r>
            <w:r>
              <w:rPr>
                <w:spacing w:val="7"/>
                <w:sz w:val="20"/>
                <w:szCs w:val="20"/>
              </w:rPr>
              <w:t>厚高密度聚乙烯防渗膜覆盖作为底层。</w:t>
            </w:r>
          </w:p>
        </w:tc>
      </w:tr>
      <w:tr w14:paraId="736DD7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7" w:hRule="atLeast"/>
        </w:trPr>
        <w:tc>
          <w:tcPr>
            <w:tcW w:w="466" w:type="dxa"/>
            <w:vMerge w:val="continue"/>
            <w:tcBorders>
              <w:top w:val="nil"/>
              <w:left w:val="single" w:color="000000" w:sz="6" w:space="0"/>
              <w:bottom w:val="nil"/>
            </w:tcBorders>
            <w:vAlign w:val="top"/>
          </w:tcPr>
          <w:p w14:paraId="4B7F2C19">
            <w:pPr>
              <w:rPr>
                <w:rFonts w:ascii="Arial"/>
                <w:sz w:val="21"/>
              </w:rPr>
            </w:pPr>
          </w:p>
        </w:tc>
        <w:tc>
          <w:tcPr>
            <w:tcW w:w="708" w:type="dxa"/>
            <w:vMerge w:val="continue"/>
            <w:tcBorders>
              <w:top w:val="nil"/>
            </w:tcBorders>
            <w:vAlign w:val="top"/>
          </w:tcPr>
          <w:p w14:paraId="4A089ED8">
            <w:pPr>
              <w:rPr>
                <w:rFonts w:ascii="Arial"/>
                <w:sz w:val="21"/>
              </w:rPr>
            </w:pPr>
          </w:p>
        </w:tc>
        <w:tc>
          <w:tcPr>
            <w:tcW w:w="1106" w:type="dxa"/>
            <w:gridSpan w:val="2"/>
            <w:vAlign w:val="top"/>
          </w:tcPr>
          <w:p w14:paraId="502F157F">
            <w:pPr>
              <w:pStyle w:val="6"/>
              <w:spacing w:before="303" w:line="228" w:lineRule="auto"/>
              <w:ind w:left="238"/>
              <w:rPr>
                <w:sz w:val="20"/>
                <w:szCs w:val="20"/>
              </w:rPr>
            </w:pPr>
            <w:r>
              <w:rPr>
                <w:spacing w:val="7"/>
                <w:sz w:val="20"/>
                <w:szCs w:val="20"/>
              </w:rPr>
              <w:t>储液罐</w:t>
            </w:r>
          </w:p>
        </w:tc>
        <w:tc>
          <w:tcPr>
            <w:tcW w:w="6635" w:type="dxa"/>
            <w:tcBorders>
              <w:right w:val="single" w:color="000000" w:sz="6" w:space="0"/>
            </w:tcBorders>
            <w:vAlign w:val="top"/>
          </w:tcPr>
          <w:p w14:paraId="2C859DFB">
            <w:pPr>
              <w:pStyle w:val="6"/>
              <w:spacing w:before="33" w:line="238" w:lineRule="auto"/>
              <w:ind w:left="2" w:right="102" w:hanging="1"/>
              <w:jc w:val="both"/>
              <w:rPr>
                <w:sz w:val="20"/>
                <w:szCs w:val="20"/>
              </w:rPr>
            </w:pPr>
            <w:r>
              <w:rPr>
                <w:spacing w:val="7"/>
                <w:sz w:val="20"/>
                <w:szCs w:val="20"/>
              </w:rPr>
              <w:t>采出液储液罐区设置</w:t>
            </w:r>
            <w:r>
              <w:rPr>
                <w:spacing w:val="-41"/>
                <w:sz w:val="20"/>
                <w:szCs w:val="20"/>
              </w:rPr>
              <w:t xml:space="preserve"> </w:t>
            </w:r>
            <w:r>
              <w:rPr>
                <w:rFonts w:ascii="Times New Roman" w:hAnsi="Times New Roman" w:eastAsia="Times New Roman" w:cs="Times New Roman"/>
                <w:spacing w:val="7"/>
                <w:sz w:val="20"/>
                <w:szCs w:val="20"/>
              </w:rPr>
              <w:t xml:space="preserve">2 </w:t>
            </w:r>
            <w:r>
              <w:rPr>
                <w:spacing w:val="7"/>
                <w:sz w:val="20"/>
                <w:szCs w:val="20"/>
              </w:rPr>
              <w:t>个（一用一备）</w:t>
            </w:r>
            <w:r>
              <w:rPr>
                <w:rFonts w:ascii="Times New Roman" w:hAnsi="Times New Roman" w:eastAsia="Times New Roman" w:cs="Times New Roman"/>
                <w:spacing w:val="7"/>
                <w:sz w:val="20"/>
                <w:szCs w:val="20"/>
              </w:rPr>
              <w:t>40m</w:t>
            </w:r>
            <w:r>
              <w:rPr>
                <w:rFonts w:ascii="Times New Roman" w:hAnsi="Times New Roman" w:eastAsia="Times New Roman" w:cs="Times New Roman"/>
                <w:spacing w:val="7"/>
                <w:position w:val="6"/>
                <w:sz w:val="13"/>
                <w:szCs w:val="13"/>
              </w:rPr>
              <w:t>3</w:t>
            </w:r>
            <w:r>
              <w:rPr>
                <w:rFonts w:ascii="Times New Roman" w:hAnsi="Times New Roman" w:eastAsia="Times New Roman" w:cs="Times New Roman"/>
                <w:spacing w:val="25"/>
                <w:w w:val="102"/>
                <w:position w:val="6"/>
                <w:sz w:val="13"/>
                <w:szCs w:val="13"/>
              </w:rPr>
              <w:t xml:space="preserve"> </w:t>
            </w:r>
            <w:r>
              <w:rPr>
                <w:spacing w:val="7"/>
                <w:sz w:val="20"/>
                <w:szCs w:val="20"/>
              </w:rPr>
              <w:t>的卧式固定罐</w:t>
            </w:r>
            <w:r>
              <w:rPr>
                <w:spacing w:val="6"/>
                <w:sz w:val="20"/>
                <w:szCs w:val="20"/>
              </w:rPr>
              <w:t>。储液罐区四</w:t>
            </w:r>
            <w:r>
              <w:rPr>
                <w:spacing w:val="7"/>
                <w:sz w:val="20"/>
                <w:szCs w:val="20"/>
              </w:rPr>
              <w:t>周加设高度为</w:t>
            </w:r>
            <w:r>
              <w:rPr>
                <w:spacing w:val="-41"/>
                <w:sz w:val="20"/>
                <w:szCs w:val="20"/>
              </w:rPr>
              <w:t xml:space="preserve"> </w:t>
            </w:r>
            <w:r>
              <w:rPr>
                <w:rFonts w:ascii="Times New Roman" w:hAnsi="Times New Roman" w:eastAsia="Times New Roman" w:cs="Times New Roman"/>
                <w:spacing w:val="7"/>
                <w:sz w:val="20"/>
                <w:szCs w:val="20"/>
              </w:rPr>
              <w:t>20</w:t>
            </w:r>
            <w:r>
              <w:rPr>
                <w:rFonts w:ascii="Times New Roman" w:hAnsi="Times New Roman" w:eastAsia="Times New Roman" w:cs="Times New Roman"/>
                <w:sz w:val="20"/>
                <w:szCs w:val="20"/>
              </w:rPr>
              <w:t>cm</w:t>
            </w:r>
            <w:r>
              <w:rPr>
                <w:rFonts w:ascii="Times New Roman" w:hAnsi="Times New Roman" w:eastAsia="Times New Roman" w:cs="Times New Roman"/>
                <w:spacing w:val="27"/>
                <w:sz w:val="20"/>
                <w:szCs w:val="20"/>
              </w:rPr>
              <w:t xml:space="preserve"> </w:t>
            </w:r>
            <w:r>
              <w:rPr>
                <w:spacing w:val="7"/>
                <w:sz w:val="20"/>
                <w:szCs w:val="20"/>
              </w:rPr>
              <w:t>的围堰，然后铺设双层</w:t>
            </w:r>
            <w:r>
              <w:rPr>
                <w:spacing w:val="-41"/>
                <w:sz w:val="20"/>
                <w:szCs w:val="20"/>
              </w:rPr>
              <w:t xml:space="preserve"> </w:t>
            </w:r>
            <w:r>
              <w:rPr>
                <w:rFonts w:ascii="Times New Roman" w:hAnsi="Times New Roman" w:eastAsia="Times New Roman" w:cs="Times New Roman"/>
                <w:spacing w:val="7"/>
                <w:sz w:val="20"/>
                <w:szCs w:val="20"/>
              </w:rPr>
              <w:t>2</w:t>
            </w:r>
            <w:r>
              <w:rPr>
                <w:rFonts w:ascii="Times New Roman" w:hAnsi="Times New Roman" w:eastAsia="Times New Roman" w:cs="Times New Roman"/>
                <w:sz w:val="20"/>
                <w:szCs w:val="20"/>
              </w:rPr>
              <w:t>mm</w:t>
            </w:r>
            <w:r>
              <w:rPr>
                <w:rFonts w:ascii="Times New Roman" w:hAnsi="Times New Roman" w:eastAsia="Times New Roman" w:cs="Times New Roman"/>
                <w:spacing w:val="19"/>
                <w:w w:val="101"/>
                <w:sz w:val="20"/>
                <w:szCs w:val="20"/>
              </w:rPr>
              <w:t xml:space="preserve"> </w:t>
            </w:r>
            <w:r>
              <w:rPr>
                <w:spacing w:val="7"/>
                <w:sz w:val="20"/>
                <w:szCs w:val="20"/>
              </w:rPr>
              <w:t>厚高密度聚</w:t>
            </w:r>
            <w:r>
              <w:rPr>
                <w:spacing w:val="6"/>
                <w:sz w:val="20"/>
                <w:szCs w:val="20"/>
              </w:rPr>
              <w:t>乙烯防渗膜覆盖作为底层。</w:t>
            </w:r>
          </w:p>
        </w:tc>
      </w:tr>
      <w:tr w14:paraId="629388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466" w:type="dxa"/>
            <w:vMerge w:val="continue"/>
            <w:tcBorders>
              <w:top w:val="nil"/>
              <w:left w:val="single" w:color="000000" w:sz="6" w:space="0"/>
              <w:bottom w:val="nil"/>
            </w:tcBorders>
            <w:vAlign w:val="top"/>
          </w:tcPr>
          <w:p w14:paraId="13FA40F8">
            <w:pPr>
              <w:rPr>
                <w:rFonts w:ascii="Arial"/>
                <w:sz w:val="21"/>
              </w:rPr>
            </w:pPr>
          </w:p>
        </w:tc>
        <w:tc>
          <w:tcPr>
            <w:tcW w:w="708" w:type="dxa"/>
            <w:vMerge w:val="restart"/>
            <w:tcBorders>
              <w:bottom w:val="nil"/>
            </w:tcBorders>
            <w:vAlign w:val="top"/>
          </w:tcPr>
          <w:p w14:paraId="167C37E9">
            <w:pPr>
              <w:spacing w:line="257" w:lineRule="auto"/>
              <w:rPr>
                <w:rFonts w:ascii="Arial"/>
                <w:sz w:val="21"/>
              </w:rPr>
            </w:pPr>
          </w:p>
          <w:p w14:paraId="63759E07">
            <w:pPr>
              <w:spacing w:line="257" w:lineRule="auto"/>
              <w:rPr>
                <w:rFonts w:ascii="Arial"/>
                <w:sz w:val="21"/>
              </w:rPr>
            </w:pPr>
          </w:p>
          <w:p w14:paraId="13CBC3A7">
            <w:pPr>
              <w:spacing w:line="257" w:lineRule="auto"/>
              <w:rPr>
                <w:rFonts w:ascii="Arial"/>
                <w:sz w:val="21"/>
              </w:rPr>
            </w:pPr>
          </w:p>
          <w:p w14:paraId="2A273346">
            <w:pPr>
              <w:spacing w:line="257" w:lineRule="auto"/>
              <w:rPr>
                <w:rFonts w:ascii="Arial"/>
                <w:sz w:val="21"/>
              </w:rPr>
            </w:pPr>
          </w:p>
          <w:p w14:paraId="216CC389">
            <w:pPr>
              <w:spacing w:line="257" w:lineRule="auto"/>
              <w:rPr>
                <w:rFonts w:ascii="Arial"/>
                <w:sz w:val="21"/>
              </w:rPr>
            </w:pPr>
          </w:p>
          <w:p w14:paraId="069D5FF0">
            <w:pPr>
              <w:spacing w:line="258" w:lineRule="auto"/>
              <w:rPr>
                <w:rFonts w:ascii="Arial"/>
                <w:sz w:val="21"/>
              </w:rPr>
            </w:pPr>
          </w:p>
          <w:p w14:paraId="640703A4">
            <w:pPr>
              <w:pStyle w:val="6"/>
              <w:spacing w:before="65" w:line="252" w:lineRule="auto"/>
              <w:ind w:left="199" w:right="96" w:firstLine="3"/>
              <w:rPr>
                <w:sz w:val="20"/>
                <w:szCs w:val="20"/>
              </w:rPr>
            </w:pPr>
            <w:r>
              <w:rPr>
                <w:spacing w:val="1"/>
                <w:sz w:val="20"/>
                <w:szCs w:val="20"/>
              </w:rPr>
              <w:t>公用</w:t>
            </w:r>
            <w:r>
              <w:rPr>
                <w:spacing w:val="3"/>
                <w:sz w:val="20"/>
                <w:szCs w:val="20"/>
              </w:rPr>
              <w:t>工程</w:t>
            </w:r>
          </w:p>
        </w:tc>
        <w:tc>
          <w:tcPr>
            <w:tcW w:w="1106" w:type="dxa"/>
            <w:gridSpan w:val="2"/>
            <w:vAlign w:val="top"/>
          </w:tcPr>
          <w:p w14:paraId="3A696CC6">
            <w:pPr>
              <w:pStyle w:val="6"/>
              <w:spacing w:before="89" w:line="227" w:lineRule="auto"/>
              <w:ind w:left="342"/>
              <w:rPr>
                <w:sz w:val="20"/>
                <w:szCs w:val="20"/>
              </w:rPr>
            </w:pPr>
            <w:r>
              <w:rPr>
                <w:spacing w:val="4"/>
                <w:sz w:val="20"/>
                <w:szCs w:val="20"/>
              </w:rPr>
              <w:t>供电</w:t>
            </w:r>
          </w:p>
        </w:tc>
        <w:tc>
          <w:tcPr>
            <w:tcW w:w="6635" w:type="dxa"/>
            <w:tcBorders>
              <w:right w:val="single" w:color="000000" w:sz="6" w:space="0"/>
            </w:tcBorders>
            <w:vAlign w:val="top"/>
          </w:tcPr>
          <w:p w14:paraId="66A0A3CF">
            <w:pPr>
              <w:pStyle w:val="6"/>
              <w:spacing w:before="89" w:line="227" w:lineRule="auto"/>
              <w:ind w:left="27"/>
              <w:rPr>
                <w:sz w:val="20"/>
                <w:szCs w:val="20"/>
              </w:rPr>
            </w:pPr>
            <w:r>
              <w:rPr>
                <w:spacing w:val="7"/>
                <w:sz w:val="20"/>
                <w:szCs w:val="20"/>
              </w:rPr>
              <w:t>由井场柴油发电机组提供，柴油机使用符合国标的</w:t>
            </w:r>
            <w:r>
              <w:rPr>
                <w:spacing w:val="-23"/>
                <w:sz w:val="20"/>
                <w:szCs w:val="20"/>
              </w:rPr>
              <w:t xml:space="preserve"> </w:t>
            </w:r>
            <w:r>
              <w:rPr>
                <w:rFonts w:ascii="Times New Roman" w:hAnsi="Times New Roman" w:eastAsia="Times New Roman" w:cs="Times New Roman"/>
                <w:spacing w:val="7"/>
                <w:sz w:val="20"/>
                <w:szCs w:val="20"/>
              </w:rPr>
              <w:t>0#</w:t>
            </w:r>
            <w:r>
              <w:rPr>
                <w:spacing w:val="7"/>
                <w:sz w:val="20"/>
                <w:szCs w:val="20"/>
              </w:rPr>
              <w:t>或</w:t>
            </w:r>
            <w:r>
              <w:rPr>
                <w:rFonts w:ascii="Times New Roman" w:hAnsi="Times New Roman" w:eastAsia="Times New Roman" w:cs="Times New Roman"/>
                <w:spacing w:val="7"/>
                <w:sz w:val="20"/>
                <w:szCs w:val="20"/>
              </w:rPr>
              <w:t>-35#</w:t>
            </w:r>
            <w:r>
              <w:rPr>
                <w:spacing w:val="7"/>
                <w:sz w:val="20"/>
                <w:szCs w:val="20"/>
              </w:rPr>
              <w:t>轻质柴油。</w:t>
            </w:r>
          </w:p>
        </w:tc>
      </w:tr>
      <w:tr w14:paraId="55ED0B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trPr>
        <w:tc>
          <w:tcPr>
            <w:tcW w:w="466" w:type="dxa"/>
            <w:vMerge w:val="continue"/>
            <w:tcBorders>
              <w:top w:val="nil"/>
              <w:left w:val="single" w:color="000000" w:sz="6" w:space="0"/>
              <w:bottom w:val="nil"/>
            </w:tcBorders>
            <w:vAlign w:val="top"/>
          </w:tcPr>
          <w:p w14:paraId="3FD6E2E0">
            <w:pPr>
              <w:rPr>
                <w:rFonts w:ascii="Arial"/>
                <w:sz w:val="21"/>
              </w:rPr>
            </w:pPr>
          </w:p>
        </w:tc>
        <w:tc>
          <w:tcPr>
            <w:tcW w:w="708" w:type="dxa"/>
            <w:vMerge w:val="continue"/>
            <w:tcBorders>
              <w:top w:val="nil"/>
              <w:bottom w:val="nil"/>
            </w:tcBorders>
            <w:vAlign w:val="top"/>
          </w:tcPr>
          <w:p w14:paraId="71770651">
            <w:pPr>
              <w:rPr>
                <w:rFonts w:ascii="Arial"/>
                <w:sz w:val="21"/>
              </w:rPr>
            </w:pPr>
          </w:p>
        </w:tc>
        <w:tc>
          <w:tcPr>
            <w:tcW w:w="1106" w:type="dxa"/>
            <w:gridSpan w:val="2"/>
            <w:vAlign w:val="top"/>
          </w:tcPr>
          <w:p w14:paraId="76E05F84">
            <w:pPr>
              <w:pStyle w:val="6"/>
              <w:spacing w:before="305" w:line="227" w:lineRule="auto"/>
              <w:ind w:left="342"/>
              <w:rPr>
                <w:sz w:val="20"/>
                <w:szCs w:val="20"/>
              </w:rPr>
            </w:pPr>
            <w:r>
              <w:rPr>
                <w:spacing w:val="4"/>
                <w:sz w:val="20"/>
                <w:szCs w:val="20"/>
              </w:rPr>
              <w:t>供热</w:t>
            </w:r>
          </w:p>
        </w:tc>
        <w:tc>
          <w:tcPr>
            <w:tcW w:w="6635" w:type="dxa"/>
            <w:tcBorders>
              <w:right w:val="single" w:color="000000" w:sz="6" w:space="0"/>
            </w:tcBorders>
            <w:vAlign w:val="top"/>
          </w:tcPr>
          <w:p w14:paraId="4F63F904">
            <w:pPr>
              <w:pStyle w:val="6"/>
              <w:spacing w:before="32" w:line="238" w:lineRule="auto"/>
              <w:ind w:left="1" w:right="105" w:firstLine="4"/>
              <w:rPr>
                <w:sz w:val="20"/>
                <w:szCs w:val="20"/>
              </w:rPr>
            </w:pPr>
            <w:r>
              <w:rPr>
                <w:spacing w:val="10"/>
                <w:sz w:val="20"/>
                <w:szCs w:val="20"/>
              </w:rPr>
              <w:t>项目不设置加热炉，如勘探期为冬季，则办公生活</w:t>
            </w:r>
            <w:r>
              <w:rPr>
                <w:spacing w:val="9"/>
                <w:sz w:val="20"/>
                <w:szCs w:val="20"/>
              </w:rPr>
              <w:t>区采用电暖器取暖；</w:t>
            </w:r>
            <w:r>
              <w:rPr>
                <w:spacing w:val="10"/>
                <w:sz w:val="20"/>
                <w:szCs w:val="20"/>
              </w:rPr>
              <w:t>采出液输送管线利用伴热带保温，单井储液罐使用电加热器加热。由柴</w:t>
            </w:r>
            <w:r>
              <w:rPr>
                <w:spacing w:val="8"/>
                <w:sz w:val="20"/>
                <w:szCs w:val="20"/>
              </w:rPr>
              <w:t>油发电机组提供电力。</w:t>
            </w:r>
          </w:p>
        </w:tc>
      </w:tr>
      <w:tr w14:paraId="06973B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 w:hRule="atLeast"/>
        </w:trPr>
        <w:tc>
          <w:tcPr>
            <w:tcW w:w="466" w:type="dxa"/>
            <w:vMerge w:val="continue"/>
            <w:tcBorders>
              <w:top w:val="nil"/>
              <w:left w:val="single" w:color="000000" w:sz="6" w:space="0"/>
              <w:bottom w:val="nil"/>
            </w:tcBorders>
            <w:vAlign w:val="top"/>
          </w:tcPr>
          <w:p w14:paraId="1653C33F">
            <w:pPr>
              <w:rPr>
                <w:rFonts w:ascii="Arial"/>
                <w:sz w:val="21"/>
              </w:rPr>
            </w:pPr>
          </w:p>
        </w:tc>
        <w:tc>
          <w:tcPr>
            <w:tcW w:w="708" w:type="dxa"/>
            <w:vMerge w:val="continue"/>
            <w:tcBorders>
              <w:top w:val="nil"/>
              <w:bottom w:val="nil"/>
            </w:tcBorders>
            <w:vAlign w:val="top"/>
          </w:tcPr>
          <w:p w14:paraId="77A19B9C">
            <w:pPr>
              <w:rPr>
                <w:rFonts w:ascii="Arial"/>
                <w:sz w:val="21"/>
              </w:rPr>
            </w:pPr>
          </w:p>
        </w:tc>
        <w:tc>
          <w:tcPr>
            <w:tcW w:w="1106" w:type="dxa"/>
            <w:gridSpan w:val="2"/>
            <w:vAlign w:val="top"/>
          </w:tcPr>
          <w:p w14:paraId="29C98035">
            <w:pPr>
              <w:pStyle w:val="6"/>
              <w:spacing w:before="188" w:line="227" w:lineRule="auto"/>
              <w:ind w:left="342"/>
              <w:rPr>
                <w:sz w:val="20"/>
                <w:szCs w:val="20"/>
              </w:rPr>
            </w:pPr>
            <w:r>
              <w:rPr>
                <w:spacing w:val="4"/>
                <w:sz w:val="20"/>
                <w:szCs w:val="20"/>
              </w:rPr>
              <w:t>供水</w:t>
            </w:r>
          </w:p>
        </w:tc>
        <w:tc>
          <w:tcPr>
            <w:tcW w:w="6635" w:type="dxa"/>
            <w:tcBorders>
              <w:right w:val="single" w:color="000000" w:sz="6" w:space="0"/>
            </w:tcBorders>
            <w:vAlign w:val="top"/>
          </w:tcPr>
          <w:p w14:paraId="75486835">
            <w:pPr>
              <w:pStyle w:val="6"/>
              <w:spacing w:before="50"/>
              <w:ind w:left="2" w:right="102" w:firstLine="1"/>
              <w:rPr>
                <w:sz w:val="20"/>
                <w:szCs w:val="20"/>
              </w:rPr>
            </w:pPr>
            <w:r>
              <w:rPr>
                <w:spacing w:val="5"/>
                <w:sz w:val="20"/>
                <w:szCs w:val="20"/>
              </w:rPr>
              <w:t>生活用水来源为附近村庄自来水，用</w:t>
            </w:r>
            <w:r>
              <w:rPr>
                <w:spacing w:val="-23"/>
                <w:sz w:val="20"/>
                <w:szCs w:val="20"/>
              </w:rPr>
              <w:t xml:space="preserve"> </w:t>
            </w:r>
            <w:r>
              <w:rPr>
                <w:rFonts w:ascii="Times New Roman" w:hAnsi="Times New Roman" w:eastAsia="Times New Roman" w:cs="Times New Roman"/>
                <w:spacing w:val="5"/>
                <w:sz w:val="20"/>
                <w:szCs w:val="20"/>
              </w:rPr>
              <w:t>10m</w:t>
            </w:r>
            <w:r>
              <w:rPr>
                <w:rFonts w:ascii="Times New Roman" w:hAnsi="Times New Roman" w:eastAsia="Times New Roman" w:cs="Times New Roman"/>
                <w:spacing w:val="5"/>
                <w:position w:val="6"/>
                <w:sz w:val="13"/>
                <w:szCs w:val="13"/>
              </w:rPr>
              <w:t>3</w:t>
            </w:r>
            <w:r>
              <w:rPr>
                <w:rFonts w:ascii="Times New Roman" w:hAnsi="Times New Roman" w:eastAsia="Times New Roman" w:cs="Times New Roman"/>
                <w:spacing w:val="25"/>
                <w:position w:val="6"/>
                <w:sz w:val="13"/>
                <w:szCs w:val="13"/>
              </w:rPr>
              <w:t xml:space="preserve"> </w:t>
            </w:r>
            <w:r>
              <w:rPr>
                <w:spacing w:val="5"/>
                <w:sz w:val="20"/>
                <w:szCs w:val="20"/>
              </w:rPr>
              <w:t>的水罐车拉运；生产用</w:t>
            </w:r>
            <w:r>
              <w:rPr>
                <w:spacing w:val="4"/>
                <w:sz w:val="20"/>
                <w:szCs w:val="20"/>
              </w:rPr>
              <w:t>水从巴</w:t>
            </w:r>
            <w:r>
              <w:rPr>
                <w:spacing w:val="8"/>
                <w:sz w:val="20"/>
                <w:szCs w:val="20"/>
              </w:rPr>
              <w:t>彦淖尔市市政环境（集团）有限公司由</w:t>
            </w:r>
            <w:r>
              <w:rPr>
                <w:spacing w:val="-40"/>
                <w:sz w:val="20"/>
                <w:szCs w:val="20"/>
              </w:rPr>
              <w:t xml:space="preserve"> </w:t>
            </w:r>
            <w:r>
              <w:rPr>
                <w:rFonts w:ascii="Times New Roman" w:hAnsi="Times New Roman" w:eastAsia="Times New Roman" w:cs="Times New Roman"/>
                <w:spacing w:val="8"/>
                <w:sz w:val="20"/>
                <w:szCs w:val="20"/>
              </w:rPr>
              <w:t>20m</w:t>
            </w:r>
            <w:r>
              <w:rPr>
                <w:rFonts w:ascii="Times New Roman" w:hAnsi="Times New Roman" w:eastAsia="Times New Roman" w:cs="Times New Roman"/>
                <w:spacing w:val="8"/>
                <w:position w:val="6"/>
                <w:sz w:val="13"/>
                <w:szCs w:val="13"/>
              </w:rPr>
              <w:t>3</w:t>
            </w:r>
            <w:r>
              <w:rPr>
                <w:rFonts w:ascii="Times New Roman" w:hAnsi="Times New Roman" w:eastAsia="Times New Roman" w:cs="Times New Roman"/>
                <w:spacing w:val="12"/>
                <w:w w:val="102"/>
                <w:position w:val="6"/>
                <w:sz w:val="13"/>
                <w:szCs w:val="13"/>
              </w:rPr>
              <w:t xml:space="preserve"> </w:t>
            </w:r>
            <w:r>
              <w:rPr>
                <w:spacing w:val="8"/>
                <w:sz w:val="20"/>
                <w:szCs w:val="20"/>
              </w:rPr>
              <w:t>水罐车</w:t>
            </w:r>
            <w:r>
              <w:rPr>
                <w:spacing w:val="7"/>
                <w:sz w:val="20"/>
                <w:szCs w:val="20"/>
              </w:rPr>
              <w:t>拉运。</w:t>
            </w:r>
          </w:p>
        </w:tc>
      </w:tr>
      <w:tr w14:paraId="1451BB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trPr>
        <w:tc>
          <w:tcPr>
            <w:tcW w:w="466" w:type="dxa"/>
            <w:vMerge w:val="continue"/>
            <w:tcBorders>
              <w:top w:val="nil"/>
              <w:left w:val="single" w:color="000000" w:sz="6" w:space="0"/>
              <w:bottom w:val="nil"/>
            </w:tcBorders>
            <w:vAlign w:val="top"/>
          </w:tcPr>
          <w:p w14:paraId="123E5D01">
            <w:pPr>
              <w:rPr>
                <w:rFonts w:ascii="Arial"/>
                <w:sz w:val="21"/>
              </w:rPr>
            </w:pPr>
          </w:p>
        </w:tc>
        <w:tc>
          <w:tcPr>
            <w:tcW w:w="708" w:type="dxa"/>
            <w:vMerge w:val="continue"/>
            <w:tcBorders>
              <w:top w:val="nil"/>
              <w:bottom w:val="nil"/>
            </w:tcBorders>
            <w:vAlign w:val="top"/>
          </w:tcPr>
          <w:p w14:paraId="0C029C28">
            <w:pPr>
              <w:rPr>
                <w:rFonts w:ascii="Arial"/>
                <w:sz w:val="21"/>
              </w:rPr>
            </w:pPr>
          </w:p>
        </w:tc>
        <w:tc>
          <w:tcPr>
            <w:tcW w:w="1106" w:type="dxa"/>
            <w:gridSpan w:val="2"/>
            <w:vAlign w:val="top"/>
          </w:tcPr>
          <w:p w14:paraId="552CF92E">
            <w:pPr>
              <w:rPr>
                <w:rFonts w:ascii="Arial"/>
                <w:sz w:val="21"/>
              </w:rPr>
            </w:pPr>
          </w:p>
          <w:p w14:paraId="5CF5397D">
            <w:pPr>
              <w:pStyle w:val="6"/>
              <w:spacing w:before="65" w:line="228" w:lineRule="auto"/>
              <w:ind w:left="342"/>
              <w:rPr>
                <w:sz w:val="20"/>
                <w:szCs w:val="20"/>
              </w:rPr>
            </w:pPr>
            <w:r>
              <w:rPr>
                <w:spacing w:val="4"/>
                <w:sz w:val="20"/>
                <w:szCs w:val="20"/>
              </w:rPr>
              <w:t>排水</w:t>
            </w:r>
          </w:p>
        </w:tc>
        <w:tc>
          <w:tcPr>
            <w:tcW w:w="6635" w:type="dxa"/>
            <w:tcBorders>
              <w:right w:val="single" w:color="000000" w:sz="6" w:space="0"/>
            </w:tcBorders>
            <w:vAlign w:val="top"/>
          </w:tcPr>
          <w:p w14:paraId="28D0AFA7">
            <w:pPr>
              <w:pStyle w:val="6"/>
              <w:spacing w:before="35" w:line="237" w:lineRule="auto"/>
              <w:ind w:left="1" w:right="105"/>
              <w:jc w:val="both"/>
              <w:rPr>
                <w:sz w:val="20"/>
                <w:szCs w:val="20"/>
              </w:rPr>
            </w:pPr>
            <w:r>
              <w:rPr>
                <w:spacing w:val="10"/>
                <w:sz w:val="20"/>
                <w:szCs w:val="20"/>
              </w:rPr>
              <w:t>钻井过程中废水随同废弃泥浆、钻井岩屑收集至可移动废水罐，定期拉运至内蒙古众宁环保科技有限公司油气田废弃物集中处理厂处理。盥洗</w:t>
            </w:r>
            <w:r>
              <w:rPr>
                <w:spacing w:val="8"/>
                <w:sz w:val="20"/>
                <w:szCs w:val="20"/>
              </w:rPr>
              <w:t>废水排入井场设置的环保厕所，定期清掏。</w:t>
            </w:r>
          </w:p>
        </w:tc>
      </w:tr>
      <w:tr w14:paraId="61E6A8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8" w:hRule="atLeast"/>
        </w:trPr>
        <w:tc>
          <w:tcPr>
            <w:tcW w:w="466" w:type="dxa"/>
            <w:vMerge w:val="continue"/>
            <w:tcBorders>
              <w:top w:val="nil"/>
              <w:left w:val="single" w:color="000000" w:sz="6" w:space="0"/>
              <w:bottom w:val="nil"/>
            </w:tcBorders>
            <w:vAlign w:val="top"/>
          </w:tcPr>
          <w:p w14:paraId="1BEA84A6">
            <w:pPr>
              <w:rPr>
                <w:rFonts w:ascii="Arial"/>
                <w:sz w:val="21"/>
              </w:rPr>
            </w:pPr>
          </w:p>
        </w:tc>
        <w:tc>
          <w:tcPr>
            <w:tcW w:w="708" w:type="dxa"/>
            <w:vMerge w:val="continue"/>
            <w:tcBorders>
              <w:top w:val="nil"/>
            </w:tcBorders>
            <w:vAlign w:val="top"/>
          </w:tcPr>
          <w:p w14:paraId="5B2D6EC9">
            <w:pPr>
              <w:rPr>
                <w:rFonts w:ascii="Arial"/>
                <w:sz w:val="21"/>
              </w:rPr>
            </w:pPr>
          </w:p>
        </w:tc>
        <w:tc>
          <w:tcPr>
            <w:tcW w:w="1106" w:type="dxa"/>
            <w:gridSpan w:val="2"/>
            <w:vAlign w:val="top"/>
          </w:tcPr>
          <w:p w14:paraId="0EA26F76">
            <w:pPr>
              <w:spacing w:line="377" w:lineRule="auto"/>
              <w:rPr>
                <w:rFonts w:ascii="Arial"/>
                <w:sz w:val="21"/>
              </w:rPr>
            </w:pPr>
          </w:p>
          <w:p w14:paraId="579DA044">
            <w:pPr>
              <w:pStyle w:val="6"/>
              <w:spacing w:before="65" w:line="228" w:lineRule="auto"/>
              <w:ind w:left="138"/>
              <w:rPr>
                <w:sz w:val="20"/>
                <w:szCs w:val="20"/>
              </w:rPr>
            </w:pPr>
            <w:r>
              <w:rPr>
                <w:spacing w:val="6"/>
                <w:sz w:val="20"/>
                <w:szCs w:val="20"/>
              </w:rPr>
              <w:t>消防设施</w:t>
            </w:r>
          </w:p>
        </w:tc>
        <w:tc>
          <w:tcPr>
            <w:tcW w:w="6635" w:type="dxa"/>
            <w:tcBorders>
              <w:right w:val="single" w:color="000000" w:sz="6" w:space="0"/>
            </w:tcBorders>
            <w:vAlign w:val="top"/>
          </w:tcPr>
          <w:p w14:paraId="685BB67B">
            <w:pPr>
              <w:pStyle w:val="6"/>
              <w:spacing w:before="37" w:line="251" w:lineRule="auto"/>
              <w:ind w:left="4" w:right="105" w:firstLine="1"/>
              <w:rPr>
                <w:sz w:val="20"/>
                <w:szCs w:val="20"/>
              </w:rPr>
            </w:pPr>
            <w:r>
              <w:rPr>
                <w:spacing w:val="10"/>
                <w:sz w:val="20"/>
                <w:szCs w:val="20"/>
              </w:rPr>
              <w:t>项目不设消防给水设施，火灾危险场所配置小型移动式灭火器。设置推</w:t>
            </w:r>
            <w:r>
              <w:rPr>
                <w:spacing w:val="8"/>
                <w:sz w:val="20"/>
                <w:szCs w:val="20"/>
              </w:rPr>
              <w:t>车式干粉灭火器、手提式干粉灭火器若干。</w:t>
            </w:r>
          </w:p>
          <w:p w14:paraId="5499BD11">
            <w:pPr>
              <w:pStyle w:val="6"/>
              <w:spacing w:line="229" w:lineRule="auto"/>
              <w:ind w:left="1" w:right="104"/>
              <w:rPr>
                <w:sz w:val="20"/>
                <w:szCs w:val="20"/>
              </w:rPr>
            </w:pPr>
            <w:r>
              <w:rPr>
                <w:spacing w:val="6"/>
                <w:sz w:val="20"/>
                <w:szCs w:val="20"/>
              </w:rPr>
              <w:t>根据《钻前工程及井场布置技术要求》（</w:t>
            </w:r>
            <w:r>
              <w:rPr>
                <w:rFonts w:ascii="Times New Roman" w:hAnsi="Times New Roman" w:eastAsia="Times New Roman" w:cs="Times New Roman"/>
                <w:sz w:val="20"/>
                <w:szCs w:val="20"/>
              </w:rPr>
              <w:t>SY</w:t>
            </w:r>
            <w:r>
              <w:rPr>
                <w:rFonts w:ascii="Times New Roman" w:hAnsi="Times New Roman" w:eastAsia="Times New Roman" w:cs="Times New Roman"/>
                <w:spacing w:val="6"/>
                <w:sz w:val="20"/>
                <w:szCs w:val="20"/>
              </w:rPr>
              <w:t>/T5466-2013</w:t>
            </w:r>
            <w:r>
              <w:rPr>
                <w:spacing w:val="6"/>
                <w:sz w:val="20"/>
                <w:szCs w:val="20"/>
              </w:rPr>
              <w:t>）进行井场布置</w:t>
            </w:r>
            <w:r>
              <w:rPr>
                <w:spacing w:val="7"/>
                <w:sz w:val="20"/>
                <w:szCs w:val="20"/>
              </w:rPr>
              <w:t>及设置放喷池（即应急池）。</w:t>
            </w:r>
          </w:p>
        </w:tc>
      </w:tr>
      <w:tr w14:paraId="6EAC5C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466" w:type="dxa"/>
            <w:vMerge w:val="continue"/>
            <w:tcBorders>
              <w:top w:val="nil"/>
              <w:left w:val="single" w:color="000000" w:sz="6" w:space="0"/>
              <w:bottom w:val="nil"/>
            </w:tcBorders>
            <w:vAlign w:val="top"/>
          </w:tcPr>
          <w:p w14:paraId="66A6407D">
            <w:pPr>
              <w:rPr>
                <w:rFonts w:ascii="Arial"/>
                <w:sz w:val="21"/>
              </w:rPr>
            </w:pPr>
          </w:p>
        </w:tc>
        <w:tc>
          <w:tcPr>
            <w:tcW w:w="708" w:type="dxa"/>
            <w:vMerge w:val="restart"/>
            <w:tcBorders>
              <w:bottom w:val="nil"/>
            </w:tcBorders>
            <w:vAlign w:val="top"/>
          </w:tcPr>
          <w:p w14:paraId="20B3CD02">
            <w:pPr>
              <w:spacing w:line="269" w:lineRule="auto"/>
              <w:rPr>
                <w:rFonts w:ascii="Arial"/>
                <w:sz w:val="21"/>
              </w:rPr>
            </w:pPr>
          </w:p>
          <w:p w14:paraId="6BA8415E">
            <w:pPr>
              <w:spacing w:line="269" w:lineRule="auto"/>
              <w:rPr>
                <w:rFonts w:ascii="Arial"/>
                <w:sz w:val="21"/>
              </w:rPr>
            </w:pPr>
          </w:p>
          <w:p w14:paraId="4237C0C3">
            <w:pPr>
              <w:spacing w:line="269" w:lineRule="auto"/>
              <w:rPr>
                <w:rFonts w:ascii="Arial"/>
                <w:sz w:val="21"/>
              </w:rPr>
            </w:pPr>
          </w:p>
          <w:p w14:paraId="7EE7F5EC">
            <w:pPr>
              <w:spacing w:line="269" w:lineRule="auto"/>
              <w:rPr>
                <w:rFonts w:ascii="Arial"/>
                <w:sz w:val="21"/>
              </w:rPr>
            </w:pPr>
          </w:p>
          <w:p w14:paraId="0444B3DB">
            <w:pPr>
              <w:spacing w:line="270" w:lineRule="auto"/>
              <w:rPr>
                <w:rFonts w:ascii="Arial"/>
                <w:sz w:val="21"/>
              </w:rPr>
            </w:pPr>
          </w:p>
          <w:p w14:paraId="4C28ABDF">
            <w:pPr>
              <w:spacing w:line="270" w:lineRule="auto"/>
              <w:rPr>
                <w:rFonts w:ascii="Arial"/>
                <w:sz w:val="21"/>
              </w:rPr>
            </w:pPr>
          </w:p>
          <w:p w14:paraId="22F4C5DE">
            <w:pPr>
              <w:spacing w:line="270" w:lineRule="auto"/>
              <w:rPr>
                <w:rFonts w:ascii="Arial"/>
                <w:sz w:val="21"/>
              </w:rPr>
            </w:pPr>
          </w:p>
          <w:p w14:paraId="74224E15">
            <w:pPr>
              <w:spacing w:line="270" w:lineRule="auto"/>
              <w:rPr>
                <w:rFonts w:ascii="Arial"/>
                <w:sz w:val="21"/>
              </w:rPr>
            </w:pPr>
          </w:p>
          <w:p w14:paraId="7EC6C4D2">
            <w:pPr>
              <w:pStyle w:val="6"/>
              <w:spacing w:before="65" w:line="254" w:lineRule="auto"/>
              <w:ind w:left="198" w:right="96" w:hanging="2"/>
              <w:rPr>
                <w:sz w:val="20"/>
                <w:szCs w:val="20"/>
              </w:rPr>
            </w:pPr>
            <w:r>
              <w:rPr>
                <w:spacing w:val="4"/>
                <w:sz w:val="20"/>
                <w:szCs w:val="20"/>
              </w:rPr>
              <w:t>环保</w:t>
            </w:r>
            <w:r>
              <w:rPr>
                <w:spacing w:val="3"/>
                <w:sz w:val="20"/>
                <w:szCs w:val="20"/>
              </w:rPr>
              <w:t>工程</w:t>
            </w:r>
          </w:p>
        </w:tc>
        <w:tc>
          <w:tcPr>
            <w:tcW w:w="399" w:type="dxa"/>
            <w:vMerge w:val="restart"/>
            <w:tcBorders>
              <w:bottom w:val="nil"/>
            </w:tcBorders>
            <w:textDirection w:val="tbRlV"/>
            <w:vAlign w:val="top"/>
          </w:tcPr>
          <w:p w14:paraId="7EE1FEC4">
            <w:pPr>
              <w:pStyle w:val="6"/>
              <w:spacing w:before="97" w:line="217" w:lineRule="auto"/>
              <w:ind w:left="2233"/>
              <w:rPr>
                <w:sz w:val="20"/>
                <w:szCs w:val="20"/>
              </w:rPr>
            </w:pPr>
            <w:r>
              <w:rPr>
                <w:spacing w:val="8"/>
                <w:sz w:val="20"/>
                <w:szCs w:val="20"/>
              </w:rPr>
              <w:t>废</w:t>
            </w:r>
            <w:r>
              <w:rPr>
                <w:spacing w:val="-35"/>
                <w:sz w:val="20"/>
                <w:szCs w:val="20"/>
              </w:rPr>
              <w:t xml:space="preserve"> </w:t>
            </w:r>
            <w:r>
              <w:rPr>
                <w:spacing w:val="8"/>
                <w:sz w:val="20"/>
                <w:szCs w:val="20"/>
              </w:rPr>
              <w:t>气</w:t>
            </w:r>
          </w:p>
        </w:tc>
        <w:tc>
          <w:tcPr>
            <w:tcW w:w="707" w:type="dxa"/>
            <w:vAlign w:val="top"/>
          </w:tcPr>
          <w:p w14:paraId="5B0009A8">
            <w:pPr>
              <w:pStyle w:val="6"/>
              <w:spacing w:before="46" w:line="235" w:lineRule="auto"/>
              <w:ind w:left="250" w:right="41" w:hanging="211"/>
              <w:rPr>
                <w:sz w:val="20"/>
                <w:szCs w:val="20"/>
              </w:rPr>
            </w:pPr>
            <w:r>
              <w:rPr>
                <w:spacing w:val="7"/>
                <w:sz w:val="20"/>
                <w:szCs w:val="20"/>
              </w:rPr>
              <w:t>施工扬</w:t>
            </w:r>
            <w:r>
              <w:rPr>
                <w:sz w:val="20"/>
                <w:szCs w:val="20"/>
              </w:rPr>
              <w:t>尘</w:t>
            </w:r>
          </w:p>
        </w:tc>
        <w:tc>
          <w:tcPr>
            <w:tcW w:w="6635" w:type="dxa"/>
            <w:tcBorders>
              <w:right w:val="single" w:color="000000" w:sz="6" w:space="0"/>
            </w:tcBorders>
            <w:vAlign w:val="top"/>
          </w:tcPr>
          <w:p w14:paraId="15241F7D">
            <w:pPr>
              <w:pStyle w:val="6"/>
              <w:spacing w:before="46" w:line="235" w:lineRule="auto"/>
              <w:ind w:left="30" w:right="131" w:hanging="2"/>
              <w:rPr>
                <w:sz w:val="20"/>
                <w:szCs w:val="20"/>
              </w:rPr>
            </w:pPr>
            <w:r>
              <w:rPr>
                <w:spacing w:val="9"/>
                <w:sz w:val="20"/>
                <w:szCs w:val="20"/>
              </w:rPr>
              <w:t>场界设置高</w:t>
            </w:r>
            <w:r>
              <w:rPr>
                <w:spacing w:val="-43"/>
                <w:sz w:val="20"/>
                <w:szCs w:val="20"/>
              </w:rPr>
              <w:t xml:space="preserve"> </w:t>
            </w:r>
            <w:r>
              <w:rPr>
                <w:rFonts w:ascii="Times New Roman" w:hAnsi="Times New Roman" w:eastAsia="Times New Roman" w:cs="Times New Roman"/>
                <w:spacing w:val="9"/>
                <w:sz w:val="20"/>
                <w:szCs w:val="20"/>
              </w:rPr>
              <w:t>2m</w:t>
            </w:r>
            <w:r>
              <w:rPr>
                <w:rFonts w:ascii="Times New Roman" w:hAnsi="Times New Roman" w:eastAsia="Times New Roman" w:cs="Times New Roman"/>
                <w:spacing w:val="29"/>
                <w:sz w:val="20"/>
                <w:szCs w:val="20"/>
              </w:rPr>
              <w:t xml:space="preserve"> </w:t>
            </w:r>
            <w:r>
              <w:rPr>
                <w:spacing w:val="9"/>
                <w:sz w:val="20"/>
                <w:szCs w:val="20"/>
              </w:rPr>
              <w:t>的围挡，井场设置洒水泵定期洒水抑尘，</w:t>
            </w:r>
            <w:r>
              <w:rPr>
                <w:spacing w:val="8"/>
                <w:sz w:val="20"/>
                <w:szCs w:val="20"/>
              </w:rPr>
              <w:t>原材料堆存区上部设苫布遮盖，表土堆放区上铺密目网。</w:t>
            </w:r>
          </w:p>
        </w:tc>
      </w:tr>
      <w:tr w14:paraId="44F433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trPr>
        <w:tc>
          <w:tcPr>
            <w:tcW w:w="466" w:type="dxa"/>
            <w:vMerge w:val="continue"/>
            <w:tcBorders>
              <w:top w:val="nil"/>
              <w:left w:val="single" w:color="000000" w:sz="6" w:space="0"/>
              <w:bottom w:val="nil"/>
            </w:tcBorders>
            <w:vAlign w:val="top"/>
          </w:tcPr>
          <w:p w14:paraId="232BE059">
            <w:pPr>
              <w:rPr>
                <w:rFonts w:ascii="Arial"/>
                <w:sz w:val="21"/>
              </w:rPr>
            </w:pPr>
          </w:p>
        </w:tc>
        <w:tc>
          <w:tcPr>
            <w:tcW w:w="708" w:type="dxa"/>
            <w:vMerge w:val="continue"/>
            <w:tcBorders>
              <w:top w:val="nil"/>
              <w:bottom w:val="nil"/>
            </w:tcBorders>
            <w:vAlign w:val="top"/>
          </w:tcPr>
          <w:p w14:paraId="3E596D7E">
            <w:pPr>
              <w:rPr>
                <w:rFonts w:ascii="Arial"/>
                <w:sz w:val="21"/>
              </w:rPr>
            </w:pPr>
          </w:p>
        </w:tc>
        <w:tc>
          <w:tcPr>
            <w:tcW w:w="399" w:type="dxa"/>
            <w:vMerge w:val="continue"/>
            <w:tcBorders>
              <w:top w:val="nil"/>
              <w:bottom w:val="nil"/>
            </w:tcBorders>
            <w:textDirection w:val="tbRlV"/>
            <w:vAlign w:val="top"/>
          </w:tcPr>
          <w:p w14:paraId="6B8BAE70">
            <w:pPr>
              <w:rPr>
                <w:rFonts w:ascii="Arial"/>
                <w:sz w:val="21"/>
              </w:rPr>
            </w:pPr>
          </w:p>
        </w:tc>
        <w:tc>
          <w:tcPr>
            <w:tcW w:w="707" w:type="dxa"/>
            <w:vAlign w:val="top"/>
          </w:tcPr>
          <w:p w14:paraId="7316C950">
            <w:pPr>
              <w:pStyle w:val="6"/>
              <w:spacing w:before="38" w:line="228" w:lineRule="auto"/>
              <w:ind w:left="39"/>
              <w:rPr>
                <w:sz w:val="20"/>
                <w:szCs w:val="20"/>
              </w:rPr>
            </w:pPr>
            <w:r>
              <w:rPr>
                <w:spacing w:val="6"/>
                <w:sz w:val="20"/>
                <w:szCs w:val="20"/>
              </w:rPr>
              <w:t>柴油发</w:t>
            </w:r>
          </w:p>
          <w:p w14:paraId="25E91490">
            <w:pPr>
              <w:pStyle w:val="6"/>
              <w:spacing w:before="24" w:line="229" w:lineRule="auto"/>
              <w:ind w:left="145" w:right="41" w:hanging="81"/>
              <w:rPr>
                <w:sz w:val="20"/>
                <w:szCs w:val="20"/>
              </w:rPr>
            </w:pPr>
            <w:r>
              <w:rPr>
                <w:spacing w:val="-2"/>
                <w:sz w:val="20"/>
                <w:szCs w:val="20"/>
              </w:rPr>
              <w:t>电机组</w:t>
            </w:r>
            <w:r>
              <w:rPr>
                <w:spacing w:val="4"/>
                <w:sz w:val="20"/>
                <w:szCs w:val="20"/>
              </w:rPr>
              <w:t>尾气</w:t>
            </w:r>
          </w:p>
        </w:tc>
        <w:tc>
          <w:tcPr>
            <w:tcW w:w="6635" w:type="dxa"/>
            <w:tcBorders>
              <w:right w:val="single" w:color="000000" w:sz="6" w:space="0"/>
            </w:tcBorders>
            <w:vAlign w:val="top"/>
          </w:tcPr>
          <w:p w14:paraId="7BF5DA21">
            <w:pPr>
              <w:pStyle w:val="6"/>
              <w:spacing w:before="174" w:line="252" w:lineRule="auto"/>
              <w:ind w:left="28" w:right="131" w:firstLine="1"/>
              <w:rPr>
                <w:sz w:val="20"/>
                <w:szCs w:val="20"/>
              </w:rPr>
            </w:pPr>
            <w:r>
              <w:rPr>
                <w:spacing w:val="13"/>
                <w:sz w:val="20"/>
                <w:szCs w:val="20"/>
              </w:rPr>
              <w:t>现场使用符合环保要求的柴油发电机组，使用</w:t>
            </w:r>
            <w:r>
              <w:rPr>
                <w:spacing w:val="-34"/>
                <w:sz w:val="20"/>
                <w:szCs w:val="20"/>
              </w:rPr>
              <w:t xml:space="preserve"> </w:t>
            </w:r>
            <w:r>
              <w:rPr>
                <w:rFonts w:ascii="Times New Roman" w:hAnsi="Times New Roman" w:eastAsia="Times New Roman" w:cs="Times New Roman"/>
                <w:spacing w:val="13"/>
                <w:sz w:val="20"/>
                <w:szCs w:val="20"/>
              </w:rPr>
              <w:t>0#</w:t>
            </w:r>
            <w:r>
              <w:rPr>
                <w:spacing w:val="13"/>
                <w:sz w:val="20"/>
                <w:szCs w:val="20"/>
              </w:rPr>
              <w:t>或</w:t>
            </w:r>
            <w:r>
              <w:rPr>
                <w:rFonts w:ascii="Times New Roman" w:hAnsi="Times New Roman" w:eastAsia="Times New Roman" w:cs="Times New Roman"/>
                <w:spacing w:val="13"/>
                <w:sz w:val="20"/>
                <w:szCs w:val="20"/>
              </w:rPr>
              <w:t>-35#</w:t>
            </w:r>
            <w:r>
              <w:rPr>
                <w:spacing w:val="13"/>
                <w:sz w:val="20"/>
                <w:szCs w:val="20"/>
              </w:rPr>
              <w:t>轻质柴油为燃</w:t>
            </w:r>
            <w:r>
              <w:rPr>
                <w:spacing w:val="8"/>
                <w:sz w:val="20"/>
                <w:szCs w:val="20"/>
              </w:rPr>
              <w:t>料，使用设备自带的排气设备排放。</w:t>
            </w:r>
          </w:p>
        </w:tc>
      </w:tr>
      <w:tr w14:paraId="7E3DE8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trPr>
        <w:tc>
          <w:tcPr>
            <w:tcW w:w="466" w:type="dxa"/>
            <w:vMerge w:val="continue"/>
            <w:tcBorders>
              <w:top w:val="nil"/>
              <w:left w:val="single" w:color="000000" w:sz="6" w:space="0"/>
              <w:bottom w:val="nil"/>
            </w:tcBorders>
            <w:vAlign w:val="top"/>
          </w:tcPr>
          <w:p w14:paraId="49F1D721">
            <w:pPr>
              <w:rPr>
                <w:rFonts w:ascii="Arial"/>
                <w:sz w:val="21"/>
              </w:rPr>
            </w:pPr>
          </w:p>
        </w:tc>
        <w:tc>
          <w:tcPr>
            <w:tcW w:w="708" w:type="dxa"/>
            <w:vMerge w:val="continue"/>
            <w:tcBorders>
              <w:top w:val="nil"/>
              <w:bottom w:val="nil"/>
            </w:tcBorders>
            <w:vAlign w:val="top"/>
          </w:tcPr>
          <w:p w14:paraId="6AC8FE86">
            <w:pPr>
              <w:rPr>
                <w:rFonts w:ascii="Arial"/>
                <w:sz w:val="21"/>
              </w:rPr>
            </w:pPr>
          </w:p>
        </w:tc>
        <w:tc>
          <w:tcPr>
            <w:tcW w:w="399" w:type="dxa"/>
            <w:vMerge w:val="continue"/>
            <w:tcBorders>
              <w:top w:val="nil"/>
              <w:bottom w:val="nil"/>
            </w:tcBorders>
            <w:textDirection w:val="tbRlV"/>
            <w:vAlign w:val="top"/>
          </w:tcPr>
          <w:p w14:paraId="7B2B7697">
            <w:pPr>
              <w:rPr>
                <w:rFonts w:ascii="Arial"/>
                <w:sz w:val="21"/>
              </w:rPr>
            </w:pPr>
          </w:p>
        </w:tc>
        <w:tc>
          <w:tcPr>
            <w:tcW w:w="707" w:type="dxa"/>
            <w:vAlign w:val="top"/>
          </w:tcPr>
          <w:p w14:paraId="7A6F3969">
            <w:pPr>
              <w:pStyle w:val="6"/>
              <w:spacing w:before="39" w:line="228" w:lineRule="auto"/>
              <w:ind w:left="39"/>
              <w:rPr>
                <w:sz w:val="20"/>
                <w:szCs w:val="20"/>
              </w:rPr>
            </w:pPr>
            <w:r>
              <w:rPr>
                <w:spacing w:val="6"/>
                <w:sz w:val="20"/>
                <w:szCs w:val="20"/>
              </w:rPr>
              <w:t>柴油罐</w:t>
            </w:r>
          </w:p>
          <w:p w14:paraId="4DF917C5">
            <w:pPr>
              <w:pStyle w:val="6"/>
              <w:spacing w:before="25" w:line="228" w:lineRule="auto"/>
              <w:ind w:left="249" w:right="41" w:hanging="210"/>
              <w:rPr>
                <w:sz w:val="20"/>
                <w:szCs w:val="20"/>
              </w:rPr>
            </w:pPr>
            <w:r>
              <w:rPr>
                <w:spacing w:val="7"/>
                <w:sz w:val="20"/>
                <w:szCs w:val="20"/>
              </w:rPr>
              <w:t>挥发废</w:t>
            </w:r>
            <w:r>
              <w:rPr>
                <w:sz w:val="20"/>
                <w:szCs w:val="20"/>
              </w:rPr>
              <w:t>气</w:t>
            </w:r>
          </w:p>
        </w:tc>
        <w:tc>
          <w:tcPr>
            <w:tcW w:w="6635" w:type="dxa"/>
            <w:tcBorders>
              <w:right w:val="single" w:color="000000" w:sz="6" w:space="0"/>
            </w:tcBorders>
            <w:vAlign w:val="top"/>
          </w:tcPr>
          <w:p w14:paraId="0EF4B9A8">
            <w:pPr>
              <w:pStyle w:val="6"/>
              <w:spacing w:before="174" w:line="254" w:lineRule="auto"/>
              <w:ind w:left="27" w:right="131"/>
              <w:rPr>
                <w:sz w:val="20"/>
                <w:szCs w:val="20"/>
              </w:rPr>
            </w:pPr>
            <w:r>
              <w:rPr>
                <w:spacing w:val="8"/>
                <w:sz w:val="20"/>
                <w:szCs w:val="20"/>
              </w:rPr>
              <w:t>采用防腐储罐，采用环密技术（主要是密封）防止烃类泄漏及挥发；设</w:t>
            </w:r>
            <w:r>
              <w:rPr>
                <w:spacing w:val="9"/>
                <w:sz w:val="20"/>
                <w:szCs w:val="20"/>
              </w:rPr>
              <w:t>置切断系统，对管线、阀门等进行定期的检查、检修。</w:t>
            </w:r>
          </w:p>
        </w:tc>
      </w:tr>
      <w:tr w14:paraId="515967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5" w:hRule="atLeast"/>
        </w:trPr>
        <w:tc>
          <w:tcPr>
            <w:tcW w:w="466" w:type="dxa"/>
            <w:vMerge w:val="continue"/>
            <w:tcBorders>
              <w:top w:val="nil"/>
              <w:left w:val="single" w:color="000000" w:sz="6" w:space="0"/>
              <w:bottom w:val="single" w:color="000000" w:sz="6" w:space="0"/>
            </w:tcBorders>
            <w:vAlign w:val="top"/>
          </w:tcPr>
          <w:p w14:paraId="02F85A93">
            <w:pPr>
              <w:rPr>
                <w:rFonts w:ascii="Arial"/>
                <w:sz w:val="21"/>
              </w:rPr>
            </w:pPr>
          </w:p>
        </w:tc>
        <w:tc>
          <w:tcPr>
            <w:tcW w:w="708" w:type="dxa"/>
            <w:vMerge w:val="continue"/>
            <w:tcBorders>
              <w:top w:val="nil"/>
              <w:bottom w:val="single" w:color="000000" w:sz="6" w:space="0"/>
            </w:tcBorders>
            <w:vAlign w:val="top"/>
          </w:tcPr>
          <w:p w14:paraId="3F5E4C89">
            <w:pPr>
              <w:rPr>
                <w:rFonts w:ascii="Arial"/>
                <w:sz w:val="21"/>
              </w:rPr>
            </w:pPr>
          </w:p>
        </w:tc>
        <w:tc>
          <w:tcPr>
            <w:tcW w:w="399" w:type="dxa"/>
            <w:vMerge w:val="continue"/>
            <w:tcBorders>
              <w:top w:val="nil"/>
              <w:bottom w:val="single" w:color="000000" w:sz="6" w:space="0"/>
            </w:tcBorders>
            <w:textDirection w:val="tbRlV"/>
            <w:vAlign w:val="top"/>
          </w:tcPr>
          <w:p w14:paraId="4CE84387">
            <w:pPr>
              <w:rPr>
                <w:rFonts w:ascii="Arial"/>
                <w:sz w:val="21"/>
              </w:rPr>
            </w:pPr>
          </w:p>
        </w:tc>
        <w:tc>
          <w:tcPr>
            <w:tcW w:w="707" w:type="dxa"/>
            <w:tcBorders>
              <w:bottom w:val="single" w:color="000000" w:sz="6" w:space="0"/>
            </w:tcBorders>
            <w:vAlign w:val="top"/>
          </w:tcPr>
          <w:p w14:paraId="5BAE5715">
            <w:pPr>
              <w:spacing w:line="307" w:lineRule="auto"/>
              <w:rPr>
                <w:rFonts w:ascii="Arial"/>
                <w:sz w:val="21"/>
              </w:rPr>
            </w:pPr>
          </w:p>
          <w:p w14:paraId="3109628B">
            <w:pPr>
              <w:spacing w:line="307" w:lineRule="auto"/>
              <w:rPr>
                <w:rFonts w:ascii="Arial"/>
                <w:sz w:val="21"/>
              </w:rPr>
            </w:pPr>
          </w:p>
          <w:p w14:paraId="54DF8D5C">
            <w:pPr>
              <w:spacing w:line="307" w:lineRule="auto"/>
              <w:rPr>
                <w:rFonts w:ascii="Arial"/>
                <w:sz w:val="21"/>
              </w:rPr>
            </w:pPr>
          </w:p>
          <w:p w14:paraId="64485EF6">
            <w:pPr>
              <w:pStyle w:val="6"/>
              <w:spacing w:before="65" w:line="228" w:lineRule="auto"/>
              <w:ind w:left="39"/>
              <w:rPr>
                <w:sz w:val="20"/>
                <w:szCs w:val="20"/>
              </w:rPr>
            </w:pPr>
            <w:r>
              <w:rPr>
                <w:spacing w:val="7"/>
                <w:sz w:val="20"/>
                <w:szCs w:val="20"/>
              </w:rPr>
              <w:t>储液罐</w:t>
            </w:r>
          </w:p>
          <w:p w14:paraId="238556DC">
            <w:pPr>
              <w:pStyle w:val="6"/>
              <w:spacing w:before="27" w:line="228" w:lineRule="auto"/>
              <w:ind w:left="39"/>
              <w:rPr>
                <w:sz w:val="20"/>
                <w:szCs w:val="20"/>
              </w:rPr>
            </w:pPr>
            <w:r>
              <w:rPr>
                <w:spacing w:val="7"/>
                <w:sz w:val="20"/>
                <w:szCs w:val="20"/>
              </w:rPr>
              <w:t>挥发废</w:t>
            </w:r>
          </w:p>
          <w:p w14:paraId="2FC472DD">
            <w:pPr>
              <w:pStyle w:val="6"/>
              <w:spacing w:before="23" w:line="229" w:lineRule="auto"/>
              <w:ind w:left="249"/>
              <w:rPr>
                <w:sz w:val="20"/>
                <w:szCs w:val="20"/>
              </w:rPr>
            </w:pPr>
            <w:r>
              <w:rPr>
                <w:sz w:val="20"/>
                <w:szCs w:val="20"/>
              </w:rPr>
              <w:t>气</w:t>
            </w:r>
          </w:p>
        </w:tc>
        <w:tc>
          <w:tcPr>
            <w:tcW w:w="6635" w:type="dxa"/>
            <w:tcBorders>
              <w:bottom w:val="single" w:color="000000" w:sz="6" w:space="0"/>
              <w:right w:val="single" w:color="000000" w:sz="6" w:space="0"/>
            </w:tcBorders>
            <w:vAlign w:val="top"/>
          </w:tcPr>
          <w:p w14:paraId="138D34F9">
            <w:pPr>
              <w:pStyle w:val="6"/>
              <w:spacing w:before="42" w:line="227" w:lineRule="auto"/>
              <w:ind w:left="39"/>
              <w:rPr>
                <w:sz w:val="20"/>
                <w:szCs w:val="20"/>
              </w:rPr>
            </w:pPr>
            <w:r>
              <w:rPr>
                <w:spacing w:val="8"/>
                <w:sz w:val="20"/>
                <w:szCs w:val="20"/>
              </w:rPr>
              <w:t>（</w:t>
            </w:r>
            <w:r>
              <w:rPr>
                <w:rFonts w:ascii="Times New Roman" w:hAnsi="Times New Roman" w:eastAsia="Times New Roman" w:cs="Times New Roman"/>
                <w:spacing w:val="8"/>
                <w:sz w:val="20"/>
                <w:szCs w:val="20"/>
              </w:rPr>
              <w:t>1</w:t>
            </w:r>
            <w:r>
              <w:rPr>
                <w:spacing w:val="8"/>
                <w:sz w:val="20"/>
                <w:szCs w:val="20"/>
              </w:rPr>
              <w:t>）储液罐采用防腐储罐，采用环密技术，减少烃类</w:t>
            </w:r>
            <w:r>
              <w:rPr>
                <w:spacing w:val="7"/>
                <w:sz w:val="20"/>
                <w:szCs w:val="20"/>
              </w:rPr>
              <w:t>废气无组织挥发。</w:t>
            </w:r>
          </w:p>
          <w:p w14:paraId="35F1F7D6">
            <w:pPr>
              <w:pStyle w:val="6"/>
              <w:spacing w:before="26" w:line="251" w:lineRule="auto"/>
              <w:ind w:left="34" w:right="184" w:firstLine="4"/>
              <w:rPr>
                <w:sz w:val="20"/>
                <w:szCs w:val="20"/>
              </w:rPr>
            </w:pPr>
            <w:r>
              <w:rPr>
                <w:spacing w:val="10"/>
                <w:sz w:val="20"/>
                <w:szCs w:val="20"/>
              </w:rPr>
              <w:t>（</w:t>
            </w:r>
            <w:r>
              <w:rPr>
                <w:rFonts w:ascii="Times New Roman" w:hAnsi="Times New Roman" w:eastAsia="Times New Roman" w:cs="Times New Roman"/>
                <w:spacing w:val="10"/>
                <w:sz w:val="20"/>
                <w:szCs w:val="20"/>
              </w:rPr>
              <w:t>2</w:t>
            </w:r>
            <w:r>
              <w:rPr>
                <w:spacing w:val="10"/>
                <w:sz w:val="20"/>
                <w:szCs w:val="20"/>
              </w:rPr>
              <w:t>）采用密闭集输流程，井口、储液罐设置</w:t>
            </w:r>
            <w:r>
              <w:rPr>
                <w:spacing w:val="9"/>
                <w:sz w:val="20"/>
                <w:szCs w:val="20"/>
              </w:rPr>
              <w:t>切断阀，一旦发生事故，紧急切断油源，从而最大限度地减少油气集输过程中烃类的排放量。</w:t>
            </w:r>
          </w:p>
          <w:p w14:paraId="26B67146">
            <w:pPr>
              <w:pStyle w:val="6"/>
              <w:spacing w:line="251" w:lineRule="auto"/>
              <w:ind w:left="51" w:right="60" w:hanging="12"/>
              <w:rPr>
                <w:sz w:val="20"/>
                <w:szCs w:val="20"/>
              </w:rPr>
            </w:pPr>
            <w:r>
              <w:rPr>
                <w:spacing w:val="7"/>
                <w:sz w:val="20"/>
                <w:szCs w:val="20"/>
              </w:rPr>
              <w:t>（</w:t>
            </w:r>
            <w:r>
              <w:rPr>
                <w:rFonts w:ascii="Times New Roman" w:hAnsi="Times New Roman" w:eastAsia="Times New Roman" w:cs="Times New Roman"/>
                <w:spacing w:val="7"/>
                <w:sz w:val="20"/>
                <w:szCs w:val="20"/>
              </w:rPr>
              <w:t>3</w:t>
            </w:r>
            <w:r>
              <w:rPr>
                <w:spacing w:val="7"/>
                <w:sz w:val="20"/>
                <w:szCs w:val="20"/>
              </w:rPr>
              <w:t>）对井场的设备、管线、阀门等进行定期的检查、检修，以防止跑、</w:t>
            </w:r>
            <w:r>
              <w:rPr>
                <w:spacing w:val="5"/>
                <w:sz w:val="20"/>
                <w:szCs w:val="20"/>
              </w:rPr>
              <w:t>冒、滴、漏的发生。</w:t>
            </w:r>
          </w:p>
          <w:p w14:paraId="71F2568C">
            <w:pPr>
              <w:pStyle w:val="6"/>
              <w:spacing w:before="1" w:line="251" w:lineRule="auto"/>
              <w:ind w:left="28" w:right="133" w:firstLine="10"/>
              <w:rPr>
                <w:sz w:val="20"/>
                <w:szCs w:val="20"/>
              </w:rPr>
            </w:pPr>
            <w:r>
              <w:rPr>
                <w:spacing w:val="11"/>
                <w:sz w:val="20"/>
                <w:szCs w:val="20"/>
              </w:rPr>
              <w:t>（</w:t>
            </w:r>
            <w:r>
              <w:rPr>
                <w:rFonts w:ascii="Times New Roman" w:hAnsi="Times New Roman" w:eastAsia="Times New Roman" w:cs="Times New Roman"/>
                <w:spacing w:val="11"/>
                <w:sz w:val="20"/>
                <w:szCs w:val="20"/>
              </w:rPr>
              <w:t>4</w:t>
            </w:r>
            <w:r>
              <w:rPr>
                <w:spacing w:val="11"/>
                <w:sz w:val="20"/>
                <w:szCs w:val="20"/>
              </w:rPr>
              <w:t>）加强原油装车过程管理，在储液罐上安装简易装车流程。装车过</w:t>
            </w:r>
            <w:r>
              <w:rPr>
                <w:spacing w:val="8"/>
                <w:sz w:val="20"/>
                <w:szCs w:val="20"/>
              </w:rPr>
              <w:t>程中，采用浸没式装车方式，储液罐中的采出液通过罐体上端的拉油鹤管输送到拉油罐车里，且确保拉油鹤管出口一直延伸至罐车底部，有效地降低烃类气体的挥发。</w:t>
            </w:r>
          </w:p>
          <w:p w14:paraId="252AEE15">
            <w:pPr>
              <w:pStyle w:val="6"/>
              <w:spacing w:line="214" w:lineRule="auto"/>
              <w:ind w:left="39"/>
              <w:rPr>
                <w:sz w:val="20"/>
                <w:szCs w:val="20"/>
              </w:rPr>
            </w:pPr>
            <w:r>
              <w:rPr>
                <w:spacing w:val="9"/>
                <w:sz w:val="20"/>
                <w:szCs w:val="20"/>
              </w:rPr>
              <w:t>（</w:t>
            </w:r>
            <w:r>
              <w:rPr>
                <w:rFonts w:ascii="Times New Roman" w:hAnsi="Times New Roman" w:eastAsia="Times New Roman" w:cs="Times New Roman"/>
                <w:spacing w:val="9"/>
                <w:sz w:val="20"/>
                <w:szCs w:val="20"/>
              </w:rPr>
              <w:t>5</w:t>
            </w:r>
            <w:r>
              <w:rPr>
                <w:spacing w:val="9"/>
                <w:sz w:val="20"/>
                <w:szCs w:val="20"/>
              </w:rPr>
              <w:t>）油罐车运输过程中油罐全程密闭，减少烃类</w:t>
            </w:r>
            <w:r>
              <w:rPr>
                <w:spacing w:val="8"/>
                <w:sz w:val="20"/>
                <w:szCs w:val="20"/>
              </w:rPr>
              <w:t>气体的挥发。</w:t>
            </w:r>
          </w:p>
        </w:tc>
      </w:tr>
    </w:tbl>
    <w:p w14:paraId="676C2F05">
      <w:pPr>
        <w:rPr>
          <w:rFonts w:ascii="Arial"/>
          <w:sz w:val="21"/>
        </w:rPr>
      </w:pPr>
    </w:p>
    <w:p w14:paraId="3BA1E866">
      <w:pPr>
        <w:rPr>
          <w:rFonts w:ascii="Arial" w:hAnsi="Arial" w:eastAsia="Arial" w:cs="Arial"/>
          <w:sz w:val="21"/>
          <w:szCs w:val="21"/>
        </w:rPr>
        <w:sectPr>
          <w:footerReference r:id="rId30" w:type="default"/>
          <w:pgSz w:w="11906" w:h="16839"/>
          <w:pgMar w:top="400" w:right="1403" w:bottom="1240" w:left="1572" w:header="0" w:footer="1078" w:gutter="0"/>
          <w:cols w:space="720" w:num="1"/>
        </w:sectPr>
      </w:pPr>
    </w:p>
    <w:p w14:paraId="4EC1F607">
      <w:pPr>
        <w:spacing w:before="56"/>
      </w:pPr>
    </w:p>
    <w:p w14:paraId="4D75CCCE">
      <w:pPr>
        <w:spacing w:before="56"/>
      </w:pPr>
    </w:p>
    <w:p w14:paraId="6D3EC8B0">
      <w:pPr>
        <w:spacing w:before="55"/>
      </w:pPr>
    </w:p>
    <w:p w14:paraId="364742CA">
      <w:pPr>
        <w:spacing w:before="55"/>
      </w:pPr>
    </w:p>
    <w:tbl>
      <w:tblPr>
        <w:tblStyle w:val="5"/>
        <w:tblW w:w="891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6"/>
        <w:gridCol w:w="708"/>
        <w:gridCol w:w="399"/>
        <w:gridCol w:w="707"/>
        <w:gridCol w:w="6635"/>
      </w:tblGrid>
      <w:tr w14:paraId="34528D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7" w:hRule="atLeast"/>
        </w:trPr>
        <w:tc>
          <w:tcPr>
            <w:tcW w:w="466" w:type="dxa"/>
            <w:vMerge w:val="restart"/>
            <w:tcBorders>
              <w:top w:val="single" w:color="000000" w:sz="6" w:space="0"/>
              <w:left w:val="single" w:color="000000" w:sz="6" w:space="0"/>
              <w:bottom w:val="nil"/>
            </w:tcBorders>
            <w:vAlign w:val="top"/>
          </w:tcPr>
          <w:p w14:paraId="271F9675">
            <w:pPr>
              <w:rPr>
                <w:rFonts w:ascii="Arial"/>
                <w:sz w:val="21"/>
              </w:rPr>
            </w:pPr>
          </w:p>
        </w:tc>
        <w:tc>
          <w:tcPr>
            <w:tcW w:w="708" w:type="dxa"/>
            <w:vMerge w:val="restart"/>
            <w:tcBorders>
              <w:top w:val="single" w:color="000000" w:sz="6" w:space="0"/>
              <w:bottom w:val="nil"/>
            </w:tcBorders>
            <w:vAlign w:val="top"/>
          </w:tcPr>
          <w:p w14:paraId="11CE5809">
            <w:pPr>
              <w:rPr>
                <w:rFonts w:ascii="Arial"/>
                <w:sz w:val="21"/>
              </w:rPr>
            </w:pPr>
          </w:p>
        </w:tc>
        <w:tc>
          <w:tcPr>
            <w:tcW w:w="399" w:type="dxa"/>
            <w:tcBorders>
              <w:top w:val="single" w:color="000000" w:sz="6" w:space="0"/>
            </w:tcBorders>
            <w:vAlign w:val="top"/>
          </w:tcPr>
          <w:p w14:paraId="5171AC35">
            <w:pPr>
              <w:rPr>
                <w:rFonts w:ascii="Arial"/>
                <w:sz w:val="21"/>
              </w:rPr>
            </w:pPr>
          </w:p>
        </w:tc>
        <w:tc>
          <w:tcPr>
            <w:tcW w:w="707" w:type="dxa"/>
            <w:tcBorders>
              <w:top w:val="single" w:color="000000" w:sz="6" w:space="0"/>
            </w:tcBorders>
            <w:vAlign w:val="top"/>
          </w:tcPr>
          <w:p w14:paraId="5E2208AB">
            <w:pPr>
              <w:spacing w:line="263" w:lineRule="auto"/>
              <w:rPr>
                <w:rFonts w:ascii="Arial"/>
                <w:sz w:val="21"/>
              </w:rPr>
            </w:pPr>
          </w:p>
          <w:p w14:paraId="29E38696">
            <w:pPr>
              <w:pStyle w:val="6"/>
              <w:spacing w:before="65" w:line="228" w:lineRule="auto"/>
              <w:ind w:left="41"/>
              <w:rPr>
                <w:sz w:val="20"/>
                <w:szCs w:val="20"/>
              </w:rPr>
            </w:pPr>
            <w:r>
              <w:rPr>
                <w:spacing w:val="6"/>
                <w:sz w:val="20"/>
                <w:szCs w:val="20"/>
              </w:rPr>
              <w:t>伴生气</w:t>
            </w:r>
          </w:p>
        </w:tc>
        <w:tc>
          <w:tcPr>
            <w:tcW w:w="6635" w:type="dxa"/>
            <w:tcBorders>
              <w:top w:val="single" w:color="000000" w:sz="6" w:space="0"/>
              <w:right w:val="single" w:color="000000" w:sz="6" w:space="0"/>
            </w:tcBorders>
            <w:vAlign w:val="top"/>
          </w:tcPr>
          <w:p w14:paraId="287AC912">
            <w:pPr>
              <w:pStyle w:val="6"/>
              <w:spacing w:before="56"/>
              <w:ind w:left="28" w:right="131"/>
              <w:jc w:val="both"/>
              <w:rPr>
                <w:sz w:val="20"/>
                <w:szCs w:val="20"/>
              </w:rPr>
            </w:pPr>
            <w:r>
              <w:rPr>
                <w:spacing w:val="8"/>
                <w:sz w:val="20"/>
                <w:szCs w:val="20"/>
              </w:rPr>
              <w:t>试油阶段勘探井伴生气体主要为天然气及少量非甲烷总烃，采用火炬就</w:t>
            </w:r>
            <w:r>
              <w:rPr>
                <w:spacing w:val="11"/>
                <w:sz w:val="20"/>
                <w:szCs w:val="20"/>
              </w:rPr>
              <w:t>地燃烧，燃烧产物主要为二氧化碳。火炬为</w:t>
            </w:r>
            <w:r>
              <w:rPr>
                <w:spacing w:val="-33"/>
                <w:sz w:val="20"/>
                <w:szCs w:val="20"/>
              </w:rPr>
              <w:t xml:space="preserve"> </w:t>
            </w:r>
            <w:r>
              <w:rPr>
                <w:rFonts w:ascii="Times New Roman" w:hAnsi="Times New Roman" w:eastAsia="Times New Roman" w:cs="Times New Roman"/>
                <w:spacing w:val="11"/>
                <w:sz w:val="20"/>
                <w:szCs w:val="20"/>
              </w:rPr>
              <w:t>8m</w:t>
            </w:r>
            <w:r>
              <w:rPr>
                <w:spacing w:val="11"/>
                <w:sz w:val="20"/>
                <w:szCs w:val="20"/>
              </w:rPr>
              <w:t>排气筒（配套防回火与</w:t>
            </w:r>
            <w:r>
              <w:rPr>
                <w:spacing w:val="4"/>
                <w:sz w:val="20"/>
                <w:szCs w:val="20"/>
              </w:rPr>
              <w:t>自动点火装置</w:t>
            </w:r>
            <w:r>
              <w:rPr>
                <w:spacing w:val="22"/>
                <w:sz w:val="20"/>
                <w:szCs w:val="20"/>
              </w:rPr>
              <w:t>），</w:t>
            </w:r>
            <w:r>
              <w:rPr>
                <w:spacing w:val="4"/>
                <w:sz w:val="20"/>
                <w:szCs w:val="20"/>
              </w:rPr>
              <w:t>设置于井口</w:t>
            </w:r>
            <w:r>
              <w:rPr>
                <w:spacing w:val="-36"/>
                <w:sz w:val="20"/>
                <w:szCs w:val="20"/>
              </w:rPr>
              <w:t xml:space="preserve"> </w:t>
            </w:r>
            <w:r>
              <w:rPr>
                <w:rFonts w:ascii="Times New Roman" w:hAnsi="Times New Roman" w:eastAsia="Times New Roman" w:cs="Times New Roman"/>
                <w:spacing w:val="4"/>
                <w:sz w:val="20"/>
                <w:szCs w:val="20"/>
              </w:rPr>
              <w:t>50m</w:t>
            </w:r>
            <w:r>
              <w:rPr>
                <w:rFonts w:ascii="Times New Roman" w:hAnsi="Times New Roman" w:eastAsia="Times New Roman" w:cs="Times New Roman"/>
                <w:spacing w:val="35"/>
                <w:w w:val="101"/>
                <w:sz w:val="20"/>
                <w:szCs w:val="20"/>
              </w:rPr>
              <w:t xml:space="preserve"> </w:t>
            </w:r>
            <w:r>
              <w:rPr>
                <w:spacing w:val="4"/>
                <w:sz w:val="20"/>
                <w:szCs w:val="20"/>
              </w:rPr>
              <w:t>以外。</w:t>
            </w:r>
          </w:p>
        </w:tc>
      </w:tr>
      <w:tr w14:paraId="29AD19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4" w:hRule="atLeast"/>
        </w:trPr>
        <w:tc>
          <w:tcPr>
            <w:tcW w:w="466" w:type="dxa"/>
            <w:vMerge w:val="continue"/>
            <w:tcBorders>
              <w:top w:val="nil"/>
              <w:left w:val="single" w:color="000000" w:sz="6" w:space="0"/>
              <w:bottom w:val="nil"/>
            </w:tcBorders>
            <w:vAlign w:val="top"/>
          </w:tcPr>
          <w:p w14:paraId="5144F900">
            <w:pPr>
              <w:rPr>
                <w:rFonts w:ascii="Arial"/>
                <w:sz w:val="21"/>
              </w:rPr>
            </w:pPr>
          </w:p>
        </w:tc>
        <w:tc>
          <w:tcPr>
            <w:tcW w:w="708" w:type="dxa"/>
            <w:vMerge w:val="continue"/>
            <w:tcBorders>
              <w:top w:val="nil"/>
              <w:bottom w:val="nil"/>
            </w:tcBorders>
            <w:vAlign w:val="top"/>
          </w:tcPr>
          <w:p w14:paraId="69DD9384">
            <w:pPr>
              <w:rPr>
                <w:rFonts w:ascii="Arial"/>
                <w:sz w:val="21"/>
              </w:rPr>
            </w:pPr>
          </w:p>
        </w:tc>
        <w:tc>
          <w:tcPr>
            <w:tcW w:w="1106" w:type="dxa"/>
            <w:gridSpan w:val="2"/>
            <w:vAlign w:val="top"/>
          </w:tcPr>
          <w:p w14:paraId="1E33E9EA">
            <w:pPr>
              <w:spacing w:line="258" w:lineRule="auto"/>
              <w:rPr>
                <w:rFonts w:ascii="Arial"/>
                <w:sz w:val="21"/>
              </w:rPr>
            </w:pPr>
          </w:p>
          <w:p w14:paraId="64D3A1FE">
            <w:pPr>
              <w:spacing w:line="259" w:lineRule="auto"/>
              <w:rPr>
                <w:rFonts w:ascii="Arial"/>
                <w:sz w:val="21"/>
              </w:rPr>
            </w:pPr>
          </w:p>
          <w:p w14:paraId="3D9277CD">
            <w:pPr>
              <w:spacing w:line="259" w:lineRule="auto"/>
              <w:rPr>
                <w:rFonts w:ascii="Arial"/>
                <w:sz w:val="21"/>
              </w:rPr>
            </w:pPr>
          </w:p>
          <w:p w14:paraId="62BA6E74">
            <w:pPr>
              <w:pStyle w:val="6"/>
              <w:spacing w:before="65" w:line="228" w:lineRule="auto"/>
              <w:ind w:left="342"/>
              <w:rPr>
                <w:sz w:val="20"/>
                <w:szCs w:val="20"/>
              </w:rPr>
            </w:pPr>
            <w:r>
              <w:rPr>
                <w:spacing w:val="5"/>
                <w:sz w:val="20"/>
                <w:szCs w:val="20"/>
              </w:rPr>
              <w:t>废水</w:t>
            </w:r>
          </w:p>
        </w:tc>
        <w:tc>
          <w:tcPr>
            <w:tcW w:w="6635" w:type="dxa"/>
            <w:tcBorders>
              <w:right w:val="single" w:color="000000" w:sz="6" w:space="0"/>
            </w:tcBorders>
            <w:vAlign w:val="top"/>
          </w:tcPr>
          <w:p w14:paraId="0B639DB4">
            <w:pPr>
              <w:pStyle w:val="6"/>
              <w:spacing w:before="31" w:line="249" w:lineRule="auto"/>
              <w:ind w:left="27" w:right="131" w:firstLine="1"/>
              <w:jc w:val="both"/>
              <w:rPr>
                <w:sz w:val="20"/>
                <w:szCs w:val="20"/>
              </w:rPr>
            </w:pPr>
            <w:r>
              <w:rPr>
                <w:spacing w:val="8"/>
                <w:sz w:val="20"/>
                <w:szCs w:val="20"/>
              </w:rPr>
              <w:t>钻井过程中废水随同废弃泥浆、钻井岩屑收集至泥浆不落地循环系统装</w:t>
            </w:r>
            <w:r>
              <w:rPr>
                <w:spacing w:val="6"/>
                <w:sz w:val="20"/>
                <w:szCs w:val="20"/>
              </w:rPr>
              <w:t>置旁的可移动废水罐（</w:t>
            </w:r>
            <w:r>
              <w:rPr>
                <w:rFonts w:ascii="Times New Roman" w:hAnsi="Times New Roman" w:eastAsia="Times New Roman" w:cs="Times New Roman"/>
                <w:spacing w:val="6"/>
                <w:sz w:val="20"/>
                <w:szCs w:val="20"/>
              </w:rPr>
              <w:t>3×30m</w:t>
            </w:r>
            <w:r>
              <w:rPr>
                <w:rFonts w:ascii="Times New Roman" w:hAnsi="Times New Roman" w:eastAsia="Times New Roman" w:cs="Times New Roman"/>
                <w:spacing w:val="6"/>
                <w:position w:val="1"/>
                <w:sz w:val="13"/>
                <w:szCs w:val="13"/>
              </w:rPr>
              <w:t xml:space="preserve">3 </w:t>
            </w:r>
            <w:r>
              <w:rPr>
                <w:spacing w:val="6"/>
                <w:position w:val="1"/>
                <w:sz w:val="20"/>
                <w:szCs w:val="20"/>
              </w:rPr>
              <w:t>）</w:t>
            </w:r>
            <w:r>
              <w:rPr>
                <w:spacing w:val="6"/>
                <w:sz w:val="20"/>
                <w:szCs w:val="20"/>
              </w:rPr>
              <w:t>临时贮存</w:t>
            </w:r>
            <w:r>
              <w:rPr>
                <w:spacing w:val="5"/>
                <w:sz w:val="20"/>
                <w:szCs w:val="20"/>
              </w:rPr>
              <w:t>，定期拉运至内蒙古众宁环保</w:t>
            </w:r>
            <w:r>
              <w:rPr>
                <w:spacing w:val="8"/>
                <w:sz w:val="20"/>
                <w:szCs w:val="20"/>
              </w:rPr>
              <w:t>科技有限公司油气田废弃物集中处理厂处理。项目距离内蒙古众宁环保科技有限公司油气田废弃物集中处理厂约</w:t>
            </w:r>
            <w:r>
              <w:rPr>
                <w:spacing w:val="-24"/>
                <w:sz w:val="20"/>
                <w:szCs w:val="20"/>
              </w:rPr>
              <w:t xml:space="preserve"> </w:t>
            </w:r>
            <w:r>
              <w:rPr>
                <w:rFonts w:ascii="Times New Roman" w:hAnsi="Times New Roman" w:eastAsia="Times New Roman" w:cs="Times New Roman"/>
                <w:spacing w:val="8"/>
                <w:sz w:val="20"/>
                <w:szCs w:val="20"/>
              </w:rPr>
              <w:t>70</w:t>
            </w:r>
            <w:r>
              <w:rPr>
                <w:rFonts w:ascii="Times New Roman" w:hAnsi="Times New Roman" w:eastAsia="Times New Roman" w:cs="Times New Roman"/>
                <w:sz w:val="20"/>
                <w:szCs w:val="20"/>
              </w:rPr>
              <w:t>km</w:t>
            </w:r>
            <w:r>
              <w:rPr>
                <w:spacing w:val="8"/>
                <w:sz w:val="20"/>
                <w:szCs w:val="20"/>
              </w:rPr>
              <w:t>。</w:t>
            </w:r>
          </w:p>
          <w:p w14:paraId="0B113C02">
            <w:pPr>
              <w:pStyle w:val="6"/>
              <w:spacing w:line="227" w:lineRule="auto"/>
              <w:ind w:left="28"/>
              <w:rPr>
                <w:sz w:val="20"/>
                <w:szCs w:val="20"/>
              </w:rPr>
            </w:pPr>
            <w:r>
              <w:rPr>
                <w:spacing w:val="9"/>
                <w:sz w:val="20"/>
                <w:szCs w:val="20"/>
              </w:rPr>
              <w:t>盥洗废水排入井场设置的环保厕所，定期清掏。</w:t>
            </w:r>
          </w:p>
          <w:p w14:paraId="7876722C">
            <w:pPr>
              <w:pStyle w:val="6"/>
              <w:spacing w:before="24" w:line="232" w:lineRule="auto"/>
              <w:ind w:left="29" w:right="133" w:firstLine="2"/>
              <w:rPr>
                <w:sz w:val="20"/>
                <w:szCs w:val="20"/>
              </w:rPr>
            </w:pPr>
            <w:r>
              <w:rPr>
                <w:spacing w:val="8"/>
                <w:sz w:val="20"/>
                <w:szCs w:val="20"/>
              </w:rPr>
              <w:t>项目不进行油水分离，采出液进入储液罐贮存，由罐车拉运至临河联合站进行处理，无采出水产生。</w:t>
            </w:r>
          </w:p>
        </w:tc>
      </w:tr>
      <w:tr w14:paraId="09393B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466" w:type="dxa"/>
            <w:vMerge w:val="continue"/>
            <w:tcBorders>
              <w:top w:val="nil"/>
              <w:left w:val="single" w:color="000000" w:sz="6" w:space="0"/>
              <w:bottom w:val="nil"/>
            </w:tcBorders>
            <w:vAlign w:val="top"/>
          </w:tcPr>
          <w:p w14:paraId="5E3FABBB">
            <w:pPr>
              <w:rPr>
                <w:rFonts w:ascii="Arial"/>
                <w:sz w:val="21"/>
              </w:rPr>
            </w:pPr>
          </w:p>
        </w:tc>
        <w:tc>
          <w:tcPr>
            <w:tcW w:w="708" w:type="dxa"/>
            <w:vMerge w:val="continue"/>
            <w:tcBorders>
              <w:top w:val="nil"/>
              <w:bottom w:val="nil"/>
            </w:tcBorders>
            <w:vAlign w:val="top"/>
          </w:tcPr>
          <w:p w14:paraId="7C57234B">
            <w:pPr>
              <w:rPr>
                <w:rFonts w:ascii="Arial"/>
                <w:sz w:val="21"/>
              </w:rPr>
            </w:pPr>
          </w:p>
        </w:tc>
        <w:tc>
          <w:tcPr>
            <w:tcW w:w="1106" w:type="dxa"/>
            <w:gridSpan w:val="2"/>
            <w:vAlign w:val="top"/>
          </w:tcPr>
          <w:p w14:paraId="2300AC3A">
            <w:pPr>
              <w:pStyle w:val="6"/>
              <w:spacing w:before="97" w:line="228" w:lineRule="auto"/>
              <w:ind w:left="352"/>
              <w:rPr>
                <w:sz w:val="20"/>
                <w:szCs w:val="20"/>
              </w:rPr>
            </w:pPr>
            <w:r>
              <w:rPr>
                <w:spacing w:val="-1"/>
                <w:sz w:val="20"/>
                <w:szCs w:val="20"/>
              </w:rPr>
              <w:t>噪声</w:t>
            </w:r>
          </w:p>
        </w:tc>
        <w:tc>
          <w:tcPr>
            <w:tcW w:w="6635" w:type="dxa"/>
            <w:tcBorders>
              <w:right w:val="single" w:color="000000" w:sz="6" w:space="0"/>
            </w:tcBorders>
            <w:vAlign w:val="top"/>
          </w:tcPr>
          <w:p w14:paraId="3269D3F2">
            <w:pPr>
              <w:pStyle w:val="6"/>
              <w:spacing w:before="96" w:line="227" w:lineRule="auto"/>
              <w:ind w:left="1"/>
              <w:rPr>
                <w:sz w:val="20"/>
                <w:szCs w:val="20"/>
              </w:rPr>
            </w:pPr>
            <w:r>
              <w:rPr>
                <w:spacing w:val="9"/>
                <w:sz w:val="20"/>
                <w:szCs w:val="20"/>
              </w:rPr>
              <w:t>选用低噪声设备，采用基础减振、隔声等措施。</w:t>
            </w:r>
          </w:p>
        </w:tc>
      </w:tr>
      <w:tr w14:paraId="0493D1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77" w:hRule="atLeast"/>
        </w:trPr>
        <w:tc>
          <w:tcPr>
            <w:tcW w:w="466" w:type="dxa"/>
            <w:vMerge w:val="continue"/>
            <w:tcBorders>
              <w:top w:val="nil"/>
              <w:left w:val="single" w:color="000000" w:sz="6" w:space="0"/>
              <w:bottom w:val="nil"/>
            </w:tcBorders>
            <w:vAlign w:val="top"/>
          </w:tcPr>
          <w:p w14:paraId="1C4737B4">
            <w:pPr>
              <w:rPr>
                <w:rFonts w:ascii="Arial"/>
                <w:sz w:val="21"/>
              </w:rPr>
            </w:pPr>
          </w:p>
        </w:tc>
        <w:tc>
          <w:tcPr>
            <w:tcW w:w="708" w:type="dxa"/>
            <w:vMerge w:val="continue"/>
            <w:tcBorders>
              <w:top w:val="nil"/>
              <w:bottom w:val="nil"/>
            </w:tcBorders>
            <w:vAlign w:val="top"/>
          </w:tcPr>
          <w:p w14:paraId="0C7F1572">
            <w:pPr>
              <w:rPr>
                <w:rFonts w:ascii="Arial"/>
                <w:sz w:val="21"/>
              </w:rPr>
            </w:pPr>
          </w:p>
        </w:tc>
        <w:tc>
          <w:tcPr>
            <w:tcW w:w="1106" w:type="dxa"/>
            <w:gridSpan w:val="2"/>
            <w:vAlign w:val="top"/>
          </w:tcPr>
          <w:p w14:paraId="787DB11E">
            <w:pPr>
              <w:spacing w:line="304" w:lineRule="auto"/>
              <w:rPr>
                <w:rFonts w:ascii="Arial"/>
                <w:sz w:val="21"/>
              </w:rPr>
            </w:pPr>
          </w:p>
          <w:p w14:paraId="46871B3C">
            <w:pPr>
              <w:spacing w:line="304" w:lineRule="auto"/>
              <w:rPr>
                <w:rFonts w:ascii="Arial"/>
                <w:sz w:val="21"/>
              </w:rPr>
            </w:pPr>
          </w:p>
          <w:p w14:paraId="4A3BD7CD">
            <w:pPr>
              <w:spacing w:line="305" w:lineRule="auto"/>
              <w:rPr>
                <w:rFonts w:ascii="Arial"/>
                <w:sz w:val="21"/>
              </w:rPr>
            </w:pPr>
          </w:p>
          <w:p w14:paraId="2C3BFE1B">
            <w:pPr>
              <w:pStyle w:val="6"/>
              <w:spacing w:before="65" w:line="228" w:lineRule="auto"/>
              <w:ind w:left="360"/>
              <w:rPr>
                <w:sz w:val="20"/>
                <w:szCs w:val="20"/>
              </w:rPr>
            </w:pPr>
            <w:r>
              <w:rPr>
                <w:spacing w:val="-5"/>
                <w:sz w:val="20"/>
                <w:szCs w:val="20"/>
              </w:rPr>
              <w:t>固废</w:t>
            </w:r>
          </w:p>
        </w:tc>
        <w:tc>
          <w:tcPr>
            <w:tcW w:w="6635" w:type="dxa"/>
            <w:tcBorders>
              <w:right w:val="single" w:color="000000" w:sz="6" w:space="0"/>
            </w:tcBorders>
            <w:vAlign w:val="top"/>
          </w:tcPr>
          <w:p w14:paraId="2E1AB2A9">
            <w:pPr>
              <w:pStyle w:val="6"/>
              <w:spacing w:before="33" w:line="248" w:lineRule="auto"/>
              <w:ind w:left="3" w:right="104" w:firstLine="2"/>
              <w:jc w:val="both"/>
              <w:rPr>
                <w:sz w:val="20"/>
                <w:szCs w:val="20"/>
              </w:rPr>
            </w:pPr>
            <w:r>
              <w:rPr>
                <w:spacing w:val="10"/>
                <w:sz w:val="20"/>
                <w:szCs w:val="20"/>
              </w:rPr>
              <w:t>一般固废：废弃泥浆、钻井岩屑收集至泥浆不落地循环系统装置旁的可</w:t>
            </w:r>
            <w:r>
              <w:rPr>
                <w:spacing w:val="7"/>
                <w:sz w:val="20"/>
                <w:szCs w:val="20"/>
              </w:rPr>
              <w:t>移动废水罐（</w:t>
            </w:r>
            <w:r>
              <w:rPr>
                <w:rFonts w:ascii="Times New Roman" w:hAnsi="Times New Roman" w:eastAsia="Times New Roman" w:cs="Times New Roman"/>
                <w:spacing w:val="7"/>
                <w:sz w:val="20"/>
                <w:szCs w:val="20"/>
              </w:rPr>
              <w:t>3×30m</w:t>
            </w:r>
            <w:r>
              <w:rPr>
                <w:rFonts w:ascii="Times New Roman" w:hAnsi="Times New Roman" w:eastAsia="Times New Roman" w:cs="Times New Roman"/>
                <w:spacing w:val="7"/>
                <w:position w:val="1"/>
                <w:sz w:val="13"/>
                <w:szCs w:val="13"/>
              </w:rPr>
              <w:t xml:space="preserve">3 </w:t>
            </w:r>
            <w:r>
              <w:rPr>
                <w:spacing w:val="7"/>
                <w:position w:val="1"/>
                <w:sz w:val="20"/>
                <w:szCs w:val="20"/>
              </w:rPr>
              <w:t>）</w:t>
            </w:r>
            <w:r>
              <w:rPr>
                <w:spacing w:val="7"/>
                <w:sz w:val="20"/>
                <w:szCs w:val="20"/>
              </w:rPr>
              <w:t>临时贮存，定期拉运至内蒙古众宁环保科技有限</w:t>
            </w:r>
            <w:r>
              <w:rPr>
                <w:spacing w:val="8"/>
                <w:sz w:val="20"/>
                <w:szCs w:val="20"/>
              </w:rPr>
              <w:t>公司油气田废弃物集中处理厂处理。</w:t>
            </w:r>
          </w:p>
          <w:p w14:paraId="5E77B878">
            <w:pPr>
              <w:pStyle w:val="6"/>
              <w:spacing w:line="251" w:lineRule="auto"/>
              <w:ind w:left="2" w:right="104" w:firstLine="2"/>
              <w:jc w:val="both"/>
              <w:rPr>
                <w:sz w:val="20"/>
                <w:szCs w:val="20"/>
              </w:rPr>
            </w:pPr>
            <w:r>
              <w:rPr>
                <w:spacing w:val="10"/>
                <w:sz w:val="20"/>
                <w:szCs w:val="20"/>
              </w:rPr>
              <w:t>危险废物：废润滑油、落地油及废防渗材料等危险废物采用专用容器收集，暂存于撬装式危废暂存设施内并分类分区贮存，定期委托有资质单</w:t>
            </w:r>
            <w:r>
              <w:rPr>
                <w:spacing w:val="6"/>
                <w:sz w:val="20"/>
                <w:szCs w:val="20"/>
              </w:rPr>
              <w:t>位拉运处置。</w:t>
            </w:r>
          </w:p>
          <w:p w14:paraId="2380A450">
            <w:pPr>
              <w:pStyle w:val="6"/>
              <w:spacing w:before="1" w:line="231" w:lineRule="auto"/>
              <w:ind w:left="27" w:right="156" w:hanging="25"/>
              <w:jc w:val="both"/>
              <w:rPr>
                <w:sz w:val="20"/>
                <w:szCs w:val="20"/>
              </w:rPr>
            </w:pPr>
            <w:r>
              <w:rPr>
                <w:spacing w:val="8"/>
                <w:sz w:val="20"/>
                <w:szCs w:val="20"/>
              </w:rPr>
              <w:t>井场设置垃圾桶，生活垃圾集中收集后，拉运至当地乡镇生活垃圾点，</w:t>
            </w:r>
            <w:r>
              <w:rPr>
                <w:spacing w:val="5"/>
                <w:sz w:val="20"/>
                <w:szCs w:val="20"/>
              </w:rPr>
              <w:t>由当地环卫部门处置。</w:t>
            </w:r>
          </w:p>
        </w:tc>
      </w:tr>
      <w:tr w14:paraId="342D46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7" w:hRule="atLeast"/>
        </w:trPr>
        <w:tc>
          <w:tcPr>
            <w:tcW w:w="466" w:type="dxa"/>
            <w:vMerge w:val="continue"/>
            <w:tcBorders>
              <w:top w:val="nil"/>
              <w:left w:val="single" w:color="000000" w:sz="6" w:space="0"/>
              <w:bottom w:val="nil"/>
            </w:tcBorders>
            <w:vAlign w:val="top"/>
          </w:tcPr>
          <w:p w14:paraId="51CCA697">
            <w:pPr>
              <w:rPr>
                <w:rFonts w:ascii="Arial"/>
                <w:sz w:val="21"/>
              </w:rPr>
            </w:pPr>
          </w:p>
        </w:tc>
        <w:tc>
          <w:tcPr>
            <w:tcW w:w="708" w:type="dxa"/>
            <w:vMerge w:val="continue"/>
            <w:tcBorders>
              <w:top w:val="nil"/>
              <w:bottom w:val="nil"/>
            </w:tcBorders>
            <w:vAlign w:val="top"/>
          </w:tcPr>
          <w:p w14:paraId="6A72C60A">
            <w:pPr>
              <w:rPr>
                <w:rFonts w:ascii="Arial"/>
                <w:sz w:val="21"/>
              </w:rPr>
            </w:pPr>
          </w:p>
        </w:tc>
        <w:tc>
          <w:tcPr>
            <w:tcW w:w="1106" w:type="dxa"/>
            <w:gridSpan w:val="2"/>
            <w:vAlign w:val="top"/>
          </w:tcPr>
          <w:p w14:paraId="588ADAB6">
            <w:pPr>
              <w:spacing w:line="265" w:lineRule="auto"/>
              <w:rPr>
                <w:rFonts w:ascii="Arial"/>
                <w:sz w:val="21"/>
              </w:rPr>
            </w:pPr>
          </w:p>
          <w:p w14:paraId="44433DAE">
            <w:pPr>
              <w:spacing w:line="265" w:lineRule="auto"/>
              <w:rPr>
                <w:rFonts w:ascii="Arial"/>
                <w:sz w:val="21"/>
              </w:rPr>
            </w:pPr>
          </w:p>
          <w:p w14:paraId="1D109065">
            <w:pPr>
              <w:spacing w:line="265" w:lineRule="auto"/>
              <w:rPr>
                <w:rFonts w:ascii="Arial"/>
                <w:sz w:val="21"/>
              </w:rPr>
            </w:pPr>
          </w:p>
          <w:p w14:paraId="18949B06">
            <w:pPr>
              <w:spacing w:line="265" w:lineRule="auto"/>
              <w:rPr>
                <w:rFonts w:ascii="Arial"/>
                <w:sz w:val="21"/>
              </w:rPr>
            </w:pPr>
          </w:p>
          <w:p w14:paraId="71069AE8">
            <w:pPr>
              <w:spacing w:line="266" w:lineRule="auto"/>
              <w:rPr>
                <w:rFonts w:ascii="Arial"/>
                <w:sz w:val="21"/>
              </w:rPr>
            </w:pPr>
          </w:p>
          <w:p w14:paraId="70B2FE13">
            <w:pPr>
              <w:spacing w:line="266" w:lineRule="auto"/>
              <w:rPr>
                <w:rFonts w:ascii="Arial"/>
                <w:sz w:val="21"/>
              </w:rPr>
            </w:pPr>
          </w:p>
          <w:p w14:paraId="4EB866AA">
            <w:pPr>
              <w:pStyle w:val="6"/>
              <w:spacing w:before="65" w:line="228" w:lineRule="auto"/>
              <w:ind w:left="147"/>
              <w:rPr>
                <w:sz w:val="20"/>
                <w:szCs w:val="20"/>
              </w:rPr>
            </w:pPr>
            <w:r>
              <w:rPr>
                <w:spacing w:val="4"/>
                <w:sz w:val="20"/>
                <w:szCs w:val="20"/>
              </w:rPr>
              <w:t>防渗工程</w:t>
            </w:r>
          </w:p>
        </w:tc>
        <w:tc>
          <w:tcPr>
            <w:tcW w:w="6635" w:type="dxa"/>
            <w:tcBorders>
              <w:right w:val="single" w:color="000000" w:sz="6" w:space="0"/>
            </w:tcBorders>
            <w:vAlign w:val="top"/>
          </w:tcPr>
          <w:p w14:paraId="515EFB3A">
            <w:pPr>
              <w:pStyle w:val="6"/>
              <w:spacing w:before="35" w:line="228" w:lineRule="auto"/>
              <w:ind w:left="3"/>
              <w:rPr>
                <w:sz w:val="20"/>
                <w:szCs w:val="20"/>
              </w:rPr>
            </w:pPr>
            <w:r>
              <w:rPr>
                <w:b/>
                <w:bCs/>
                <w:spacing w:val="4"/>
                <w:sz w:val="20"/>
                <w:szCs w:val="20"/>
              </w:rPr>
              <w:t>重点防渗区：</w:t>
            </w:r>
          </w:p>
          <w:p w14:paraId="753310B7">
            <w:pPr>
              <w:pStyle w:val="6"/>
              <w:spacing w:before="25" w:line="251" w:lineRule="auto"/>
              <w:ind w:left="1" w:right="34"/>
              <w:jc w:val="both"/>
              <w:rPr>
                <w:sz w:val="20"/>
                <w:szCs w:val="20"/>
              </w:rPr>
            </w:pPr>
            <w:r>
              <w:rPr>
                <w:spacing w:val="6"/>
                <w:sz w:val="20"/>
                <w:szCs w:val="20"/>
              </w:rPr>
              <w:t>钻井平台、泥浆不落地循环系统装置区、柴油罐区、撬装式危</w:t>
            </w:r>
            <w:r>
              <w:rPr>
                <w:spacing w:val="5"/>
                <w:sz w:val="20"/>
                <w:szCs w:val="20"/>
              </w:rPr>
              <w:t>废贮存点、</w:t>
            </w:r>
            <w:r>
              <w:rPr>
                <w:spacing w:val="7"/>
                <w:sz w:val="20"/>
                <w:szCs w:val="20"/>
              </w:rPr>
              <w:t>储液罐区、放喷池（即应急池）等为重点防渗区，四周加设高度为</w:t>
            </w:r>
            <w:r>
              <w:rPr>
                <w:spacing w:val="-43"/>
                <w:sz w:val="20"/>
                <w:szCs w:val="20"/>
              </w:rPr>
              <w:t xml:space="preserve"> </w:t>
            </w:r>
            <w:r>
              <w:rPr>
                <w:rFonts w:ascii="Times New Roman" w:hAnsi="Times New Roman" w:eastAsia="Times New Roman" w:cs="Times New Roman"/>
                <w:spacing w:val="7"/>
                <w:sz w:val="20"/>
                <w:szCs w:val="20"/>
              </w:rPr>
              <w:t>20</w:t>
            </w:r>
            <w:r>
              <w:rPr>
                <w:rFonts w:ascii="Times New Roman" w:hAnsi="Times New Roman" w:eastAsia="Times New Roman" w:cs="Times New Roman"/>
                <w:sz w:val="20"/>
                <w:szCs w:val="20"/>
              </w:rPr>
              <w:t>cm</w:t>
            </w:r>
            <w:r>
              <w:rPr>
                <w:spacing w:val="8"/>
                <w:sz w:val="20"/>
                <w:szCs w:val="20"/>
              </w:rPr>
              <w:t>的围堰，铺设双层</w:t>
            </w:r>
            <w:r>
              <w:rPr>
                <w:spacing w:val="-31"/>
                <w:sz w:val="20"/>
                <w:szCs w:val="20"/>
              </w:rPr>
              <w:t xml:space="preserve"> </w:t>
            </w:r>
            <w:r>
              <w:rPr>
                <w:rFonts w:ascii="Times New Roman" w:hAnsi="Times New Roman" w:eastAsia="Times New Roman" w:cs="Times New Roman"/>
                <w:spacing w:val="8"/>
                <w:sz w:val="20"/>
                <w:szCs w:val="20"/>
              </w:rPr>
              <w:t>2</w:t>
            </w:r>
            <w:r>
              <w:rPr>
                <w:rFonts w:ascii="Times New Roman" w:hAnsi="Times New Roman" w:eastAsia="Times New Roman" w:cs="Times New Roman"/>
                <w:sz w:val="20"/>
                <w:szCs w:val="20"/>
              </w:rPr>
              <w:t>mm</w:t>
            </w:r>
            <w:r>
              <w:rPr>
                <w:rFonts w:ascii="Times New Roman" w:hAnsi="Times New Roman" w:eastAsia="Times New Roman" w:cs="Times New Roman"/>
                <w:spacing w:val="19"/>
                <w:w w:val="101"/>
                <w:sz w:val="20"/>
                <w:szCs w:val="20"/>
              </w:rPr>
              <w:t xml:space="preserve"> </w:t>
            </w:r>
            <w:r>
              <w:rPr>
                <w:spacing w:val="8"/>
                <w:sz w:val="20"/>
                <w:szCs w:val="20"/>
              </w:rPr>
              <w:t>厚高密度聚乙烯防渗膜（覆盖围堰并外延</w:t>
            </w:r>
            <w:r>
              <w:rPr>
                <w:spacing w:val="-38"/>
                <w:sz w:val="20"/>
                <w:szCs w:val="20"/>
              </w:rPr>
              <w:t xml:space="preserve"> </w:t>
            </w:r>
            <w:r>
              <w:rPr>
                <w:rFonts w:ascii="Times New Roman" w:hAnsi="Times New Roman" w:eastAsia="Times New Roman" w:cs="Times New Roman"/>
                <w:spacing w:val="8"/>
                <w:sz w:val="20"/>
                <w:szCs w:val="20"/>
              </w:rPr>
              <w:t>0.5m</w:t>
            </w:r>
            <w:r>
              <w:rPr>
                <w:spacing w:val="6"/>
                <w:sz w:val="20"/>
                <w:szCs w:val="20"/>
              </w:rPr>
              <w:t>以上</w:t>
            </w:r>
            <w:r>
              <w:rPr>
                <w:spacing w:val="16"/>
                <w:sz w:val="20"/>
                <w:szCs w:val="20"/>
              </w:rPr>
              <w:t>），</w:t>
            </w:r>
            <w:r>
              <w:rPr>
                <w:spacing w:val="6"/>
                <w:sz w:val="20"/>
                <w:szCs w:val="20"/>
              </w:rPr>
              <w:t>等效黏土防渗层</w:t>
            </w:r>
            <w:r>
              <w:rPr>
                <w:spacing w:val="-41"/>
                <w:sz w:val="20"/>
                <w:szCs w:val="20"/>
              </w:rPr>
              <w:t xml:space="preserve"> </w:t>
            </w:r>
            <w:r>
              <w:rPr>
                <w:rFonts w:ascii="Times New Roman" w:hAnsi="Times New Roman" w:eastAsia="Times New Roman" w:cs="Times New Roman"/>
                <w:sz w:val="20"/>
                <w:szCs w:val="20"/>
              </w:rPr>
              <w:t>Mb</w:t>
            </w:r>
            <w:r>
              <w:rPr>
                <w:spacing w:val="6"/>
                <w:sz w:val="20"/>
                <w:szCs w:val="20"/>
              </w:rPr>
              <w:t>≥</w:t>
            </w:r>
            <w:r>
              <w:rPr>
                <w:rFonts w:ascii="Times New Roman" w:hAnsi="Times New Roman" w:eastAsia="Times New Roman" w:cs="Times New Roman"/>
                <w:spacing w:val="6"/>
                <w:sz w:val="20"/>
                <w:szCs w:val="20"/>
              </w:rPr>
              <w:t>6.0m</w:t>
            </w:r>
            <w:r>
              <w:rPr>
                <w:rFonts w:ascii="Times New Roman" w:hAnsi="Times New Roman" w:eastAsia="Times New Roman" w:cs="Times New Roman"/>
                <w:spacing w:val="-27"/>
                <w:sz w:val="20"/>
                <w:szCs w:val="20"/>
              </w:rPr>
              <w:t xml:space="preserve"> </w:t>
            </w:r>
            <w:r>
              <w:rPr>
                <w:spacing w:val="6"/>
                <w:sz w:val="20"/>
                <w:szCs w:val="20"/>
              </w:rPr>
              <w:t>，</w:t>
            </w:r>
            <w:r>
              <w:rPr>
                <w:rFonts w:ascii="Times New Roman" w:hAnsi="Times New Roman" w:eastAsia="Times New Roman" w:cs="Times New Roman"/>
                <w:spacing w:val="6"/>
                <w:sz w:val="20"/>
                <w:szCs w:val="20"/>
              </w:rPr>
              <w:t>K</w:t>
            </w:r>
            <w:r>
              <w:rPr>
                <w:spacing w:val="6"/>
                <w:sz w:val="20"/>
                <w:szCs w:val="20"/>
              </w:rPr>
              <w:t>≤</w:t>
            </w:r>
            <w:r>
              <w:rPr>
                <w:rFonts w:ascii="Times New Roman" w:hAnsi="Times New Roman" w:eastAsia="Times New Roman" w:cs="Times New Roman"/>
                <w:spacing w:val="6"/>
                <w:sz w:val="20"/>
                <w:szCs w:val="20"/>
              </w:rPr>
              <w:t>1×10</w:t>
            </w:r>
            <w:r>
              <w:rPr>
                <w:rFonts w:ascii="Times New Roman" w:hAnsi="Times New Roman" w:eastAsia="Times New Roman" w:cs="Times New Roman"/>
                <w:spacing w:val="6"/>
                <w:position w:val="6"/>
                <w:sz w:val="13"/>
                <w:szCs w:val="13"/>
              </w:rPr>
              <w:t>-</w:t>
            </w:r>
            <w:r>
              <w:rPr>
                <w:rFonts w:ascii="Times New Roman" w:hAnsi="Times New Roman" w:eastAsia="Times New Roman" w:cs="Times New Roman"/>
                <w:spacing w:val="5"/>
                <w:position w:val="6"/>
                <w:sz w:val="13"/>
                <w:szCs w:val="13"/>
              </w:rPr>
              <w:t>10</w:t>
            </w:r>
            <w:r>
              <w:rPr>
                <w:rFonts w:ascii="Times New Roman" w:hAnsi="Times New Roman" w:eastAsia="Times New Roman" w:cs="Times New Roman"/>
                <w:sz w:val="20"/>
                <w:szCs w:val="20"/>
              </w:rPr>
              <w:t>cm</w:t>
            </w:r>
            <w:r>
              <w:rPr>
                <w:rFonts w:ascii="Times New Roman" w:hAnsi="Times New Roman" w:eastAsia="Times New Roman" w:cs="Times New Roman"/>
                <w:spacing w:val="5"/>
                <w:sz w:val="20"/>
                <w:szCs w:val="20"/>
              </w:rPr>
              <w:t>/s</w:t>
            </w:r>
            <w:r>
              <w:rPr>
                <w:spacing w:val="5"/>
                <w:sz w:val="20"/>
                <w:szCs w:val="20"/>
              </w:rPr>
              <w:t>。</w:t>
            </w:r>
          </w:p>
          <w:p w14:paraId="5A6DA5C0">
            <w:pPr>
              <w:pStyle w:val="6"/>
              <w:spacing w:line="228" w:lineRule="auto"/>
              <w:ind w:left="5"/>
              <w:rPr>
                <w:sz w:val="20"/>
                <w:szCs w:val="20"/>
              </w:rPr>
            </w:pPr>
            <w:r>
              <w:rPr>
                <w:b/>
                <w:bCs/>
                <w:spacing w:val="4"/>
                <w:sz w:val="20"/>
                <w:szCs w:val="20"/>
              </w:rPr>
              <w:t>一般防渗区：</w:t>
            </w:r>
          </w:p>
          <w:p w14:paraId="194DD8DA">
            <w:pPr>
              <w:pStyle w:val="6"/>
              <w:spacing w:before="22" w:line="252" w:lineRule="auto"/>
              <w:ind w:left="1" w:right="102" w:firstLine="5"/>
              <w:jc w:val="both"/>
              <w:rPr>
                <w:sz w:val="20"/>
                <w:szCs w:val="20"/>
              </w:rPr>
            </w:pPr>
            <w:r>
              <w:rPr>
                <w:spacing w:val="10"/>
                <w:sz w:val="20"/>
                <w:szCs w:val="20"/>
              </w:rPr>
              <w:t>原材料堆存区、可移动废水罐、移动防渗厕所等为一般防渗区，移动防渗厕所储污池为一体化结构，密封防渗；原材料堆存区、可移动废水罐</w:t>
            </w:r>
            <w:r>
              <w:rPr>
                <w:spacing w:val="8"/>
                <w:sz w:val="20"/>
                <w:szCs w:val="20"/>
              </w:rPr>
              <w:t>等四周加设高度为</w:t>
            </w:r>
            <w:r>
              <w:rPr>
                <w:spacing w:val="-43"/>
                <w:sz w:val="20"/>
                <w:szCs w:val="20"/>
              </w:rPr>
              <w:t xml:space="preserve"> </w:t>
            </w:r>
            <w:r>
              <w:rPr>
                <w:rFonts w:ascii="Times New Roman" w:hAnsi="Times New Roman" w:eastAsia="Times New Roman" w:cs="Times New Roman"/>
                <w:spacing w:val="8"/>
                <w:sz w:val="20"/>
                <w:szCs w:val="20"/>
              </w:rPr>
              <w:t>20</w:t>
            </w:r>
            <w:r>
              <w:rPr>
                <w:rFonts w:ascii="Times New Roman" w:hAnsi="Times New Roman" w:eastAsia="Times New Roman" w:cs="Times New Roman"/>
                <w:sz w:val="20"/>
                <w:szCs w:val="20"/>
              </w:rPr>
              <w:t>cm</w:t>
            </w:r>
            <w:r>
              <w:rPr>
                <w:rFonts w:ascii="Times New Roman" w:hAnsi="Times New Roman" w:eastAsia="Times New Roman" w:cs="Times New Roman"/>
                <w:spacing w:val="29"/>
                <w:w w:val="101"/>
                <w:sz w:val="20"/>
                <w:szCs w:val="20"/>
              </w:rPr>
              <w:t xml:space="preserve"> </w:t>
            </w:r>
            <w:r>
              <w:rPr>
                <w:spacing w:val="8"/>
                <w:sz w:val="20"/>
                <w:szCs w:val="20"/>
              </w:rPr>
              <w:t>的围堰，铺设双层</w:t>
            </w:r>
            <w:r>
              <w:rPr>
                <w:spacing w:val="-23"/>
                <w:sz w:val="20"/>
                <w:szCs w:val="20"/>
              </w:rPr>
              <w:t xml:space="preserve"> </w:t>
            </w: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r>
              <w:rPr>
                <w:rFonts w:ascii="Times New Roman" w:hAnsi="Times New Roman" w:eastAsia="Times New Roman" w:cs="Times New Roman"/>
                <w:sz w:val="20"/>
                <w:szCs w:val="20"/>
              </w:rPr>
              <w:t>mm</w:t>
            </w:r>
            <w:r>
              <w:rPr>
                <w:rFonts w:ascii="Times New Roman" w:hAnsi="Times New Roman" w:eastAsia="Times New Roman" w:cs="Times New Roman"/>
                <w:spacing w:val="19"/>
                <w:sz w:val="20"/>
                <w:szCs w:val="20"/>
              </w:rPr>
              <w:t xml:space="preserve"> </w:t>
            </w:r>
            <w:r>
              <w:rPr>
                <w:spacing w:val="7"/>
                <w:sz w:val="20"/>
                <w:szCs w:val="20"/>
              </w:rPr>
              <w:t>厚高密度聚乙烯防渗</w:t>
            </w:r>
            <w:r>
              <w:rPr>
                <w:spacing w:val="6"/>
                <w:sz w:val="20"/>
                <w:szCs w:val="20"/>
              </w:rPr>
              <w:t>膜（覆盖围堰并外延</w:t>
            </w:r>
            <w:r>
              <w:rPr>
                <w:spacing w:val="-36"/>
                <w:sz w:val="20"/>
                <w:szCs w:val="20"/>
              </w:rPr>
              <w:t xml:space="preserve"> </w:t>
            </w:r>
            <w:r>
              <w:rPr>
                <w:rFonts w:ascii="Times New Roman" w:hAnsi="Times New Roman" w:eastAsia="Times New Roman" w:cs="Times New Roman"/>
                <w:spacing w:val="6"/>
                <w:sz w:val="20"/>
                <w:szCs w:val="20"/>
              </w:rPr>
              <w:t>0.5m</w:t>
            </w:r>
            <w:r>
              <w:rPr>
                <w:rFonts w:ascii="Times New Roman" w:hAnsi="Times New Roman" w:eastAsia="Times New Roman" w:cs="Times New Roman"/>
                <w:spacing w:val="33"/>
                <w:sz w:val="20"/>
                <w:szCs w:val="20"/>
              </w:rPr>
              <w:t xml:space="preserve"> </w:t>
            </w:r>
            <w:r>
              <w:rPr>
                <w:spacing w:val="6"/>
                <w:sz w:val="20"/>
                <w:szCs w:val="20"/>
              </w:rPr>
              <w:t>以上</w:t>
            </w:r>
            <w:r>
              <w:rPr>
                <w:spacing w:val="-8"/>
                <w:sz w:val="20"/>
                <w:szCs w:val="20"/>
              </w:rPr>
              <w:t>），</w:t>
            </w:r>
            <w:r>
              <w:rPr>
                <w:spacing w:val="6"/>
                <w:sz w:val="20"/>
                <w:szCs w:val="20"/>
              </w:rPr>
              <w:t>移动厕所为一体化结构，整体</w:t>
            </w:r>
            <w:r>
              <w:rPr>
                <w:spacing w:val="5"/>
                <w:sz w:val="20"/>
                <w:szCs w:val="20"/>
              </w:rPr>
              <w:t>防水密</w:t>
            </w:r>
            <w:r>
              <w:rPr>
                <w:spacing w:val="6"/>
                <w:sz w:val="20"/>
                <w:szCs w:val="20"/>
              </w:rPr>
              <w:t>封，等效黏土防渗层</w:t>
            </w:r>
            <w:r>
              <w:rPr>
                <w:spacing w:val="-31"/>
                <w:sz w:val="20"/>
                <w:szCs w:val="20"/>
              </w:rPr>
              <w:t xml:space="preserve"> </w:t>
            </w:r>
            <w:r>
              <w:rPr>
                <w:rFonts w:ascii="Times New Roman" w:hAnsi="Times New Roman" w:eastAsia="Times New Roman" w:cs="Times New Roman"/>
                <w:sz w:val="20"/>
                <w:szCs w:val="20"/>
              </w:rPr>
              <w:t>Mb</w:t>
            </w:r>
            <w:r>
              <w:rPr>
                <w:spacing w:val="6"/>
                <w:sz w:val="20"/>
                <w:szCs w:val="20"/>
              </w:rPr>
              <w:t>≥</w:t>
            </w:r>
            <w:r>
              <w:rPr>
                <w:rFonts w:ascii="Times New Roman" w:hAnsi="Times New Roman" w:eastAsia="Times New Roman" w:cs="Times New Roman"/>
                <w:spacing w:val="6"/>
                <w:sz w:val="20"/>
                <w:szCs w:val="20"/>
              </w:rPr>
              <w:t>1.5m</w:t>
            </w:r>
            <w:r>
              <w:rPr>
                <w:rFonts w:ascii="Times New Roman" w:hAnsi="Times New Roman" w:eastAsia="Times New Roman" w:cs="Times New Roman"/>
                <w:spacing w:val="-26"/>
                <w:sz w:val="20"/>
                <w:szCs w:val="20"/>
              </w:rPr>
              <w:t xml:space="preserve"> </w:t>
            </w:r>
            <w:r>
              <w:rPr>
                <w:spacing w:val="6"/>
                <w:sz w:val="20"/>
                <w:szCs w:val="20"/>
              </w:rPr>
              <w:t>，</w:t>
            </w:r>
            <w:r>
              <w:rPr>
                <w:rFonts w:ascii="Times New Roman" w:hAnsi="Times New Roman" w:eastAsia="Times New Roman" w:cs="Times New Roman"/>
                <w:spacing w:val="6"/>
                <w:sz w:val="20"/>
                <w:szCs w:val="20"/>
              </w:rPr>
              <w:t>K</w:t>
            </w:r>
            <w:r>
              <w:rPr>
                <w:spacing w:val="6"/>
                <w:sz w:val="20"/>
                <w:szCs w:val="20"/>
              </w:rPr>
              <w:t>≤</w:t>
            </w:r>
            <w:r>
              <w:rPr>
                <w:rFonts w:ascii="Times New Roman" w:hAnsi="Times New Roman" w:eastAsia="Times New Roman" w:cs="Times New Roman"/>
                <w:spacing w:val="6"/>
                <w:sz w:val="20"/>
                <w:szCs w:val="20"/>
              </w:rPr>
              <w:t>1×10</w:t>
            </w:r>
            <w:r>
              <w:rPr>
                <w:rFonts w:ascii="Times New Roman" w:hAnsi="Times New Roman" w:eastAsia="Times New Roman" w:cs="Times New Roman"/>
                <w:spacing w:val="6"/>
                <w:position w:val="6"/>
                <w:sz w:val="13"/>
                <w:szCs w:val="13"/>
              </w:rPr>
              <w:t>-7</w:t>
            </w:r>
            <w:r>
              <w:rPr>
                <w:rFonts w:ascii="Times New Roman" w:hAnsi="Times New Roman" w:eastAsia="Times New Roman" w:cs="Times New Roman"/>
                <w:sz w:val="20"/>
                <w:szCs w:val="20"/>
              </w:rPr>
              <w:t>cm</w:t>
            </w:r>
            <w:r>
              <w:rPr>
                <w:rFonts w:ascii="Times New Roman" w:hAnsi="Times New Roman" w:eastAsia="Times New Roman" w:cs="Times New Roman"/>
                <w:spacing w:val="6"/>
                <w:sz w:val="20"/>
                <w:szCs w:val="20"/>
              </w:rPr>
              <w:t>/s</w:t>
            </w:r>
            <w:r>
              <w:rPr>
                <w:spacing w:val="6"/>
                <w:sz w:val="20"/>
                <w:szCs w:val="20"/>
              </w:rPr>
              <w:t>。</w:t>
            </w:r>
          </w:p>
          <w:p w14:paraId="671C06B0">
            <w:pPr>
              <w:pStyle w:val="6"/>
              <w:spacing w:line="226" w:lineRule="auto"/>
              <w:ind w:left="6"/>
              <w:rPr>
                <w:sz w:val="20"/>
                <w:szCs w:val="20"/>
              </w:rPr>
            </w:pPr>
            <w:r>
              <w:rPr>
                <w:b/>
                <w:bCs/>
                <w:spacing w:val="4"/>
                <w:sz w:val="20"/>
                <w:szCs w:val="20"/>
              </w:rPr>
              <w:t>简易防渗区：</w:t>
            </w:r>
          </w:p>
          <w:p w14:paraId="0E50423B">
            <w:pPr>
              <w:pStyle w:val="6"/>
              <w:spacing w:before="26" w:line="208" w:lineRule="auto"/>
              <w:ind w:left="6"/>
              <w:rPr>
                <w:sz w:val="20"/>
                <w:szCs w:val="20"/>
              </w:rPr>
            </w:pPr>
            <w:r>
              <w:rPr>
                <w:spacing w:val="9"/>
                <w:sz w:val="20"/>
                <w:szCs w:val="20"/>
              </w:rPr>
              <w:t>办公室、值班室、机房等采用压实方式进行</w:t>
            </w:r>
            <w:r>
              <w:rPr>
                <w:spacing w:val="8"/>
                <w:sz w:val="20"/>
                <w:szCs w:val="20"/>
              </w:rPr>
              <w:t>防渗。</w:t>
            </w:r>
          </w:p>
        </w:tc>
      </w:tr>
      <w:tr w14:paraId="6E057D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4" w:hRule="atLeast"/>
        </w:trPr>
        <w:tc>
          <w:tcPr>
            <w:tcW w:w="466" w:type="dxa"/>
            <w:vMerge w:val="continue"/>
            <w:tcBorders>
              <w:top w:val="nil"/>
              <w:left w:val="single" w:color="000000" w:sz="6" w:space="0"/>
              <w:bottom w:val="nil"/>
            </w:tcBorders>
            <w:vAlign w:val="top"/>
          </w:tcPr>
          <w:p w14:paraId="432AA0B9">
            <w:pPr>
              <w:rPr>
                <w:rFonts w:ascii="Arial"/>
                <w:sz w:val="21"/>
              </w:rPr>
            </w:pPr>
          </w:p>
        </w:tc>
        <w:tc>
          <w:tcPr>
            <w:tcW w:w="708" w:type="dxa"/>
            <w:vMerge w:val="continue"/>
            <w:tcBorders>
              <w:top w:val="nil"/>
            </w:tcBorders>
            <w:vAlign w:val="top"/>
          </w:tcPr>
          <w:p w14:paraId="01F4A186">
            <w:pPr>
              <w:rPr>
                <w:rFonts w:ascii="Arial"/>
                <w:sz w:val="21"/>
              </w:rPr>
            </w:pPr>
          </w:p>
        </w:tc>
        <w:tc>
          <w:tcPr>
            <w:tcW w:w="1106" w:type="dxa"/>
            <w:gridSpan w:val="2"/>
            <w:vAlign w:val="top"/>
          </w:tcPr>
          <w:p w14:paraId="38A27CE1">
            <w:pPr>
              <w:spacing w:line="261" w:lineRule="auto"/>
              <w:rPr>
                <w:rFonts w:ascii="Arial"/>
                <w:sz w:val="21"/>
              </w:rPr>
            </w:pPr>
          </w:p>
          <w:p w14:paraId="1DEBDF49">
            <w:pPr>
              <w:spacing w:line="261" w:lineRule="auto"/>
              <w:rPr>
                <w:rFonts w:ascii="Arial"/>
                <w:sz w:val="21"/>
              </w:rPr>
            </w:pPr>
          </w:p>
          <w:p w14:paraId="259227B7">
            <w:pPr>
              <w:spacing w:line="262" w:lineRule="auto"/>
              <w:rPr>
                <w:rFonts w:ascii="Arial"/>
                <w:sz w:val="21"/>
              </w:rPr>
            </w:pPr>
          </w:p>
          <w:p w14:paraId="0D219DFF">
            <w:pPr>
              <w:pStyle w:val="6"/>
              <w:spacing w:before="65" w:line="228" w:lineRule="auto"/>
              <w:ind w:left="135"/>
              <w:rPr>
                <w:sz w:val="20"/>
                <w:szCs w:val="20"/>
              </w:rPr>
            </w:pPr>
            <w:r>
              <w:rPr>
                <w:spacing w:val="6"/>
                <w:sz w:val="20"/>
                <w:szCs w:val="20"/>
              </w:rPr>
              <w:t>生态环境</w:t>
            </w:r>
          </w:p>
        </w:tc>
        <w:tc>
          <w:tcPr>
            <w:tcW w:w="6635" w:type="dxa"/>
            <w:tcBorders>
              <w:right w:val="single" w:color="000000" w:sz="6" w:space="0"/>
            </w:tcBorders>
            <w:vAlign w:val="top"/>
          </w:tcPr>
          <w:p w14:paraId="265F0636">
            <w:pPr>
              <w:pStyle w:val="6"/>
              <w:spacing w:before="36" w:line="245" w:lineRule="auto"/>
              <w:ind w:right="11"/>
              <w:jc w:val="both"/>
              <w:rPr>
                <w:sz w:val="20"/>
                <w:szCs w:val="20"/>
              </w:rPr>
            </w:pPr>
            <w:r>
              <w:rPr>
                <w:spacing w:val="9"/>
                <w:sz w:val="20"/>
                <w:szCs w:val="20"/>
              </w:rPr>
              <w:t>勘探施工前将表层土壤剥离，在井场在井场东</w:t>
            </w:r>
            <w:r>
              <w:rPr>
                <w:spacing w:val="8"/>
                <w:sz w:val="20"/>
                <w:szCs w:val="20"/>
              </w:rPr>
              <w:t>北部设置表土堆存区，</w:t>
            </w:r>
            <w:r>
              <w:rPr>
                <w:spacing w:val="-49"/>
                <w:sz w:val="20"/>
                <w:szCs w:val="20"/>
              </w:rPr>
              <w:t xml:space="preserve"> </w:t>
            </w:r>
            <w:r>
              <w:rPr>
                <w:spacing w:val="8"/>
                <w:sz w:val="20"/>
                <w:szCs w:val="20"/>
              </w:rPr>
              <w:t>占</w:t>
            </w:r>
            <w:r>
              <w:rPr>
                <w:spacing w:val="4"/>
                <w:sz w:val="20"/>
                <w:szCs w:val="20"/>
              </w:rPr>
              <w:t>地面积</w:t>
            </w:r>
            <w:r>
              <w:rPr>
                <w:spacing w:val="-41"/>
                <w:sz w:val="20"/>
                <w:szCs w:val="20"/>
              </w:rPr>
              <w:t xml:space="preserve"> </w:t>
            </w:r>
            <w:r>
              <w:rPr>
                <w:rFonts w:ascii="Times New Roman" w:hAnsi="Times New Roman" w:eastAsia="Times New Roman" w:cs="Times New Roman"/>
                <w:spacing w:val="4"/>
                <w:sz w:val="20"/>
                <w:szCs w:val="20"/>
              </w:rPr>
              <w:t>2000m</w:t>
            </w:r>
            <w:r>
              <w:rPr>
                <w:rFonts w:ascii="Times New Roman" w:hAnsi="Times New Roman" w:eastAsia="Times New Roman" w:cs="Times New Roman"/>
                <w:spacing w:val="4"/>
                <w:position w:val="6"/>
                <w:sz w:val="13"/>
                <w:szCs w:val="13"/>
              </w:rPr>
              <w:t>2</w:t>
            </w:r>
            <w:r>
              <w:rPr>
                <w:spacing w:val="4"/>
                <w:sz w:val="20"/>
                <w:szCs w:val="20"/>
              </w:rPr>
              <w:t>。定期洒水抑尘，按照《表土剥离及其</w:t>
            </w:r>
            <w:r>
              <w:rPr>
                <w:spacing w:val="3"/>
                <w:sz w:val="20"/>
                <w:szCs w:val="20"/>
              </w:rPr>
              <w:t>再生利用技术要求》</w:t>
            </w:r>
            <w:r>
              <w:rPr>
                <w:sz w:val="20"/>
                <w:szCs w:val="20"/>
              </w:rPr>
              <w:t xml:space="preserve"> </w:t>
            </w:r>
            <w:r>
              <w:rPr>
                <w:spacing w:val="9"/>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9"/>
                <w:sz w:val="20"/>
                <w:szCs w:val="20"/>
              </w:rPr>
              <w:t>/T45107-2024</w:t>
            </w:r>
            <w:r>
              <w:rPr>
                <w:spacing w:val="9"/>
                <w:sz w:val="20"/>
                <w:szCs w:val="20"/>
              </w:rPr>
              <w:t>）规范堆存，加强堆存区的稳定性，防止水土流</w:t>
            </w:r>
            <w:r>
              <w:rPr>
                <w:spacing w:val="8"/>
                <w:sz w:val="20"/>
                <w:szCs w:val="20"/>
              </w:rPr>
              <w:t>失。</w:t>
            </w:r>
            <w:r>
              <w:rPr>
                <w:spacing w:val="10"/>
                <w:sz w:val="20"/>
                <w:szCs w:val="20"/>
              </w:rPr>
              <w:t>勘探施工结束后有开发利用价值的保留试油井场，对其他临时用地进行翻耕，若无可开发利用价值的，则全部进行翻耕，将剥离的表层土壤铺在最上层。按照复垦计划，对临时占地进行植被恢复工作，根据因地制</w:t>
            </w:r>
            <w:r>
              <w:rPr>
                <w:spacing w:val="9"/>
                <w:sz w:val="20"/>
                <w:szCs w:val="20"/>
              </w:rPr>
              <w:t>宜的原则视具体情况实施覆土恢复植被。</w:t>
            </w:r>
          </w:p>
        </w:tc>
      </w:tr>
      <w:tr w14:paraId="2A8B10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trPr>
        <w:tc>
          <w:tcPr>
            <w:tcW w:w="466" w:type="dxa"/>
            <w:vMerge w:val="continue"/>
            <w:tcBorders>
              <w:top w:val="nil"/>
              <w:left w:val="single" w:color="000000" w:sz="6" w:space="0"/>
              <w:bottom w:val="nil"/>
            </w:tcBorders>
            <w:vAlign w:val="top"/>
          </w:tcPr>
          <w:p w14:paraId="0EF939B3">
            <w:pPr>
              <w:rPr>
                <w:rFonts w:ascii="Arial"/>
                <w:sz w:val="21"/>
              </w:rPr>
            </w:pPr>
          </w:p>
        </w:tc>
        <w:tc>
          <w:tcPr>
            <w:tcW w:w="708" w:type="dxa"/>
            <w:vMerge w:val="restart"/>
            <w:tcBorders>
              <w:bottom w:val="nil"/>
            </w:tcBorders>
            <w:vAlign w:val="top"/>
          </w:tcPr>
          <w:p w14:paraId="3C0EF620">
            <w:pPr>
              <w:spacing w:line="308" w:lineRule="auto"/>
              <w:rPr>
                <w:rFonts w:ascii="Arial"/>
                <w:sz w:val="21"/>
              </w:rPr>
            </w:pPr>
          </w:p>
          <w:p w14:paraId="56FCA672">
            <w:pPr>
              <w:spacing w:line="308" w:lineRule="auto"/>
              <w:rPr>
                <w:rFonts w:ascii="Arial"/>
                <w:sz w:val="21"/>
              </w:rPr>
            </w:pPr>
          </w:p>
          <w:p w14:paraId="5F413534">
            <w:pPr>
              <w:spacing w:line="308" w:lineRule="auto"/>
              <w:rPr>
                <w:rFonts w:ascii="Arial"/>
                <w:sz w:val="21"/>
              </w:rPr>
            </w:pPr>
          </w:p>
          <w:p w14:paraId="62D237BB">
            <w:pPr>
              <w:pStyle w:val="6"/>
              <w:spacing w:before="65" w:line="254" w:lineRule="auto"/>
              <w:ind w:left="198" w:right="96"/>
              <w:rPr>
                <w:sz w:val="20"/>
                <w:szCs w:val="20"/>
              </w:rPr>
            </w:pPr>
            <w:r>
              <w:rPr>
                <w:spacing w:val="3"/>
                <w:sz w:val="20"/>
                <w:szCs w:val="20"/>
              </w:rPr>
              <w:t>依托工程</w:t>
            </w:r>
          </w:p>
        </w:tc>
        <w:tc>
          <w:tcPr>
            <w:tcW w:w="1106" w:type="dxa"/>
            <w:gridSpan w:val="2"/>
            <w:vAlign w:val="top"/>
          </w:tcPr>
          <w:p w14:paraId="6E649CFE">
            <w:pPr>
              <w:spacing w:line="246" w:lineRule="auto"/>
              <w:rPr>
                <w:rFonts w:ascii="Arial"/>
                <w:sz w:val="21"/>
              </w:rPr>
            </w:pPr>
          </w:p>
          <w:p w14:paraId="1BD034CC">
            <w:pPr>
              <w:pStyle w:val="6"/>
              <w:spacing w:before="65" w:line="228" w:lineRule="auto"/>
              <w:ind w:left="40"/>
              <w:rPr>
                <w:sz w:val="20"/>
                <w:szCs w:val="20"/>
              </w:rPr>
            </w:pPr>
            <w:r>
              <w:rPr>
                <w:spacing w:val="5"/>
                <w:sz w:val="20"/>
                <w:szCs w:val="20"/>
              </w:rPr>
              <w:t>临河联合站</w:t>
            </w:r>
          </w:p>
        </w:tc>
        <w:tc>
          <w:tcPr>
            <w:tcW w:w="6635" w:type="dxa"/>
            <w:tcBorders>
              <w:right w:val="single" w:color="000000" w:sz="6" w:space="0"/>
            </w:tcBorders>
            <w:vAlign w:val="top"/>
          </w:tcPr>
          <w:p w14:paraId="69189F7A">
            <w:pPr>
              <w:pStyle w:val="6"/>
              <w:spacing w:before="39" w:line="236" w:lineRule="auto"/>
              <w:ind w:left="13" w:right="34" w:hanging="11"/>
              <w:jc w:val="both"/>
              <w:rPr>
                <w:sz w:val="20"/>
                <w:szCs w:val="20"/>
              </w:rPr>
            </w:pPr>
            <w:r>
              <w:rPr>
                <w:spacing w:val="6"/>
                <w:sz w:val="20"/>
                <w:szCs w:val="20"/>
              </w:rPr>
              <w:t>试油阶段采出液（原油）拉运至临河联合站，进入站内采出液</w:t>
            </w:r>
            <w:r>
              <w:rPr>
                <w:spacing w:val="5"/>
                <w:sz w:val="20"/>
                <w:szCs w:val="20"/>
              </w:rPr>
              <w:t>处理系统。</w:t>
            </w:r>
            <w:r>
              <w:rPr>
                <w:spacing w:val="10"/>
                <w:sz w:val="20"/>
                <w:szCs w:val="20"/>
              </w:rPr>
              <w:t>临河联合站为华北油田巴彦勘探开发分公司内部站场，位</w:t>
            </w:r>
            <w:r>
              <w:rPr>
                <w:spacing w:val="9"/>
                <w:sz w:val="20"/>
                <w:szCs w:val="20"/>
              </w:rPr>
              <w:t>于内蒙古自治</w:t>
            </w:r>
            <w:r>
              <w:rPr>
                <w:spacing w:val="8"/>
                <w:sz w:val="20"/>
                <w:szCs w:val="20"/>
              </w:rPr>
              <w:t>区巴彦淖尔市临河区。项目距离临河联合站东北方向约</w:t>
            </w:r>
            <w:r>
              <w:rPr>
                <w:spacing w:val="-23"/>
                <w:sz w:val="20"/>
                <w:szCs w:val="20"/>
              </w:rPr>
              <w:t xml:space="preserve"> </w:t>
            </w:r>
            <w:r>
              <w:rPr>
                <w:rFonts w:ascii="Times New Roman" w:hAnsi="Times New Roman" w:eastAsia="Times New Roman" w:cs="Times New Roman"/>
                <w:spacing w:val="8"/>
                <w:sz w:val="20"/>
                <w:szCs w:val="20"/>
              </w:rPr>
              <w:t>50</w:t>
            </w:r>
            <w:r>
              <w:rPr>
                <w:rFonts w:ascii="Times New Roman" w:hAnsi="Times New Roman" w:eastAsia="Times New Roman" w:cs="Times New Roman"/>
                <w:sz w:val="20"/>
                <w:szCs w:val="20"/>
              </w:rPr>
              <w:t>km</w:t>
            </w:r>
            <w:r>
              <w:rPr>
                <w:spacing w:val="8"/>
                <w:sz w:val="20"/>
                <w:szCs w:val="20"/>
              </w:rPr>
              <w:t>。</w:t>
            </w:r>
          </w:p>
        </w:tc>
      </w:tr>
      <w:tr w14:paraId="79C8D1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4" w:hRule="atLeast"/>
        </w:trPr>
        <w:tc>
          <w:tcPr>
            <w:tcW w:w="466" w:type="dxa"/>
            <w:vMerge w:val="continue"/>
            <w:tcBorders>
              <w:top w:val="nil"/>
              <w:left w:val="single" w:color="000000" w:sz="6" w:space="0"/>
              <w:bottom w:val="nil"/>
            </w:tcBorders>
            <w:vAlign w:val="top"/>
          </w:tcPr>
          <w:p w14:paraId="29648C6B">
            <w:pPr>
              <w:rPr>
                <w:rFonts w:ascii="Arial"/>
                <w:sz w:val="21"/>
              </w:rPr>
            </w:pPr>
          </w:p>
        </w:tc>
        <w:tc>
          <w:tcPr>
            <w:tcW w:w="708" w:type="dxa"/>
            <w:vMerge w:val="continue"/>
            <w:tcBorders>
              <w:top w:val="nil"/>
              <w:bottom w:val="single" w:color="000000" w:sz="10" w:space="0"/>
            </w:tcBorders>
            <w:vAlign w:val="top"/>
          </w:tcPr>
          <w:p w14:paraId="7D024756">
            <w:pPr>
              <w:rPr>
                <w:rFonts w:ascii="Arial"/>
                <w:sz w:val="21"/>
              </w:rPr>
            </w:pPr>
          </w:p>
        </w:tc>
        <w:tc>
          <w:tcPr>
            <w:tcW w:w="1106" w:type="dxa"/>
            <w:gridSpan w:val="2"/>
            <w:tcBorders>
              <w:bottom w:val="single" w:color="000000" w:sz="10" w:space="0"/>
            </w:tcBorders>
            <w:vAlign w:val="top"/>
          </w:tcPr>
          <w:p w14:paraId="1468E69F">
            <w:pPr>
              <w:pStyle w:val="6"/>
              <w:spacing w:before="178" w:line="228" w:lineRule="auto"/>
              <w:ind w:left="53"/>
              <w:rPr>
                <w:sz w:val="20"/>
                <w:szCs w:val="20"/>
              </w:rPr>
            </w:pPr>
            <w:r>
              <w:rPr>
                <w:spacing w:val="3"/>
                <w:sz w:val="20"/>
                <w:szCs w:val="20"/>
              </w:rPr>
              <w:t>内蒙古众宁</w:t>
            </w:r>
          </w:p>
          <w:p w14:paraId="21AE7696">
            <w:pPr>
              <w:pStyle w:val="6"/>
              <w:spacing w:before="24" w:line="227" w:lineRule="auto"/>
              <w:ind w:left="28"/>
              <w:rPr>
                <w:sz w:val="20"/>
                <w:szCs w:val="20"/>
              </w:rPr>
            </w:pPr>
            <w:r>
              <w:rPr>
                <w:spacing w:val="8"/>
                <w:sz w:val="20"/>
                <w:szCs w:val="20"/>
              </w:rPr>
              <w:t>环保科技有</w:t>
            </w:r>
          </w:p>
          <w:p w14:paraId="34E62355">
            <w:pPr>
              <w:pStyle w:val="6"/>
              <w:spacing w:before="25" w:line="228" w:lineRule="auto"/>
              <w:ind w:left="43"/>
              <w:rPr>
                <w:sz w:val="20"/>
                <w:szCs w:val="20"/>
              </w:rPr>
            </w:pPr>
            <w:r>
              <w:rPr>
                <w:spacing w:val="5"/>
                <w:sz w:val="20"/>
                <w:szCs w:val="20"/>
              </w:rPr>
              <w:t>限公司油气</w:t>
            </w:r>
          </w:p>
          <w:p w14:paraId="25B158BF">
            <w:pPr>
              <w:pStyle w:val="6"/>
              <w:spacing w:before="26" w:line="252" w:lineRule="auto"/>
              <w:ind w:left="152" w:right="31" w:hanging="99"/>
              <w:rPr>
                <w:sz w:val="20"/>
                <w:szCs w:val="20"/>
              </w:rPr>
            </w:pPr>
            <w:r>
              <w:rPr>
                <w:spacing w:val="3"/>
                <w:sz w:val="20"/>
                <w:szCs w:val="20"/>
              </w:rPr>
              <w:t>田废弃物集</w:t>
            </w:r>
            <w:r>
              <w:rPr>
                <w:spacing w:val="2"/>
                <w:sz w:val="20"/>
                <w:szCs w:val="20"/>
              </w:rPr>
              <w:t>中处理厂</w:t>
            </w:r>
          </w:p>
        </w:tc>
        <w:tc>
          <w:tcPr>
            <w:tcW w:w="6635" w:type="dxa"/>
            <w:tcBorders>
              <w:bottom w:val="single" w:color="000000" w:sz="10" w:space="0"/>
              <w:right w:val="single" w:color="000000" w:sz="6" w:space="0"/>
            </w:tcBorders>
            <w:vAlign w:val="top"/>
          </w:tcPr>
          <w:p w14:paraId="1F5AA8F3">
            <w:pPr>
              <w:pStyle w:val="6"/>
              <w:spacing w:before="41" w:line="245" w:lineRule="auto"/>
              <w:ind w:right="46" w:firstLine="26"/>
              <w:jc w:val="both"/>
              <w:rPr>
                <w:sz w:val="20"/>
                <w:szCs w:val="20"/>
              </w:rPr>
            </w:pPr>
            <w:r>
              <w:rPr>
                <w:spacing w:val="9"/>
                <w:sz w:val="20"/>
                <w:szCs w:val="20"/>
              </w:rPr>
              <w:t>内蒙古众宁环保科技有限公司油气田废弃物集中处理厂为中国石油华北</w:t>
            </w:r>
            <w:r>
              <w:rPr>
                <w:spacing w:val="10"/>
                <w:sz w:val="20"/>
                <w:szCs w:val="20"/>
              </w:rPr>
              <w:t>油田公司在兴隆勘探区的配套工程，主要处理中国石油华北油田在巴彦</w:t>
            </w:r>
            <w:r>
              <w:rPr>
                <w:spacing w:val="9"/>
                <w:sz w:val="20"/>
                <w:szCs w:val="20"/>
              </w:rPr>
              <w:t>淖尔钻井产生的废弃水基泥浆，规模为年处理</w:t>
            </w:r>
            <w:r>
              <w:rPr>
                <w:spacing w:val="-28"/>
                <w:sz w:val="20"/>
                <w:szCs w:val="20"/>
              </w:rPr>
              <w:t xml:space="preserve"> </w:t>
            </w:r>
            <w:r>
              <w:rPr>
                <w:rFonts w:ascii="Times New Roman" w:hAnsi="Times New Roman" w:eastAsia="Times New Roman" w:cs="Times New Roman"/>
                <w:spacing w:val="9"/>
                <w:sz w:val="20"/>
                <w:szCs w:val="20"/>
              </w:rPr>
              <w:t>6</w:t>
            </w:r>
            <w:r>
              <w:rPr>
                <w:rFonts w:ascii="Times New Roman" w:hAnsi="Times New Roman" w:eastAsia="Times New Roman" w:cs="Times New Roman"/>
                <w:spacing w:val="17"/>
                <w:sz w:val="20"/>
                <w:szCs w:val="20"/>
              </w:rPr>
              <w:t xml:space="preserve"> </w:t>
            </w:r>
            <w:r>
              <w:rPr>
                <w:spacing w:val="9"/>
                <w:sz w:val="20"/>
                <w:szCs w:val="20"/>
              </w:rPr>
              <w:t>万吨泥浆。项目距离内</w:t>
            </w:r>
            <w:r>
              <w:rPr>
                <w:spacing w:val="8"/>
                <w:sz w:val="20"/>
                <w:szCs w:val="20"/>
              </w:rPr>
              <w:t>蒙古众宁环保科技有限公司油气田废弃物集中处理厂东北方向约</w:t>
            </w:r>
            <w:r>
              <w:rPr>
                <w:spacing w:val="-27"/>
                <w:sz w:val="20"/>
                <w:szCs w:val="20"/>
              </w:rPr>
              <w:t xml:space="preserve"> </w:t>
            </w:r>
            <w:r>
              <w:rPr>
                <w:rFonts w:ascii="Times New Roman" w:hAnsi="Times New Roman" w:eastAsia="Times New Roman" w:cs="Times New Roman"/>
                <w:spacing w:val="8"/>
                <w:sz w:val="20"/>
                <w:szCs w:val="20"/>
              </w:rPr>
              <w:t>56</w:t>
            </w:r>
            <w:r>
              <w:rPr>
                <w:rFonts w:ascii="Times New Roman" w:hAnsi="Times New Roman" w:eastAsia="Times New Roman" w:cs="Times New Roman"/>
                <w:sz w:val="20"/>
                <w:szCs w:val="20"/>
              </w:rPr>
              <w:t>km</w:t>
            </w:r>
            <w:r>
              <w:rPr>
                <w:spacing w:val="8"/>
                <w:sz w:val="20"/>
                <w:szCs w:val="20"/>
              </w:rPr>
              <w:t>。</w:t>
            </w:r>
            <w:r>
              <w:rPr>
                <w:spacing w:val="10"/>
                <w:sz w:val="20"/>
                <w:szCs w:val="20"/>
              </w:rPr>
              <w:t>项目钻井过程产生的废弃泥浆、钻井岩屑收集至泥浆不落地循环系统装</w:t>
            </w:r>
            <w:r>
              <w:rPr>
                <w:spacing w:val="9"/>
                <w:sz w:val="20"/>
                <w:szCs w:val="20"/>
              </w:rPr>
              <w:t>置旁的可移动废水罐临时贮存，定期拉运至油气田废弃物集中处理厂。</w:t>
            </w:r>
          </w:p>
        </w:tc>
      </w:tr>
      <w:tr w14:paraId="59A10F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466" w:type="dxa"/>
            <w:vMerge w:val="continue"/>
            <w:tcBorders>
              <w:top w:val="nil"/>
              <w:left w:val="single" w:color="000000" w:sz="6" w:space="0"/>
              <w:bottom w:val="single" w:color="000000" w:sz="6" w:space="0"/>
            </w:tcBorders>
            <w:vAlign w:val="top"/>
          </w:tcPr>
          <w:p w14:paraId="1ED52FD2">
            <w:pPr>
              <w:rPr>
                <w:rFonts w:ascii="Arial"/>
                <w:sz w:val="21"/>
              </w:rPr>
            </w:pPr>
          </w:p>
        </w:tc>
        <w:tc>
          <w:tcPr>
            <w:tcW w:w="8449" w:type="dxa"/>
            <w:gridSpan w:val="4"/>
            <w:tcBorders>
              <w:top w:val="single" w:color="000000" w:sz="10" w:space="0"/>
              <w:bottom w:val="single" w:color="000000" w:sz="6" w:space="0"/>
              <w:right w:val="single" w:color="000000" w:sz="6" w:space="0"/>
            </w:tcBorders>
            <w:vAlign w:val="top"/>
          </w:tcPr>
          <w:p w14:paraId="7F96F171">
            <w:pPr>
              <w:pStyle w:val="6"/>
              <w:spacing w:before="40" w:line="220" w:lineRule="auto"/>
              <w:ind w:left="607"/>
            </w:pPr>
            <w:r>
              <w:rPr>
                <w:rFonts w:ascii="Times New Roman" w:hAnsi="Times New Roman" w:eastAsia="Times New Roman" w:cs="Times New Roman"/>
                <w:spacing w:val="-7"/>
              </w:rPr>
              <w:t>1</w:t>
            </w:r>
            <w:r>
              <w:rPr>
                <w:rFonts w:ascii="Times New Roman" w:hAnsi="Times New Roman" w:eastAsia="Times New Roman" w:cs="Times New Roman"/>
                <w:spacing w:val="-34"/>
              </w:rPr>
              <w:t xml:space="preserve"> </w:t>
            </w:r>
            <w:r>
              <w:rPr>
                <w:spacing w:val="-7"/>
              </w:rPr>
              <w:t>、项目主要设备</w:t>
            </w:r>
          </w:p>
        </w:tc>
      </w:tr>
    </w:tbl>
    <w:p w14:paraId="59BAE946">
      <w:pPr>
        <w:spacing w:line="202" w:lineRule="exact"/>
        <w:rPr>
          <w:rFonts w:ascii="Arial"/>
          <w:sz w:val="17"/>
        </w:rPr>
      </w:pPr>
    </w:p>
    <w:p w14:paraId="71645DD6">
      <w:pPr>
        <w:spacing w:line="202" w:lineRule="exact"/>
        <w:rPr>
          <w:rFonts w:ascii="Arial" w:hAnsi="Arial" w:eastAsia="Arial" w:cs="Arial"/>
          <w:sz w:val="17"/>
          <w:szCs w:val="17"/>
        </w:rPr>
        <w:sectPr>
          <w:footerReference r:id="rId31" w:type="default"/>
          <w:pgSz w:w="11906" w:h="16839"/>
          <w:pgMar w:top="400" w:right="1403" w:bottom="1240" w:left="1572" w:header="0" w:footer="1078" w:gutter="0"/>
          <w:cols w:space="720" w:num="1"/>
        </w:sectPr>
      </w:pPr>
    </w:p>
    <w:p w14:paraId="4224FD20">
      <w:pPr>
        <w:spacing w:before="56"/>
      </w:pPr>
    </w:p>
    <w:p w14:paraId="154CEB46">
      <w:pPr>
        <w:spacing w:before="56"/>
      </w:pPr>
    </w:p>
    <w:p w14:paraId="02BDC9B6">
      <w:pPr>
        <w:spacing w:before="55"/>
      </w:pPr>
    </w:p>
    <w:p w14:paraId="25A0C6A2">
      <w:pPr>
        <w:spacing w:before="55"/>
      </w:pPr>
    </w:p>
    <w:tbl>
      <w:tblPr>
        <w:tblStyle w:val="5"/>
        <w:tblW w:w="8915"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6"/>
        <w:gridCol w:w="558"/>
        <w:gridCol w:w="577"/>
        <w:gridCol w:w="115"/>
        <w:gridCol w:w="1697"/>
        <w:gridCol w:w="1981"/>
        <w:gridCol w:w="848"/>
        <w:gridCol w:w="709"/>
        <w:gridCol w:w="1964"/>
      </w:tblGrid>
      <w:tr w14:paraId="33E9D4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6" w:hRule="atLeast"/>
        </w:trPr>
        <w:tc>
          <w:tcPr>
            <w:tcW w:w="466" w:type="dxa"/>
            <w:vMerge w:val="restart"/>
            <w:tcBorders>
              <w:top w:val="single" w:color="000000" w:sz="6" w:space="0"/>
              <w:left w:val="single" w:color="000000" w:sz="6" w:space="0"/>
              <w:bottom w:val="nil"/>
              <w:right w:val="single" w:color="000000" w:sz="2" w:space="0"/>
            </w:tcBorders>
            <w:vAlign w:val="top"/>
          </w:tcPr>
          <w:p w14:paraId="68CC875A">
            <w:pPr>
              <w:rPr>
                <w:rFonts w:ascii="Arial"/>
                <w:sz w:val="21"/>
              </w:rPr>
            </w:pPr>
          </w:p>
        </w:tc>
        <w:tc>
          <w:tcPr>
            <w:tcW w:w="8449" w:type="dxa"/>
            <w:gridSpan w:val="8"/>
            <w:tcBorders>
              <w:top w:val="single" w:color="000000" w:sz="6" w:space="0"/>
              <w:left w:val="single" w:color="000000" w:sz="2" w:space="0"/>
              <w:bottom w:val="single" w:color="000000" w:sz="10" w:space="0"/>
              <w:right w:val="single" w:color="000000" w:sz="6" w:space="0"/>
            </w:tcBorders>
            <w:vAlign w:val="top"/>
          </w:tcPr>
          <w:p w14:paraId="6F6CD28F">
            <w:pPr>
              <w:pStyle w:val="6"/>
              <w:spacing w:before="30" w:line="220" w:lineRule="auto"/>
              <w:ind w:left="600"/>
            </w:pPr>
            <w:r>
              <w:rPr>
                <w:spacing w:val="-3"/>
              </w:rPr>
              <w:t>（</w:t>
            </w:r>
            <w:r>
              <w:rPr>
                <w:rFonts w:ascii="Times New Roman" w:hAnsi="Times New Roman" w:eastAsia="Times New Roman" w:cs="Times New Roman"/>
                <w:spacing w:val="-3"/>
              </w:rPr>
              <w:t>1</w:t>
            </w:r>
            <w:r>
              <w:rPr>
                <w:spacing w:val="-3"/>
              </w:rPr>
              <w:t>）钻井设备</w:t>
            </w:r>
          </w:p>
          <w:p w14:paraId="2140F7D2">
            <w:pPr>
              <w:pStyle w:val="6"/>
              <w:spacing w:before="181" w:line="359" w:lineRule="auto"/>
              <w:ind w:left="108" w:right="102" w:firstLine="482"/>
            </w:pPr>
            <w:r>
              <w:rPr>
                <w:spacing w:val="2"/>
              </w:rPr>
              <w:t>依据项目勘探井工程设计，钻井设备主要包括钻机、井架、提升系统、转盘、循环系统、普通钻机动力系统、发电机组、钻机控制系统、固控系统、井控系统等。项目选用</w:t>
            </w:r>
            <w:r>
              <w:rPr>
                <w:rFonts w:ascii="Times New Roman" w:hAnsi="Times New Roman" w:eastAsia="Times New Roman" w:cs="Times New Roman"/>
              </w:rPr>
              <w:t>ZJ</w:t>
            </w:r>
            <w:r>
              <w:rPr>
                <w:rFonts w:ascii="Times New Roman" w:hAnsi="Times New Roman" w:eastAsia="Times New Roman" w:cs="Times New Roman"/>
                <w:spacing w:val="2"/>
              </w:rPr>
              <w:t>70</w:t>
            </w:r>
            <w:r>
              <w:rPr>
                <w:rFonts w:ascii="Times New Roman" w:hAnsi="Times New Roman" w:eastAsia="Times New Roman" w:cs="Times New Roman"/>
              </w:rPr>
              <w:t>DB</w:t>
            </w:r>
            <w:r>
              <w:rPr>
                <w:rFonts w:ascii="Times New Roman" w:hAnsi="Times New Roman" w:eastAsia="Times New Roman" w:cs="Times New Roman"/>
                <w:spacing w:val="2"/>
              </w:rPr>
              <w:t xml:space="preserve"> </w:t>
            </w:r>
            <w:r>
              <w:rPr>
                <w:spacing w:val="2"/>
              </w:rPr>
              <w:t>系列钻机，主要设备见下</w:t>
            </w:r>
            <w:r>
              <w:rPr>
                <w:spacing w:val="1"/>
              </w:rPr>
              <w:t>表。</w:t>
            </w:r>
          </w:p>
          <w:p w14:paraId="56A7D37F">
            <w:pPr>
              <w:spacing w:line="214" w:lineRule="auto"/>
              <w:ind w:left="1833"/>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37"/>
                <w:sz w:val="24"/>
                <w:szCs w:val="24"/>
              </w:rPr>
              <w:t xml:space="preserve"> </w:t>
            </w:r>
            <w:r>
              <w:rPr>
                <w:rFonts w:ascii="Times New Roman" w:hAnsi="Times New Roman" w:eastAsia="Times New Roman" w:cs="Times New Roman"/>
                <w:spacing w:val="1"/>
                <w:sz w:val="24"/>
                <w:szCs w:val="24"/>
              </w:rPr>
              <w:t xml:space="preserve">2-2  </w:t>
            </w:r>
            <w:r>
              <w:rPr>
                <w:rFonts w:ascii="黑体" w:hAnsi="黑体" w:eastAsia="黑体" w:cs="黑体"/>
                <w:spacing w:val="1"/>
                <w:sz w:val="24"/>
                <w:szCs w:val="24"/>
              </w:rPr>
              <w:t>项目</w:t>
            </w:r>
            <w:r>
              <w:rPr>
                <w:rFonts w:ascii="Times New Roman" w:hAnsi="Times New Roman" w:eastAsia="Times New Roman" w:cs="Times New Roman"/>
                <w:sz w:val="24"/>
                <w:szCs w:val="24"/>
              </w:rPr>
              <w:t>ZJ</w:t>
            </w:r>
            <w:r>
              <w:rPr>
                <w:rFonts w:ascii="Times New Roman" w:hAnsi="Times New Roman" w:eastAsia="Times New Roman" w:cs="Times New Roman"/>
                <w:spacing w:val="1"/>
                <w:sz w:val="24"/>
                <w:szCs w:val="24"/>
              </w:rPr>
              <w:t>70</w:t>
            </w:r>
            <w:r>
              <w:rPr>
                <w:rFonts w:ascii="Times New Roman" w:hAnsi="Times New Roman" w:eastAsia="Times New Roman" w:cs="Times New Roman"/>
                <w:sz w:val="24"/>
                <w:szCs w:val="24"/>
              </w:rPr>
              <w:t>DB</w:t>
            </w:r>
            <w:r>
              <w:rPr>
                <w:rFonts w:ascii="Times New Roman" w:hAnsi="Times New Roman" w:eastAsia="Times New Roman" w:cs="Times New Roman"/>
                <w:spacing w:val="1"/>
                <w:sz w:val="24"/>
                <w:szCs w:val="24"/>
              </w:rPr>
              <w:t xml:space="preserve"> </w:t>
            </w:r>
            <w:r>
              <w:rPr>
                <w:rFonts w:ascii="黑体" w:hAnsi="黑体" w:eastAsia="黑体" w:cs="黑体"/>
                <w:spacing w:val="1"/>
                <w:sz w:val="24"/>
                <w:szCs w:val="24"/>
              </w:rPr>
              <w:t>系列钻机主要设备一览表</w:t>
            </w:r>
          </w:p>
        </w:tc>
      </w:tr>
      <w:tr w14:paraId="762480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466" w:type="dxa"/>
            <w:vMerge w:val="continue"/>
            <w:tcBorders>
              <w:top w:val="nil"/>
              <w:left w:val="single" w:color="000000" w:sz="6" w:space="0"/>
              <w:bottom w:val="nil"/>
              <w:right w:val="single" w:color="000000" w:sz="2" w:space="0"/>
            </w:tcBorders>
            <w:vAlign w:val="top"/>
          </w:tcPr>
          <w:p w14:paraId="43849A93">
            <w:pPr>
              <w:rPr>
                <w:rFonts w:ascii="Arial"/>
                <w:sz w:val="21"/>
              </w:rPr>
            </w:pPr>
          </w:p>
        </w:tc>
        <w:tc>
          <w:tcPr>
            <w:tcW w:w="558" w:type="dxa"/>
            <w:tcBorders>
              <w:top w:val="single" w:color="000000" w:sz="10" w:space="0"/>
              <w:left w:val="single" w:color="000000" w:sz="2" w:space="0"/>
            </w:tcBorders>
            <w:vAlign w:val="top"/>
          </w:tcPr>
          <w:p w14:paraId="42D209CE">
            <w:pPr>
              <w:pStyle w:val="6"/>
              <w:spacing w:before="85" w:line="229" w:lineRule="auto"/>
              <w:ind w:left="118"/>
              <w:rPr>
                <w:sz w:val="20"/>
                <w:szCs w:val="20"/>
              </w:rPr>
            </w:pPr>
            <w:r>
              <w:rPr>
                <w:spacing w:val="5"/>
                <w:sz w:val="20"/>
                <w:szCs w:val="20"/>
              </w:rPr>
              <w:t>序号</w:t>
            </w:r>
          </w:p>
        </w:tc>
        <w:tc>
          <w:tcPr>
            <w:tcW w:w="2389" w:type="dxa"/>
            <w:gridSpan w:val="3"/>
            <w:tcBorders>
              <w:top w:val="single" w:color="000000" w:sz="10" w:space="0"/>
            </w:tcBorders>
            <w:vAlign w:val="top"/>
          </w:tcPr>
          <w:p w14:paraId="15F84054">
            <w:pPr>
              <w:pStyle w:val="6"/>
              <w:spacing w:before="84" w:line="230" w:lineRule="auto"/>
              <w:ind w:left="984"/>
              <w:rPr>
                <w:sz w:val="20"/>
                <w:szCs w:val="20"/>
              </w:rPr>
            </w:pPr>
            <w:r>
              <w:rPr>
                <w:spacing w:val="3"/>
                <w:sz w:val="20"/>
                <w:szCs w:val="20"/>
              </w:rPr>
              <w:t>名称</w:t>
            </w:r>
          </w:p>
        </w:tc>
        <w:tc>
          <w:tcPr>
            <w:tcW w:w="1981" w:type="dxa"/>
            <w:tcBorders>
              <w:top w:val="single" w:color="000000" w:sz="10" w:space="0"/>
            </w:tcBorders>
            <w:vAlign w:val="top"/>
          </w:tcPr>
          <w:p w14:paraId="7B3C6517">
            <w:pPr>
              <w:pStyle w:val="6"/>
              <w:spacing w:before="85" w:line="229" w:lineRule="auto"/>
              <w:ind w:left="788"/>
              <w:rPr>
                <w:sz w:val="20"/>
                <w:szCs w:val="20"/>
              </w:rPr>
            </w:pPr>
            <w:r>
              <w:rPr>
                <w:spacing w:val="1"/>
                <w:sz w:val="20"/>
                <w:szCs w:val="20"/>
              </w:rPr>
              <w:t>型号</w:t>
            </w:r>
          </w:p>
        </w:tc>
        <w:tc>
          <w:tcPr>
            <w:tcW w:w="848" w:type="dxa"/>
            <w:tcBorders>
              <w:top w:val="single" w:color="000000" w:sz="10" w:space="0"/>
            </w:tcBorders>
            <w:vAlign w:val="top"/>
          </w:tcPr>
          <w:p w14:paraId="3CDB3615">
            <w:pPr>
              <w:pStyle w:val="6"/>
              <w:spacing w:before="84" w:line="228" w:lineRule="auto"/>
              <w:ind w:left="221"/>
              <w:rPr>
                <w:sz w:val="20"/>
                <w:szCs w:val="20"/>
              </w:rPr>
            </w:pPr>
            <w:r>
              <w:rPr>
                <w:spacing w:val="3"/>
                <w:sz w:val="20"/>
                <w:szCs w:val="20"/>
              </w:rPr>
              <w:t>数量</w:t>
            </w:r>
          </w:p>
        </w:tc>
        <w:tc>
          <w:tcPr>
            <w:tcW w:w="709" w:type="dxa"/>
            <w:tcBorders>
              <w:top w:val="single" w:color="000000" w:sz="10" w:space="0"/>
            </w:tcBorders>
            <w:vAlign w:val="top"/>
          </w:tcPr>
          <w:p w14:paraId="1B5DCB47">
            <w:pPr>
              <w:pStyle w:val="6"/>
              <w:spacing w:before="85" w:line="228" w:lineRule="auto"/>
              <w:ind w:left="153"/>
              <w:rPr>
                <w:sz w:val="20"/>
                <w:szCs w:val="20"/>
              </w:rPr>
            </w:pPr>
            <w:r>
              <w:rPr>
                <w:spacing w:val="3"/>
                <w:sz w:val="20"/>
                <w:szCs w:val="20"/>
              </w:rPr>
              <w:t>单位</w:t>
            </w:r>
          </w:p>
        </w:tc>
        <w:tc>
          <w:tcPr>
            <w:tcW w:w="1964" w:type="dxa"/>
            <w:tcBorders>
              <w:top w:val="single" w:color="000000" w:sz="10" w:space="0"/>
              <w:right w:val="single" w:color="000000" w:sz="6" w:space="0"/>
            </w:tcBorders>
            <w:vAlign w:val="top"/>
          </w:tcPr>
          <w:p w14:paraId="2E397234">
            <w:pPr>
              <w:pStyle w:val="6"/>
              <w:spacing w:before="85" w:line="229" w:lineRule="auto"/>
              <w:ind w:left="726"/>
              <w:rPr>
                <w:sz w:val="20"/>
                <w:szCs w:val="20"/>
              </w:rPr>
            </w:pPr>
            <w:r>
              <w:rPr>
                <w:spacing w:val="3"/>
                <w:sz w:val="20"/>
                <w:szCs w:val="20"/>
              </w:rPr>
              <w:t>备注</w:t>
            </w:r>
          </w:p>
        </w:tc>
      </w:tr>
      <w:tr w14:paraId="2D4105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466" w:type="dxa"/>
            <w:vMerge w:val="continue"/>
            <w:tcBorders>
              <w:top w:val="nil"/>
              <w:left w:val="single" w:color="000000" w:sz="6" w:space="0"/>
              <w:bottom w:val="nil"/>
              <w:right w:val="single" w:color="000000" w:sz="2" w:space="0"/>
            </w:tcBorders>
            <w:vAlign w:val="top"/>
          </w:tcPr>
          <w:p w14:paraId="6F4A589E">
            <w:pPr>
              <w:rPr>
                <w:rFonts w:ascii="Arial"/>
                <w:sz w:val="21"/>
              </w:rPr>
            </w:pPr>
          </w:p>
        </w:tc>
        <w:tc>
          <w:tcPr>
            <w:tcW w:w="558" w:type="dxa"/>
            <w:tcBorders>
              <w:left w:val="single" w:color="000000" w:sz="2" w:space="0"/>
            </w:tcBorders>
            <w:vAlign w:val="top"/>
          </w:tcPr>
          <w:p w14:paraId="629D0155">
            <w:pPr>
              <w:spacing w:before="129" w:line="195" w:lineRule="auto"/>
              <w:ind w:left="29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389" w:type="dxa"/>
            <w:gridSpan w:val="3"/>
            <w:vAlign w:val="top"/>
          </w:tcPr>
          <w:p w14:paraId="62A0E7AD">
            <w:pPr>
              <w:pStyle w:val="6"/>
              <w:spacing w:before="93" w:line="227" w:lineRule="auto"/>
              <w:ind w:left="982"/>
              <w:rPr>
                <w:sz w:val="20"/>
                <w:szCs w:val="20"/>
              </w:rPr>
            </w:pPr>
            <w:r>
              <w:rPr>
                <w:spacing w:val="4"/>
                <w:sz w:val="20"/>
                <w:szCs w:val="20"/>
              </w:rPr>
              <w:t>钻机</w:t>
            </w:r>
          </w:p>
        </w:tc>
        <w:tc>
          <w:tcPr>
            <w:tcW w:w="1981" w:type="dxa"/>
            <w:vAlign w:val="top"/>
          </w:tcPr>
          <w:p w14:paraId="0A35AE98">
            <w:pPr>
              <w:spacing w:before="129" w:line="195" w:lineRule="auto"/>
              <w:ind w:left="632"/>
              <w:rPr>
                <w:rFonts w:ascii="Times New Roman" w:hAnsi="Times New Roman" w:eastAsia="Times New Roman" w:cs="Times New Roman"/>
                <w:sz w:val="20"/>
                <w:szCs w:val="20"/>
              </w:rPr>
            </w:pPr>
            <w:r>
              <w:rPr>
                <w:rFonts w:ascii="Times New Roman" w:hAnsi="Times New Roman" w:eastAsia="Times New Roman" w:cs="Times New Roman"/>
                <w:sz w:val="20"/>
                <w:szCs w:val="20"/>
              </w:rPr>
              <w:t>ZJ</w:t>
            </w:r>
            <w:r>
              <w:rPr>
                <w:rFonts w:ascii="Times New Roman" w:hAnsi="Times New Roman" w:eastAsia="Times New Roman" w:cs="Times New Roman"/>
                <w:spacing w:val="14"/>
                <w:sz w:val="20"/>
                <w:szCs w:val="20"/>
              </w:rPr>
              <w:t>70</w:t>
            </w:r>
            <w:r>
              <w:rPr>
                <w:rFonts w:ascii="Times New Roman" w:hAnsi="Times New Roman" w:eastAsia="Times New Roman" w:cs="Times New Roman"/>
                <w:sz w:val="20"/>
                <w:szCs w:val="20"/>
              </w:rPr>
              <w:t>DB</w:t>
            </w:r>
          </w:p>
        </w:tc>
        <w:tc>
          <w:tcPr>
            <w:tcW w:w="848" w:type="dxa"/>
            <w:vAlign w:val="top"/>
          </w:tcPr>
          <w:p w14:paraId="3E5CE4FB">
            <w:pPr>
              <w:spacing w:before="129" w:line="195" w:lineRule="auto"/>
              <w:ind w:left="39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09" w:type="dxa"/>
            <w:vAlign w:val="top"/>
          </w:tcPr>
          <w:p w14:paraId="4C7E28BD">
            <w:pPr>
              <w:pStyle w:val="6"/>
              <w:spacing w:before="94" w:line="228" w:lineRule="auto"/>
              <w:ind w:left="258"/>
              <w:rPr>
                <w:sz w:val="20"/>
                <w:szCs w:val="20"/>
              </w:rPr>
            </w:pPr>
            <w:r>
              <w:rPr>
                <w:sz w:val="20"/>
                <w:szCs w:val="20"/>
              </w:rPr>
              <w:t>套</w:t>
            </w:r>
          </w:p>
        </w:tc>
        <w:tc>
          <w:tcPr>
            <w:tcW w:w="1964" w:type="dxa"/>
            <w:tcBorders>
              <w:right w:val="single" w:color="000000" w:sz="6" w:space="0"/>
            </w:tcBorders>
            <w:vAlign w:val="top"/>
          </w:tcPr>
          <w:p w14:paraId="46407D56">
            <w:pPr>
              <w:rPr>
                <w:rFonts w:ascii="Arial"/>
                <w:sz w:val="21"/>
              </w:rPr>
            </w:pPr>
          </w:p>
        </w:tc>
      </w:tr>
      <w:tr w14:paraId="5BABBB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466" w:type="dxa"/>
            <w:vMerge w:val="continue"/>
            <w:tcBorders>
              <w:top w:val="nil"/>
              <w:left w:val="single" w:color="000000" w:sz="6" w:space="0"/>
              <w:bottom w:val="nil"/>
              <w:right w:val="single" w:color="000000" w:sz="2" w:space="0"/>
            </w:tcBorders>
            <w:vAlign w:val="top"/>
          </w:tcPr>
          <w:p w14:paraId="7BFF3198">
            <w:pPr>
              <w:rPr>
                <w:rFonts w:ascii="Arial"/>
                <w:sz w:val="21"/>
              </w:rPr>
            </w:pPr>
          </w:p>
        </w:tc>
        <w:tc>
          <w:tcPr>
            <w:tcW w:w="558" w:type="dxa"/>
            <w:tcBorders>
              <w:left w:val="single" w:color="000000" w:sz="2" w:space="0"/>
            </w:tcBorders>
            <w:vAlign w:val="top"/>
          </w:tcPr>
          <w:p w14:paraId="6FB203D1">
            <w:pPr>
              <w:spacing w:before="128" w:line="195" w:lineRule="auto"/>
              <w:ind w:left="27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389" w:type="dxa"/>
            <w:gridSpan w:val="3"/>
            <w:vAlign w:val="top"/>
          </w:tcPr>
          <w:p w14:paraId="3575BB01">
            <w:pPr>
              <w:pStyle w:val="6"/>
              <w:spacing w:before="92" w:line="228" w:lineRule="auto"/>
              <w:ind w:left="982"/>
              <w:rPr>
                <w:sz w:val="20"/>
                <w:szCs w:val="20"/>
              </w:rPr>
            </w:pPr>
            <w:r>
              <w:rPr>
                <w:spacing w:val="4"/>
                <w:sz w:val="20"/>
                <w:szCs w:val="20"/>
              </w:rPr>
              <w:t>井架</w:t>
            </w:r>
          </w:p>
        </w:tc>
        <w:tc>
          <w:tcPr>
            <w:tcW w:w="1981" w:type="dxa"/>
            <w:vAlign w:val="top"/>
          </w:tcPr>
          <w:p w14:paraId="2AE74A49">
            <w:pPr>
              <w:spacing w:before="124" w:line="199" w:lineRule="auto"/>
              <w:ind w:left="452"/>
              <w:rPr>
                <w:rFonts w:ascii="Times New Roman" w:hAnsi="Times New Roman" w:eastAsia="Times New Roman" w:cs="Times New Roman"/>
                <w:sz w:val="20"/>
                <w:szCs w:val="20"/>
              </w:rPr>
            </w:pPr>
            <w:r>
              <w:rPr>
                <w:rFonts w:ascii="Times New Roman" w:hAnsi="Times New Roman" w:eastAsia="Times New Roman" w:cs="Times New Roman"/>
                <w:sz w:val="20"/>
                <w:szCs w:val="20"/>
              </w:rPr>
              <w:t>JJ</w:t>
            </w:r>
            <w:r>
              <w:rPr>
                <w:rFonts w:ascii="Times New Roman" w:hAnsi="Times New Roman" w:eastAsia="Times New Roman" w:cs="Times New Roman"/>
                <w:spacing w:val="4"/>
                <w:sz w:val="20"/>
                <w:szCs w:val="20"/>
              </w:rPr>
              <w:t>45/45-K14</w:t>
            </w:r>
          </w:p>
        </w:tc>
        <w:tc>
          <w:tcPr>
            <w:tcW w:w="848" w:type="dxa"/>
            <w:vAlign w:val="top"/>
          </w:tcPr>
          <w:p w14:paraId="64F9AC1A">
            <w:pPr>
              <w:spacing w:before="128" w:line="195" w:lineRule="auto"/>
              <w:ind w:left="39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09" w:type="dxa"/>
            <w:vAlign w:val="top"/>
          </w:tcPr>
          <w:p w14:paraId="10BBADA8">
            <w:pPr>
              <w:pStyle w:val="6"/>
              <w:spacing w:before="92" w:line="228" w:lineRule="auto"/>
              <w:ind w:left="258"/>
              <w:rPr>
                <w:sz w:val="20"/>
                <w:szCs w:val="20"/>
              </w:rPr>
            </w:pPr>
            <w:r>
              <w:rPr>
                <w:sz w:val="20"/>
                <w:szCs w:val="20"/>
              </w:rPr>
              <w:t>套</w:t>
            </w:r>
          </w:p>
        </w:tc>
        <w:tc>
          <w:tcPr>
            <w:tcW w:w="1964" w:type="dxa"/>
            <w:tcBorders>
              <w:right w:val="single" w:color="000000" w:sz="6" w:space="0"/>
            </w:tcBorders>
            <w:vAlign w:val="top"/>
          </w:tcPr>
          <w:p w14:paraId="7063A458">
            <w:pPr>
              <w:pStyle w:val="6"/>
              <w:spacing w:before="91" w:line="228" w:lineRule="auto"/>
              <w:ind w:left="145"/>
              <w:rPr>
                <w:rFonts w:ascii="Times New Roman" w:hAnsi="Times New Roman" w:eastAsia="Times New Roman" w:cs="Times New Roman"/>
                <w:sz w:val="20"/>
                <w:szCs w:val="20"/>
              </w:rPr>
            </w:pPr>
            <w:r>
              <w:rPr>
                <w:spacing w:val="6"/>
                <w:sz w:val="20"/>
                <w:szCs w:val="20"/>
              </w:rPr>
              <w:t>底座高度：</w:t>
            </w:r>
            <w:r>
              <w:rPr>
                <w:rFonts w:ascii="Times New Roman" w:hAnsi="Times New Roman" w:eastAsia="Times New Roman" w:cs="Times New Roman"/>
                <w:spacing w:val="6"/>
                <w:sz w:val="20"/>
                <w:szCs w:val="20"/>
              </w:rPr>
              <w:t>10.5m</w:t>
            </w:r>
          </w:p>
        </w:tc>
      </w:tr>
      <w:tr w14:paraId="3D0722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466" w:type="dxa"/>
            <w:vMerge w:val="continue"/>
            <w:tcBorders>
              <w:top w:val="nil"/>
              <w:left w:val="single" w:color="000000" w:sz="6" w:space="0"/>
              <w:bottom w:val="nil"/>
              <w:right w:val="single" w:color="000000" w:sz="2" w:space="0"/>
            </w:tcBorders>
            <w:vAlign w:val="top"/>
          </w:tcPr>
          <w:p w14:paraId="03DF14EA">
            <w:pPr>
              <w:rPr>
                <w:rFonts w:ascii="Arial"/>
                <w:sz w:val="21"/>
              </w:rPr>
            </w:pPr>
          </w:p>
        </w:tc>
        <w:tc>
          <w:tcPr>
            <w:tcW w:w="558" w:type="dxa"/>
            <w:vMerge w:val="restart"/>
            <w:tcBorders>
              <w:left w:val="single" w:color="000000" w:sz="2" w:space="0"/>
              <w:bottom w:val="nil"/>
            </w:tcBorders>
            <w:vAlign w:val="top"/>
          </w:tcPr>
          <w:p w14:paraId="76FAA538">
            <w:pPr>
              <w:spacing w:line="296" w:lineRule="auto"/>
              <w:rPr>
                <w:rFonts w:ascii="Arial"/>
                <w:sz w:val="21"/>
              </w:rPr>
            </w:pPr>
          </w:p>
          <w:p w14:paraId="6B82BBDF">
            <w:pPr>
              <w:spacing w:line="297" w:lineRule="auto"/>
              <w:rPr>
                <w:rFonts w:ascii="Arial"/>
                <w:sz w:val="21"/>
              </w:rPr>
            </w:pPr>
          </w:p>
          <w:p w14:paraId="2CD4AFC4">
            <w:pPr>
              <w:spacing w:line="297" w:lineRule="auto"/>
              <w:rPr>
                <w:rFonts w:ascii="Arial"/>
                <w:sz w:val="21"/>
              </w:rPr>
            </w:pPr>
          </w:p>
          <w:p w14:paraId="092C0D3D">
            <w:pPr>
              <w:spacing w:before="57" w:line="195" w:lineRule="auto"/>
              <w:ind w:left="27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577" w:type="dxa"/>
            <w:vMerge w:val="restart"/>
            <w:tcBorders>
              <w:bottom w:val="nil"/>
            </w:tcBorders>
            <w:vAlign w:val="top"/>
          </w:tcPr>
          <w:p w14:paraId="6DDB6531">
            <w:pPr>
              <w:spacing w:line="357" w:lineRule="auto"/>
              <w:rPr>
                <w:rFonts w:ascii="Arial"/>
                <w:sz w:val="21"/>
              </w:rPr>
            </w:pPr>
          </w:p>
          <w:p w14:paraId="7CA6D855">
            <w:pPr>
              <w:spacing w:line="357" w:lineRule="auto"/>
              <w:rPr>
                <w:rFonts w:ascii="Arial"/>
                <w:sz w:val="21"/>
              </w:rPr>
            </w:pPr>
          </w:p>
          <w:p w14:paraId="2807C5BC">
            <w:pPr>
              <w:pStyle w:val="6"/>
              <w:spacing w:before="65" w:line="252" w:lineRule="auto"/>
              <w:ind w:left="79" w:right="82" w:hanging="3"/>
              <w:rPr>
                <w:sz w:val="20"/>
                <w:szCs w:val="20"/>
              </w:rPr>
            </w:pPr>
            <w:r>
              <w:rPr>
                <w:spacing w:val="4"/>
                <w:sz w:val="20"/>
                <w:szCs w:val="20"/>
              </w:rPr>
              <w:t>提升</w:t>
            </w:r>
            <w:r>
              <w:rPr>
                <w:spacing w:val="2"/>
                <w:sz w:val="20"/>
                <w:szCs w:val="20"/>
              </w:rPr>
              <w:t>系统</w:t>
            </w:r>
          </w:p>
        </w:tc>
        <w:tc>
          <w:tcPr>
            <w:tcW w:w="1812" w:type="dxa"/>
            <w:gridSpan w:val="2"/>
            <w:vAlign w:val="top"/>
          </w:tcPr>
          <w:p w14:paraId="3B96E95B">
            <w:pPr>
              <w:pStyle w:val="6"/>
              <w:spacing w:before="93" w:line="228" w:lineRule="auto"/>
              <w:ind w:left="698"/>
              <w:rPr>
                <w:sz w:val="20"/>
                <w:szCs w:val="20"/>
              </w:rPr>
            </w:pPr>
            <w:r>
              <w:rPr>
                <w:spacing w:val="3"/>
                <w:sz w:val="20"/>
                <w:szCs w:val="20"/>
              </w:rPr>
              <w:t>绞车</w:t>
            </w:r>
          </w:p>
        </w:tc>
        <w:tc>
          <w:tcPr>
            <w:tcW w:w="1981" w:type="dxa"/>
            <w:vAlign w:val="top"/>
          </w:tcPr>
          <w:p w14:paraId="4BAD1579">
            <w:pPr>
              <w:spacing w:before="129" w:line="195" w:lineRule="auto"/>
              <w:ind w:left="591"/>
              <w:rPr>
                <w:rFonts w:ascii="Times New Roman" w:hAnsi="Times New Roman" w:eastAsia="Times New Roman" w:cs="Times New Roman"/>
                <w:sz w:val="20"/>
                <w:szCs w:val="20"/>
              </w:rPr>
            </w:pPr>
            <w:r>
              <w:rPr>
                <w:rFonts w:ascii="Times New Roman" w:hAnsi="Times New Roman" w:eastAsia="Times New Roman" w:cs="Times New Roman"/>
                <w:sz w:val="20"/>
                <w:szCs w:val="20"/>
              </w:rPr>
              <w:t>JC</w:t>
            </w:r>
            <w:r>
              <w:rPr>
                <w:rFonts w:ascii="Times New Roman" w:hAnsi="Times New Roman" w:eastAsia="Times New Roman" w:cs="Times New Roman"/>
                <w:spacing w:val="11"/>
                <w:sz w:val="20"/>
                <w:szCs w:val="20"/>
              </w:rPr>
              <w:t>-70</w:t>
            </w:r>
            <w:r>
              <w:rPr>
                <w:rFonts w:ascii="Times New Roman" w:hAnsi="Times New Roman" w:eastAsia="Times New Roman" w:cs="Times New Roman"/>
                <w:sz w:val="20"/>
                <w:szCs w:val="20"/>
              </w:rPr>
              <w:t>DB</w:t>
            </w:r>
          </w:p>
        </w:tc>
        <w:tc>
          <w:tcPr>
            <w:tcW w:w="848" w:type="dxa"/>
            <w:vAlign w:val="top"/>
          </w:tcPr>
          <w:p w14:paraId="30DC9543">
            <w:pPr>
              <w:spacing w:before="130" w:line="195" w:lineRule="auto"/>
              <w:ind w:left="39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09" w:type="dxa"/>
            <w:vAlign w:val="top"/>
          </w:tcPr>
          <w:p w14:paraId="5894FF70">
            <w:pPr>
              <w:pStyle w:val="6"/>
              <w:spacing w:before="94" w:line="228" w:lineRule="auto"/>
              <w:ind w:left="258"/>
              <w:rPr>
                <w:sz w:val="20"/>
                <w:szCs w:val="20"/>
              </w:rPr>
            </w:pPr>
            <w:r>
              <w:rPr>
                <w:sz w:val="20"/>
                <w:szCs w:val="20"/>
              </w:rPr>
              <w:t>套</w:t>
            </w:r>
          </w:p>
        </w:tc>
        <w:tc>
          <w:tcPr>
            <w:tcW w:w="1964" w:type="dxa"/>
            <w:tcBorders>
              <w:right w:val="single" w:color="000000" w:sz="6" w:space="0"/>
            </w:tcBorders>
            <w:vAlign w:val="top"/>
          </w:tcPr>
          <w:p w14:paraId="097E1216">
            <w:pPr>
              <w:rPr>
                <w:rFonts w:ascii="Arial"/>
                <w:sz w:val="21"/>
              </w:rPr>
            </w:pPr>
          </w:p>
        </w:tc>
      </w:tr>
      <w:tr w14:paraId="31A62F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466" w:type="dxa"/>
            <w:vMerge w:val="continue"/>
            <w:tcBorders>
              <w:top w:val="nil"/>
              <w:left w:val="single" w:color="000000" w:sz="6" w:space="0"/>
              <w:bottom w:val="nil"/>
              <w:right w:val="single" w:color="000000" w:sz="2" w:space="0"/>
            </w:tcBorders>
            <w:vAlign w:val="top"/>
          </w:tcPr>
          <w:p w14:paraId="3A70730A">
            <w:pPr>
              <w:rPr>
                <w:rFonts w:ascii="Arial"/>
                <w:sz w:val="21"/>
              </w:rPr>
            </w:pPr>
          </w:p>
        </w:tc>
        <w:tc>
          <w:tcPr>
            <w:tcW w:w="558" w:type="dxa"/>
            <w:vMerge w:val="continue"/>
            <w:tcBorders>
              <w:top w:val="nil"/>
              <w:left w:val="single" w:color="000000" w:sz="2" w:space="0"/>
              <w:bottom w:val="nil"/>
            </w:tcBorders>
            <w:vAlign w:val="top"/>
          </w:tcPr>
          <w:p w14:paraId="66F61C7E">
            <w:pPr>
              <w:rPr>
                <w:rFonts w:ascii="Arial"/>
                <w:sz w:val="21"/>
              </w:rPr>
            </w:pPr>
          </w:p>
        </w:tc>
        <w:tc>
          <w:tcPr>
            <w:tcW w:w="577" w:type="dxa"/>
            <w:vMerge w:val="continue"/>
            <w:tcBorders>
              <w:top w:val="nil"/>
              <w:bottom w:val="nil"/>
            </w:tcBorders>
            <w:vAlign w:val="top"/>
          </w:tcPr>
          <w:p w14:paraId="5173DF21">
            <w:pPr>
              <w:rPr>
                <w:rFonts w:ascii="Arial"/>
                <w:sz w:val="21"/>
              </w:rPr>
            </w:pPr>
          </w:p>
        </w:tc>
        <w:tc>
          <w:tcPr>
            <w:tcW w:w="1812" w:type="dxa"/>
            <w:gridSpan w:val="2"/>
            <w:vAlign w:val="top"/>
          </w:tcPr>
          <w:p w14:paraId="0688D238">
            <w:pPr>
              <w:pStyle w:val="6"/>
              <w:spacing w:before="95" w:line="228" w:lineRule="auto"/>
              <w:ind w:left="700"/>
              <w:rPr>
                <w:sz w:val="20"/>
                <w:szCs w:val="20"/>
              </w:rPr>
            </w:pPr>
            <w:r>
              <w:rPr>
                <w:spacing w:val="2"/>
                <w:sz w:val="20"/>
                <w:szCs w:val="20"/>
              </w:rPr>
              <w:t>天车</w:t>
            </w:r>
          </w:p>
        </w:tc>
        <w:tc>
          <w:tcPr>
            <w:tcW w:w="1981" w:type="dxa"/>
            <w:vAlign w:val="top"/>
          </w:tcPr>
          <w:p w14:paraId="2CDF5E38">
            <w:pPr>
              <w:spacing w:before="131" w:line="195" w:lineRule="auto"/>
              <w:ind w:left="665"/>
              <w:rPr>
                <w:rFonts w:ascii="Times New Roman" w:hAnsi="Times New Roman" w:eastAsia="Times New Roman" w:cs="Times New Roman"/>
                <w:sz w:val="20"/>
                <w:szCs w:val="20"/>
              </w:rPr>
            </w:pPr>
            <w:r>
              <w:rPr>
                <w:rFonts w:ascii="Times New Roman" w:hAnsi="Times New Roman" w:eastAsia="Times New Roman" w:cs="Times New Roman"/>
                <w:sz w:val="20"/>
                <w:szCs w:val="20"/>
              </w:rPr>
              <w:t>TC</w:t>
            </w:r>
            <w:r>
              <w:rPr>
                <w:rFonts w:ascii="Times New Roman" w:hAnsi="Times New Roman" w:eastAsia="Times New Roman" w:cs="Times New Roman"/>
                <w:spacing w:val="5"/>
                <w:sz w:val="20"/>
                <w:szCs w:val="20"/>
              </w:rPr>
              <w:t>-450</w:t>
            </w:r>
          </w:p>
        </w:tc>
        <w:tc>
          <w:tcPr>
            <w:tcW w:w="848" w:type="dxa"/>
            <w:vAlign w:val="top"/>
          </w:tcPr>
          <w:p w14:paraId="69827CE9">
            <w:pPr>
              <w:spacing w:before="131" w:line="195" w:lineRule="auto"/>
              <w:ind w:left="39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09" w:type="dxa"/>
            <w:vAlign w:val="top"/>
          </w:tcPr>
          <w:p w14:paraId="1A7A77CF">
            <w:pPr>
              <w:pStyle w:val="6"/>
              <w:spacing w:before="96" w:line="228" w:lineRule="auto"/>
              <w:ind w:left="258"/>
              <w:rPr>
                <w:sz w:val="20"/>
                <w:szCs w:val="20"/>
              </w:rPr>
            </w:pPr>
            <w:r>
              <w:rPr>
                <w:sz w:val="20"/>
                <w:szCs w:val="20"/>
              </w:rPr>
              <w:t>套</w:t>
            </w:r>
          </w:p>
        </w:tc>
        <w:tc>
          <w:tcPr>
            <w:tcW w:w="1964" w:type="dxa"/>
            <w:tcBorders>
              <w:right w:val="single" w:color="000000" w:sz="6" w:space="0"/>
            </w:tcBorders>
            <w:vAlign w:val="top"/>
          </w:tcPr>
          <w:p w14:paraId="545CA9B8">
            <w:pPr>
              <w:rPr>
                <w:rFonts w:ascii="Arial"/>
                <w:sz w:val="21"/>
              </w:rPr>
            </w:pPr>
          </w:p>
        </w:tc>
      </w:tr>
      <w:tr w14:paraId="09651B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466" w:type="dxa"/>
            <w:vMerge w:val="continue"/>
            <w:tcBorders>
              <w:top w:val="nil"/>
              <w:left w:val="single" w:color="000000" w:sz="6" w:space="0"/>
              <w:bottom w:val="nil"/>
              <w:right w:val="single" w:color="000000" w:sz="2" w:space="0"/>
            </w:tcBorders>
            <w:vAlign w:val="top"/>
          </w:tcPr>
          <w:p w14:paraId="0907FFBD">
            <w:pPr>
              <w:rPr>
                <w:rFonts w:ascii="Arial"/>
                <w:sz w:val="21"/>
              </w:rPr>
            </w:pPr>
          </w:p>
        </w:tc>
        <w:tc>
          <w:tcPr>
            <w:tcW w:w="558" w:type="dxa"/>
            <w:vMerge w:val="continue"/>
            <w:tcBorders>
              <w:top w:val="nil"/>
              <w:left w:val="single" w:color="000000" w:sz="2" w:space="0"/>
              <w:bottom w:val="nil"/>
            </w:tcBorders>
            <w:vAlign w:val="top"/>
          </w:tcPr>
          <w:p w14:paraId="5F1C5A46">
            <w:pPr>
              <w:rPr>
                <w:rFonts w:ascii="Arial"/>
                <w:sz w:val="21"/>
              </w:rPr>
            </w:pPr>
          </w:p>
        </w:tc>
        <w:tc>
          <w:tcPr>
            <w:tcW w:w="577" w:type="dxa"/>
            <w:vMerge w:val="continue"/>
            <w:tcBorders>
              <w:top w:val="nil"/>
              <w:bottom w:val="nil"/>
            </w:tcBorders>
            <w:vAlign w:val="top"/>
          </w:tcPr>
          <w:p w14:paraId="39E5557A">
            <w:pPr>
              <w:rPr>
                <w:rFonts w:ascii="Arial"/>
                <w:sz w:val="21"/>
              </w:rPr>
            </w:pPr>
          </w:p>
        </w:tc>
        <w:tc>
          <w:tcPr>
            <w:tcW w:w="1812" w:type="dxa"/>
            <w:gridSpan w:val="2"/>
            <w:vAlign w:val="top"/>
          </w:tcPr>
          <w:p w14:paraId="03054C32">
            <w:pPr>
              <w:pStyle w:val="6"/>
              <w:spacing w:before="94" w:line="228" w:lineRule="auto"/>
              <w:ind w:left="484"/>
              <w:rPr>
                <w:sz w:val="20"/>
                <w:szCs w:val="20"/>
              </w:rPr>
            </w:pPr>
            <w:r>
              <w:rPr>
                <w:spacing w:val="7"/>
                <w:sz w:val="20"/>
                <w:szCs w:val="20"/>
              </w:rPr>
              <w:t>游动滑车</w:t>
            </w:r>
          </w:p>
        </w:tc>
        <w:tc>
          <w:tcPr>
            <w:tcW w:w="1981" w:type="dxa"/>
            <w:vAlign w:val="top"/>
          </w:tcPr>
          <w:p w14:paraId="7A9BCC9F">
            <w:pPr>
              <w:spacing w:before="131" w:line="195" w:lineRule="auto"/>
              <w:ind w:left="648"/>
              <w:rPr>
                <w:rFonts w:ascii="Times New Roman" w:hAnsi="Times New Roman" w:eastAsia="Times New Roman" w:cs="Times New Roman"/>
                <w:sz w:val="20"/>
                <w:szCs w:val="20"/>
              </w:rPr>
            </w:pPr>
            <w:r>
              <w:rPr>
                <w:rFonts w:ascii="Times New Roman" w:hAnsi="Times New Roman" w:eastAsia="Times New Roman" w:cs="Times New Roman"/>
                <w:sz w:val="20"/>
                <w:szCs w:val="20"/>
              </w:rPr>
              <w:t>YC</w:t>
            </w:r>
            <w:r>
              <w:rPr>
                <w:rFonts w:ascii="Times New Roman" w:hAnsi="Times New Roman" w:eastAsia="Times New Roman" w:cs="Times New Roman"/>
                <w:spacing w:val="7"/>
                <w:sz w:val="20"/>
                <w:szCs w:val="20"/>
              </w:rPr>
              <w:t>-450</w:t>
            </w:r>
          </w:p>
        </w:tc>
        <w:tc>
          <w:tcPr>
            <w:tcW w:w="848" w:type="dxa"/>
            <w:vAlign w:val="top"/>
          </w:tcPr>
          <w:p w14:paraId="538028D2">
            <w:pPr>
              <w:spacing w:before="131" w:line="195" w:lineRule="auto"/>
              <w:ind w:left="39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09" w:type="dxa"/>
            <w:vAlign w:val="top"/>
          </w:tcPr>
          <w:p w14:paraId="1540EFC2">
            <w:pPr>
              <w:pStyle w:val="6"/>
              <w:spacing w:before="95" w:line="228" w:lineRule="auto"/>
              <w:ind w:left="258"/>
              <w:rPr>
                <w:sz w:val="20"/>
                <w:szCs w:val="20"/>
              </w:rPr>
            </w:pPr>
            <w:r>
              <w:rPr>
                <w:sz w:val="20"/>
                <w:szCs w:val="20"/>
              </w:rPr>
              <w:t>套</w:t>
            </w:r>
          </w:p>
        </w:tc>
        <w:tc>
          <w:tcPr>
            <w:tcW w:w="1964" w:type="dxa"/>
            <w:tcBorders>
              <w:right w:val="single" w:color="000000" w:sz="6" w:space="0"/>
            </w:tcBorders>
            <w:vAlign w:val="top"/>
          </w:tcPr>
          <w:p w14:paraId="719C4298">
            <w:pPr>
              <w:rPr>
                <w:rFonts w:ascii="Arial"/>
                <w:sz w:val="21"/>
              </w:rPr>
            </w:pPr>
          </w:p>
        </w:tc>
      </w:tr>
      <w:tr w14:paraId="771F95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466" w:type="dxa"/>
            <w:vMerge w:val="continue"/>
            <w:tcBorders>
              <w:top w:val="nil"/>
              <w:left w:val="single" w:color="000000" w:sz="6" w:space="0"/>
              <w:bottom w:val="nil"/>
              <w:right w:val="single" w:color="000000" w:sz="2" w:space="0"/>
            </w:tcBorders>
            <w:vAlign w:val="top"/>
          </w:tcPr>
          <w:p w14:paraId="4779736E">
            <w:pPr>
              <w:rPr>
                <w:rFonts w:ascii="Arial"/>
                <w:sz w:val="21"/>
              </w:rPr>
            </w:pPr>
          </w:p>
        </w:tc>
        <w:tc>
          <w:tcPr>
            <w:tcW w:w="558" w:type="dxa"/>
            <w:vMerge w:val="continue"/>
            <w:tcBorders>
              <w:top w:val="nil"/>
              <w:left w:val="single" w:color="000000" w:sz="2" w:space="0"/>
              <w:bottom w:val="nil"/>
            </w:tcBorders>
            <w:vAlign w:val="top"/>
          </w:tcPr>
          <w:p w14:paraId="0FB0D355">
            <w:pPr>
              <w:rPr>
                <w:rFonts w:ascii="Arial"/>
                <w:sz w:val="21"/>
              </w:rPr>
            </w:pPr>
          </w:p>
        </w:tc>
        <w:tc>
          <w:tcPr>
            <w:tcW w:w="577" w:type="dxa"/>
            <w:vMerge w:val="continue"/>
            <w:tcBorders>
              <w:top w:val="nil"/>
              <w:bottom w:val="nil"/>
            </w:tcBorders>
            <w:vAlign w:val="top"/>
          </w:tcPr>
          <w:p w14:paraId="1AEAF325">
            <w:pPr>
              <w:rPr>
                <w:rFonts w:ascii="Arial"/>
                <w:sz w:val="21"/>
              </w:rPr>
            </w:pPr>
          </w:p>
        </w:tc>
        <w:tc>
          <w:tcPr>
            <w:tcW w:w="1812" w:type="dxa"/>
            <w:gridSpan w:val="2"/>
            <w:vAlign w:val="top"/>
          </w:tcPr>
          <w:p w14:paraId="45B870C5">
            <w:pPr>
              <w:pStyle w:val="6"/>
              <w:spacing w:before="96" w:line="228" w:lineRule="auto"/>
              <w:ind w:left="698"/>
              <w:rPr>
                <w:sz w:val="20"/>
                <w:szCs w:val="20"/>
              </w:rPr>
            </w:pPr>
            <w:r>
              <w:rPr>
                <w:spacing w:val="3"/>
                <w:sz w:val="20"/>
                <w:szCs w:val="20"/>
              </w:rPr>
              <w:t>大钩</w:t>
            </w:r>
          </w:p>
        </w:tc>
        <w:tc>
          <w:tcPr>
            <w:tcW w:w="1981" w:type="dxa"/>
            <w:vAlign w:val="top"/>
          </w:tcPr>
          <w:p w14:paraId="54F4BA05">
            <w:pPr>
              <w:spacing w:before="131" w:line="195" w:lineRule="auto"/>
              <w:ind w:left="684"/>
              <w:rPr>
                <w:rFonts w:ascii="Times New Roman" w:hAnsi="Times New Roman" w:eastAsia="Times New Roman" w:cs="Times New Roman"/>
                <w:sz w:val="20"/>
                <w:szCs w:val="20"/>
              </w:rPr>
            </w:pPr>
            <w:r>
              <w:rPr>
                <w:rFonts w:ascii="Times New Roman" w:hAnsi="Times New Roman" w:eastAsia="Times New Roman" w:cs="Times New Roman"/>
                <w:sz w:val="20"/>
                <w:szCs w:val="20"/>
              </w:rPr>
              <w:t>SL</w:t>
            </w:r>
            <w:r>
              <w:rPr>
                <w:rFonts w:ascii="Times New Roman" w:hAnsi="Times New Roman" w:eastAsia="Times New Roman" w:cs="Times New Roman"/>
                <w:spacing w:val="4"/>
                <w:sz w:val="20"/>
                <w:szCs w:val="20"/>
              </w:rPr>
              <w:t>-450</w:t>
            </w:r>
          </w:p>
        </w:tc>
        <w:tc>
          <w:tcPr>
            <w:tcW w:w="848" w:type="dxa"/>
            <w:vAlign w:val="top"/>
          </w:tcPr>
          <w:p w14:paraId="4708779F">
            <w:pPr>
              <w:spacing w:before="132" w:line="195" w:lineRule="auto"/>
              <w:ind w:left="39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09" w:type="dxa"/>
            <w:vAlign w:val="top"/>
          </w:tcPr>
          <w:p w14:paraId="1A8C91C5">
            <w:pPr>
              <w:pStyle w:val="6"/>
              <w:spacing w:before="96" w:line="228" w:lineRule="auto"/>
              <w:ind w:left="258"/>
              <w:rPr>
                <w:sz w:val="20"/>
                <w:szCs w:val="20"/>
              </w:rPr>
            </w:pPr>
            <w:r>
              <w:rPr>
                <w:sz w:val="20"/>
                <w:szCs w:val="20"/>
              </w:rPr>
              <w:t>套</w:t>
            </w:r>
          </w:p>
        </w:tc>
        <w:tc>
          <w:tcPr>
            <w:tcW w:w="1964" w:type="dxa"/>
            <w:tcBorders>
              <w:right w:val="single" w:color="000000" w:sz="6" w:space="0"/>
            </w:tcBorders>
            <w:vAlign w:val="top"/>
          </w:tcPr>
          <w:p w14:paraId="05C9B04D">
            <w:pPr>
              <w:rPr>
                <w:rFonts w:ascii="Arial"/>
                <w:sz w:val="21"/>
              </w:rPr>
            </w:pPr>
          </w:p>
        </w:tc>
      </w:tr>
      <w:tr w14:paraId="15137A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466" w:type="dxa"/>
            <w:vMerge w:val="continue"/>
            <w:tcBorders>
              <w:top w:val="nil"/>
              <w:left w:val="single" w:color="000000" w:sz="6" w:space="0"/>
              <w:bottom w:val="nil"/>
              <w:right w:val="single" w:color="000000" w:sz="2" w:space="0"/>
            </w:tcBorders>
            <w:vAlign w:val="top"/>
          </w:tcPr>
          <w:p w14:paraId="0E83D3C2">
            <w:pPr>
              <w:rPr>
                <w:rFonts w:ascii="Arial"/>
                <w:sz w:val="21"/>
              </w:rPr>
            </w:pPr>
          </w:p>
        </w:tc>
        <w:tc>
          <w:tcPr>
            <w:tcW w:w="558" w:type="dxa"/>
            <w:vMerge w:val="continue"/>
            <w:tcBorders>
              <w:top w:val="nil"/>
              <w:left w:val="single" w:color="000000" w:sz="2" w:space="0"/>
            </w:tcBorders>
            <w:vAlign w:val="top"/>
          </w:tcPr>
          <w:p w14:paraId="73F24F1E">
            <w:pPr>
              <w:rPr>
                <w:rFonts w:ascii="Arial"/>
                <w:sz w:val="21"/>
              </w:rPr>
            </w:pPr>
          </w:p>
        </w:tc>
        <w:tc>
          <w:tcPr>
            <w:tcW w:w="577" w:type="dxa"/>
            <w:vMerge w:val="continue"/>
            <w:tcBorders>
              <w:top w:val="nil"/>
            </w:tcBorders>
            <w:vAlign w:val="top"/>
          </w:tcPr>
          <w:p w14:paraId="09F9BEDC">
            <w:pPr>
              <w:rPr>
                <w:rFonts w:ascii="Arial"/>
                <w:sz w:val="21"/>
              </w:rPr>
            </w:pPr>
          </w:p>
        </w:tc>
        <w:tc>
          <w:tcPr>
            <w:tcW w:w="1812" w:type="dxa"/>
            <w:gridSpan w:val="2"/>
            <w:vAlign w:val="top"/>
          </w:tcPr>
          <w:p w14:paraId="6EFF0D45">
            <w:pPr>
              <w:pStyle w:val="6"/>
              <w:spacing w:before="96" w:line="228" w:lineRule="auto"/>
              <w:ind w:left="592"/>
              <w:rPr>
                <w:sz w:val="20"/>
                <w:szCs w:val="20"/>
              </w:rPr>
            </w:pPr>
            <w:r>
              <w:rPr>
                <w:spacing w:val="6"/>
                <w:sz w:val="20"/>
                <w:szCs w:val="20"/>
              </w:rPr>
              <w:t>水龙头</w:t>
            </w:r>
          </w:p>
        </w:tc>
        <w:tc>
          <w:tcPr>
            <w:tcW w:w="1981" w:type="dxa"/>
            <w:vAlign w:val="top"/>
          </w:tcPr>
          <w:p w14:paraId="72435531">
            <w:pPr>
              <w:spacing w:before="132" w:line="195" w:lineRule="auto"/>
              <w:ind w:left="684"/>
              <w:rPr>
                <w:rFonts w:ascii="Times New Roman" w:hAnsi="Times New Roman" w:eastAsia="Times New Roman" w:cs="Times New Roman"/>
                <w:sz w:val="20"/>
                <w:szCs w:val="20"/>
              </w:rPr>
            </w:pPr>
            <w:r>
              <w:rPr>
                <w:rFonts w:ascii="Times New Roman" w:hAnsi="Times New Roman" w:eastAsia="Times New Roman" w:cs="Times New Roman"/>
                <w:sz w:val="20"/>
                <w:szCs w:val="20"/>
              </w:rPr>
              <w:t>SL</w:t>
            </w:r>
            <w:r>
              <w:rPr>
                <w:rFonts w:ascii="Times New Roman" w:hAnsi="Times New Roman" w:eastAsia="Times New Roman" w:cs="Times New Roman"/>
                <w:spacing w:val="3"/>
                <w:sz w:val="20"/>
                <w:szCs w:val="20"/>
              </w:rPr>
              <w:t>-450</w:t>
            </w:r>
          </w:p>
        </w:tc>
        <w:tc>
          <w:tcPr>
            <w:tcW w:w="848" w:type="dxa"/>
            <w:vAlign w:val="top"/>
          </w:tcPr>
          <w:p w14:paraId="5C7C25FF">
            <w:pPr>
              <w:spacing w:before="132" w:line="195" w:lineRule="auto"/>
              <w:ind w:left="39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09" w:type="dxa"/>
            <w:vAlign w:val="top"/>
          </w:tcPr>
          <w:p w14:paraId="735C4714">
            <w:pPr>
              <w:pStyle w:val="6"/>
              <w:spacing w:before="97" w:line="228" w:lineRule="auto"/>
              <w:ind w:left="258"/>
              <w:rPr>
                <w:sz w:val="20"/>
                <w:szCs w:val="20"/>
              </w:rPr>
            </w:pPr>
            <w:r>
              <w:rPr>
                <w:sz w:val="20"/>
                <w:szCs w:val="20"/>
              </w:rPr>
              <w:t>套</w:t>
            </w:r>
          </w:p>
        </w:tc>
        <w:tc>
          <w:tcPr>
            <w:tcW w:w="1964" w:type="dxa"/>
            <w:tcBorders>
              <w:right w:val="single" w:color="000000" w:sz="6" w:space="0"/>
            </w:tcBorders>
            <w:vAlign w:val="top"/>
          </w:tcPr>
          <w:p w14:paraId="777DE3BF">
            <w:pPr>
              <w:rPr>
                <w:rFonts w:ascii="Arial"/>
                <w:sz w:val="21"/>
              </w:rPr>
            </w:pPr>
          </w:p>
        </w:tc>
      </w:tr>
      <w:tr w14:paraId="1E1A52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466" w:type="dxa"/>
            <w:vMerge w:val="continue"/>
            <w:tcBorders>
              <w:top w:val="nil"/>
              <w:left w:val="single" w:color="000000" w:sz="6" w:space="0"/>
              <w:bottom w:val="nil"/>
              <w:right w:val="single" w:color="000000" w:sz="2" w:space="0"/>
            </w:tcBorders>
            <w:vAlign w:val="top"/>
          </w:tcPr>
          <w:p w14:paraId="76E942BA">
            <w:pPr>
              <w:rPr>
                <w:rFonts w:ascii="Arial"/>
                <w:sz w:val="21"/>
              </w:rPr>
            </w:pPr>
          </w:p>
        </w:tc>
        <w:tc>
          <w:tcPr>
            <w:tcW w:w="558" w:type="dxa"/>
            <w:tcBorders>
              <w:left w:val="single" w:color="000000" w:sz="2" w:space="0"/>
            </w:tcBorders>
            <w:vAlign w:val="top"/>
          </w:tcPr>
          <w:p w14:paraId="4532213F">
            <w:pPr>
              <w:spacing w:before="131"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389" w:type="dxa"/>
            <w:gridSpan w:val="3"/>
            <w:vAlign w:val="top"/>
          </w:tcPr>
          <w:p w14:paraId="62605A7E">
            <w:pPr>
              <w:pStyle w:val="6"/>
              <w:spacing w:before="95" w:line="228" w:lineRule="auto"/>
              <w:ind w:left="983"/>
              <w:rPr>
                <w:sz w:val="20"/>
                <w:szCs w:val="20"/>
              </w:rPr>
            </w:pPr>
            <w:r>
              <w:rPr>
                <w:spacing w:val="4"/>
                <w:sz w:val="20"/>
                <w:szCs w:val="20"/>
              </w:rPr>
              <w:t>转盘</w:t>
            </w:r>
          </w:p>
        </w:tc>
        <w:tc>
          <w:tcPr>
            <w:tcW w:w="1981" w:type="dxa"/>
            <w:vAlign w:val="top"/>
          </w:tcPr>
          <w:p w14:paraId="41FE3CA4">
            <w:pPr>
              <w:spacing w:before="131" w:line="195" w:lineRule="auto"/>
              <w:ind w:left="707"/>
              <w:rPr>
                <w:rFonts w:ascii="Times New Roman" w:hAnsi="Times New Roman" w:eastAsia="Times New Roman" w:cs="Times New Roman"/>
                <w:sz w:val="20"/>
                <w:szCs w:val="20"/>
              </w:rPr>
            </w:pPr>
            <w:r>
              <w:rPr>
                <w:rFonts w:ascii="Times New Roman" w:hAnsi="Times New Roman" w:eastAsia="Times New Roman" w:cs="Times New Roman"/>
                <w:sz w:val="20"/>
                <w:szCs w:val="20"/>
              </w:rPr>
              <w:t>ZP</w:t>
            </w:r>
            <w:r>
              <w:rPr>
                <w:rFonts w:ascii="Times New Roman" w:hAnsi="Times New Roman" w:eastAsia="Times New Roman" w:cs="Times New Roman"/>
                <w:spacing w:val="8"/>
                <w:sz w:val="20"/>
                <w:szCs w:val="20"/>
              </w:rPr>
              <w:t>375</w:t>
            </w:r>
          </w:p>
        </w:tc>
        <w:tc>
          <w:tcPr>
            <w:tcW w:w="848" w:type="dxa"/>
            <w:vAlign w:val="top"/>
          </w:tcPr>
          <w:p w14:paraId="77B7D962">
            <w:pPr>
              <w:spacing w:before="131" w:line="195" w:lineRule="auto"/>
              <w:ind w:left="39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09" w:type="dxa"/>
            <w:vAlign w:val="top"/>
          </w:tcPr>
          <w:p w14:paraId="1A2594C3">
            <w:pPr>
              <w:pStyle w:val="6"/>
              <w:spacing w:before="95" w:line="228" w:lineRule="auto"/>
              <w:ind w:left="258"/>
              <w:rPr>
                <w:sz w:val="20"/>
                <w:szCs w:val="20"/>
              </w:rPr>
            </w:pPr>
            <w:r>
              <w:rPr>
                <w:sz w:val="20"/>
                <w:szCs w:val="20"/>
              </w:rPr>
              <w:t>套</w:t>
            </w:r>
          </w:p>
        </w:tc>
        <w:tc>
          <w:tcPr>
            <w:tcW w:w="1964" w:type="dxa"/>
            <w:tcBorders>
              <w:right w:val="single" w:color="000000" w:sz="6" w:space="0"/>
            </w:tcBorders>
            <w:vAlign w:val="top"/>
          </w:tcPr>
          <w:p w14:paraId="19C2D12C">
            <w:pPr>
              <w:rPr>
                <w:rFonts w:ascii="Arial"/>
                <w:sz w:val="21"/>
              </w:rPr>
            </w:pPr>
          </w:p>
        </w:tc>
      </w:tr>
      <w:tr w14:paraId="1A3502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466" w:type="dxa"/>
            <w:vMerge w:val="continue"/>
            <w:tcBorders>
              <w:top w:val="nil"/>
              <w:left w:val="single" w:color="000000" w:sz="6" w:space="0"/>
              <w:bottom w:val="nil"/>
              <w:right w:val="single" w:color="000000" w:sz="2" w:space="0"/>
            </w:tcBorders>
            <w:vAlign w:val="top"/>
          </w:tcPr>
          <w:p w14:paraId="6C9F87E6">
            <w:pPr>
              <w:rPr>
                <w:rFonts w:ascii="Arial"/>
                <w:sz w:val="21"/>
              </w:rPr>
            </w:pPr>
          </w:p>
        </w:tc>
        <w:tc>
          <w:tcPr>
            <w:tcW w:w="558" w:type="dxa"/>
            <w:tcBorders>
              <w:left w:val="single" w:color="000000" w:sz="2" w:space="0"/>
            </w:tcBorders>
            <w:vAlign w:val="top"/>
          </w:tcPr>
          <w:p w14:paraId="7FE55C82">
            <w:pPr>
              <w:spacing w:before="135" w:line="192" w:lineRule="auto"/>
              <w:ind w:left="27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389" w:type="dxa"/>
            <w:gridSpan w:val="3"/>
            <w:vAlign w:val="top"/>
          </w:tcPr>
          <w:p w14:paraId="005B6465">
            <w:pPr>
              <w:pStyle w:val="6"/>
              <w:spacing w:before="96" w:line="228" w:lineRule="auto"/>
              <w:ind w:left="562"/>
              <w:rPr>
                <w:sz w:val="20"/>
                <w:szCs w:val="20"/>
              </w:rPr>
            </w:pPr>
            <w:r>
              <w:rPr>
                <w:spacing w:val="8"/>
                <w:sz w:val="20"/>
                <w:szCs w:val="20"/>
              </w:rPr>
              <w:t>顶部驱动装置</w:t>
            </w:r>
          </w:p>
        </w:tc>
        <w:tc>
          <w:tcPr>
            <w:tcW w:w="1981" w:type="dxa"/>
            <w:vAlign w:val="top"/>
          </w:tcPr>
          <w:p w14:paraId="372F07FE">
            <w:pPr>
              <w:spacing w:before="132" w:line="197" w:lineRule="auto"/>
              <w:ind w:left="732"/>
              <w:rPr>
                <w:rFonts w:ascii="Times New Roman" w:hAnsi="Times New Roman" w:eastAsia="Times New Roman" w:cs="Times New Roman"/>
                <w:sz w:val="20"/>
                <w:szCs w:val="20"/>
              </w:rPr>
            </w:pPr>
            <w:r>
              <w:rPr>
                <w:rFonts w:ascii="Times New Roman" w:hAnsi="Times New Roman" w:eastAsia="Times New Roman" w:cs="Times New Roman"/>
                <w:sz w:val="20"/>
                <w:szCs w:val="20"/>
              </w:rPr>
              <w:t>DQ</w:t>
            </w:r>
            <w:r>
              <w:rPr>
                <w:rFonts w:ascii="Times New Roman" w:hAnsi="Times New Roman" w:eastAsia="Times New Roman" w:cs="Times New Roman"/>
                <w:spacing w:val="10"/>
                <w:sz w:val="20"/>
                <w:szCs w:val="20"/>
              </w:rPr>
              <w:t>70</w:t>
            </w:r>
          </w:p>
        </w:tc>
        <w:tc>
          <w:tcPr>
            <w:tcW w:w="848" w:type="dxa"/>
            <w:vAlign w:val="top"/>
          </w:tcPr>
          <w:p w14:paraId="7D2A5827">
            <w:pPr>
              <w:spacing w:before="133" w:line="195" w:lineRule="auto"/>
              <w:ind w:left="39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09" w:type="dxa"/>
            <w:vAlign w:val="top"/>
          </w:tcPr>
          <w:p w14:paraId="3E625D33">
            <w:pPr>
              <w:pStyle w:val="6"/>
              <w:spacing w:before="97" w:line="228" w:lineRule="auto"/>
              <w:ind w:left="258"/>
              <w:rPr>
                <w:sz w:val="20"/>
                <w:szCs w:val="20"/>
              </w:rPr>
            </w:pPr>
            <w:r>
              <w:rPr>
                <w:sz w:val="20"/>
                <w:szCs w:val="20"/>
              </w:rPr>
              <w:t>套</w:t>
            </w:r>
          </w:p>
        </w:tc>
        <w:tc>
          <w:tcPr>
            <w:tcW w:w="1964" w:type="dxa"/>
            <w:tcBorders>
              <w:right w:val="single" w:color="000000" w:sz="6" w:space="0"/>
            </w:tcBorders>
            <w:vAlign w:val="top"/>
          </w:tcPr>
          <w:p w14:paraId="3763AEB9">
            <w:pPr>
              <w:rPr>
                <w:rFonts w:ascii="Arial"/>
                <w:sz w:val="21"/>
              </w:rPr>
            </w:pPr>
          </w:p>
        </w:tc>
      </w:tr>
      <w:tr w14:paraId="68A259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466" w:type="dxa"/>
            <w:vMerge w:val="continue"/>
            <w:tcBorders>
              <w:top w:val="nil"/>
              <w:left w:val="single" w:color="000000" w:sz="6" w:space="0"/>
              <w:bottom w:val="nil"/>
              <w:right w:val="single" w:color="000000" w:sz="2" w:space="0"/>
            </w:tcBorders>
            <w:vAlign w:val="top"/>
          </w:tcPr>
          <w:p w14:paraId="4F6A4A95">
            <w:pPr>
              <w:rPr>
                <w:rFonts w:ascii="Arial"/>
                <w:sz w:val="21"/>
              </w:rPr>
            </w:pPr>
          </w:p>
        </w:tc>
        <w:tc>
          <w:tcPr>
            <w:tcW w:w="558" w:type="dxa"/>
            <w:vMerge w:val="restart"/>
            <w:tcBorders>
              <w:left w:val="single" w:color="000000" w:sz="2" w:space="0"/>
              <w:bottom w:val="nil"/>
            </w:tcBorders>
            <w:vAlign w:val="top"/>
          </w:tcPr>
          <w:p w14:paraId="4619CFCE">
            <w:pPr>
              <w:spacing w:line="241" w:lineRule="auto"/>
              <w:rPr>
                <w:rFonts w:ascii="Arial"/>
                <w:sz w:val="21"/>
              </w:rPr>
            </w:pPr>
          </w:p>
          <w:p w14:paraId="3E7BF9A6">
            <w:pPr>
              <w:spacing w:line="242" w:lineRule="auto"/>
              <w:rPr>
                <w:rFonts w:ascii="Arial"/>
                <w:sz w:val="21"/>
              </w:rPr>
            </w:pPr>
          </w:p>
          <w:p w14:paraId="4C36CA46">
            <w:pPr>
              <w:spacing w:before="58" w:line="195" w:lineRule="auto"/>
              <w:ind w:left="276"/>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692" w:type="dxa"/>
            <w:gridSpan w:val="2"/>
            <w:vMerge w:val="restart"/>
            <w:tcBorders>
              <w:bottom w:val="nil"/>
            </w:tcBorders>
            <w:vAlign w:val="top"/>
          </w:tcPr>
          <w:p w14:paraId="31F8D40D">
            <w:pPr>
              <w:spacing w:line="307" w:lineRule="auto"/>
              <w:rPr>
                <w:rFonts w:ascii="Arial"/>
                <w:sz w:val="21"/>
              </w:rPr>
            </w:pPr>
          </w:p>
          <w:p w14:paraId="7BC6236C">
            <w:pPr>
              <w:pStyle w:val="6"/>
              <w:spacing w:before="65" w:line="252" w:lineRule="auto"/>
              <w:ind w:left="243" w:right="33" w:hanging="216"/>
              <w:rPr>
                <w:sz w:val="20"/>
                <w:szCs w:val="20"/>
              </w:rPr>
            </w:pPr>
            <w:r>
              <w:rPr>
                <w:spacing w:val="6"/>
                <w:sz w:val="20"/>
                <w:szCs w:val="20"/>
              </w:rPr>
              <w:t>循环系</w:t>
            </w:r>
            <w:r>
              <w:rPr>
                <w:sz w:val="20"/>
                <w:szCs w:val="20"/>
              </w:rPr>
              <w:t>统</w:t>
            </w:r>
          </w:p>
        </w:tc>
        <w:tc>
          <w:tcPr>
            <w:tcW w:w="1697" w:type="dxa"/>
            <w:vAlign w:val="top"/>
          </w:tcPr>
          <w:p w14:paraId="0969CA80">
            <w:pPr>
              <w:pStyle w:val="6"/>
              <w:spacing w:before="97" w:line="228" w:lineRule="auto"/>
              <w:ind w:left="324"/>
              <w:rPr>
                <w:sz w:val="20"/>
                <w:szCs w:val="20"/>
              </w:rPr>
            </w:pPr>
            <w:r>
              <w:rPr>
                <w:spacing w:val="8"/>
                <w:sz w:val="20"/>
                <w:szCs w:val="20"/>
              </w:rPr>
              <w:t>钻井泥浆泵</w:t>
            </w:r>
          </w:p>
        </w:tc>
        <w:tc>
          <w:tcPr>
            <w:tcW w:w="1981" w:type="dxa"/>
            <w:vAlign w:val="top"/>
          </w:tcPr>
          <w:p w14:paraId="59DE8476">
            <w:pPr>
              <w:spacing w:before="133" w:line="195" w:lineRule="auto"/>
              <w:ind w:left="683"/>
              <w:rPr>
                <w:rFonts w:ascii="Times New Roman" w:hAnsi="Times New Roman" w:eastAsia="Times New Roman" w:cs="Times New Roman"/>
                <w:sz w:val="20"/>
                <w:szCs w:val="20"/>
              </w:rPr>
            </w:pPr>
            <w:r>
              <w:rPr>
                <w:rFonts w:ascii="Times New Roman" w:hAnsi="Times New Roman" w:eastAsia="Times New Roman" w:cs="Times New Roman"/>
                <w:sz w:val="20"/>
                <w:szCs w:val="20"/>
              </w:rPr>
              <w:t>F-</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z w:val="20"/>
                <w:szCs w:val="20"/>
              </w:rPr>
              <w:t>1600</w:t>
            </w:r>
          </w:p>
        </w:tc>
        <w:tc>
          <w:tcPr>
            <w:tcW w:w="848" w:type="dxa"/>
            <w:vAlign w:val="top"/>
          </w:tcPr>
          <w:p w14:paraId="5CEB4B6F">
            <w:pPr>
              <w:spacing w:before="133" w:line="195" w:lineRule="auto"/>
              <w:ind w:left="37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709" w:type="dxa"/>
            <w:vAlign w:val="top"/>
          </w:tcPr>
          <w:p w14:paraId="0AB14E5A">
            <w:pPr>
              <w:pStyle w:val="6"/>
              <w:spacing w:before="97" w:line="230" w:lineRule="auto"/>
              <w:ind w:left="273"/>
              <w:rPr>
                <w:sz w:val="20"/>
                <w:szCs w:val="20"/>
              </w:rPr>
            </w:pPr>
            <w:r>
              <w:rPr>
                <w:sz w:val="20"/>
                <w:szCs w:val="20"/>
              </w:rPr>
              <w:t>台</w:t>
            </w:r>
          </w:p>
        </w:tc>
        <w:tc>
          <w:tcPr>
            <w:tcW w:w="1964" w:type="dxa"/>
            <w:tcBorders>
              <w:right w:val="single" w:color="000000" w:sz="6" w:space="0"/>
            </w:tcBorders>
            <w:vAlign w:val="top"/>
          </w:tcPr>
          <w:p w14:paraId="72CCD3F7">
            <w:pPr>
              <w:pStyle w:val="6"/>
              <w:spacing w:before="98" w:line="228" w:lineRule="auto"/>
              <w:ind w:left="516"/>
              <w:rPr>
                <w:sz w:val="20"/>
                <w:szCs w:val="20"/>
              </w:rPr>
            </w:pPr>
            <w:r>
              <w:rPr>
                <w:spacing w:val="7"/>
                <w:sz w:val="20"/>
                <w:szCs w:val="20"/>
              </w:rPr>
              <w:t>两用一备</w:t>
            </w:r>
          </w:p>
        </w:tc>
      </w:tr>
      <w:tr w14:paraId="1ABC57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466" w:type="dxa"/>
            <w:vMerge w:val="continue"/>
            <w:tcBorders>
              <w:top w:val="nil"/>
              <w:left w:val="single" w:color="000000" w:sz="6" w:space="0"/>
              <w:bottom w:val="nil"/>
              <w:right w:val="single" w:color="000000" w:sz="2" w:space="0"/>
            </w:tcBorders>
            <w:vAlign w:val="top"/>
          </w:tcPr>
          <w:p w14:paraId="65CCBF09">
            <w:pPr>
              <w:rPr>
                <w:rFonts w:ascii="Arial"/>
                <w:sz w:val="21"/>
              </w:rPr>
            </w:pPr>
          </w:p>
        </w:tc>
        <w:tc>
          <w:tcPr>
            <w:tcW w:w="558" w:type="dxa"/>
            <w:vMerge w:val="continue"/>
            <w:tcBorders>
              <w:top w:val="nil"/>
              <w:left w:val="single" w:color="000000" w:sz="2" w:space="0"/>
              <w:bottom w:val="nil"/>
            </w:tcBorders>
            <w:vAlign w:val="top"/>
          </w:tcPr>
          <w:p w14:paraId="514A477B">
            <w:pPr>
              <w:rPr>
                <w:rFonts w:ascii="Arial"/>
                <w:sz w:val="21"/>
              </w:rPr>
            </w:pPr>
          </w:p>
        </w:tc>
        <w:tc>
          <w:tcPr>
            <w:tcW w:w="692" w:type="dxa"/>
            <w:gridSpan w:val="2"/>
            <w:vMerge w:val="continue"/>
            <w:tcBorders>
              <w:top w:val="nil"/>
              <w:bottom w:val="nil"/>
            </w:tcBorders>
            <w:vAlign w:val="top"/>
          </w:tcPr>
          <w:p w14:paraId="4AC5692D">
            <w:pPr>
              <w:rPr>
                <w:rFonts w:ascii="Arial"/>
                <w:sz w:val="21"/>
              </w:rPr>
            </w:pPr>
          </w:p>
        </w:tc>
        <w:tc>
          <w:tcPr>
            <w:tcW w:w="1697" w:type="dxa"/>
            <w:vAlign w:val="top"/>
          </w:tcPr>
          <w:p w14:paraId="32CE5BA1">
            <w:pPr>
              <w:pStyle w:val="6"/>
              <w:spacing w:before="95" w:line="228" w:lineRule="auto"/>
              <w:ind w:left="112"/>
              <w:rPr>
                <w:sz w:val="20"/>
                <w:szCs w:val="20"/>
              </w:rPr>
            </w:pPr>
            <w:r>
              <w:rPr>
                <w:spacing w:val="8"/>
                <w:sz w:val="20"/>
                <w:szCs w:val="20"/>
              </w:rPr>
              <w:t>钻井泥浆循环罐</w:t>
            </w:r>
          </w:p>
        </w:tc>
        <w:tc>
          <w:tcPr>
            <w:tcW w:w="1981" w:type="dxa"/>
            <w:vAlign w:val="top"/>
          </w:tcPr>
          <w:p w14:paraId="0FF617F9">
            <w:pPr>
              <w:spacing w:before="114" w:line="213" w:lineRule="auto"/>
              <w:ind w:left="767"/>
              <w:rPr>
                <w:rFonts w:ascii="Times New Roman" w:hAnsi="Times New Roman" w:eastAsia="Times New Roman" w:cs="Times New Roman"/>
                <w:sz w:val="13"/>
                <w:szCs w:val="13"/>
              </w:rPr>
            </w:pPr>
            <w:r>
              <w:rPr>
                <w:rFonts w:ascii="Times New Roman" w:hAnsi="Times New Roman" w:eastAsia="Times New Roman" w:cs="Times New Roman"/>
                <w:spacing w:val="4"/>
                <w:position w:val="-1"/>
                <w:sz w:val="20"/>
                <w:szCs w:val="20"/>
              </w:rPr>
              <w:t>40m</w:t>
            </w:r>
            <w:r>
              <w:rPr>
                <w:rFonts w:ascii="Times New Roman" w:hAnsi="Times New Roman" w:eastAsia="Times New Roman" w:cs="Times New Roman"/>
                <w:spacing w:val="4"/>
                <w:position w:val="5"/>
                <w:sz w:val="13"/>
                <w:szCs w:val="13"/>
              </w:rPr>
              <w:t>3</w:t>
            </w:r>
          </w:p>
        </w:tc>
        <w:tc>
          <w:tcPr>
            <w:tcW w:w="848" w:type="dxa"/>
            <w:vAlign w:val="top"/>
          </w:tcPr>
          <w:p w14:paraId="5215F1C4">
            <w:pPr>
              <w:spacing w:before="132" w:line="195" w:lineRule="auto"/>
              <w:ind w:left="376"/>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709" w:type="dxa"/>
            <w:vAlign w:val="top"/>
          </w:tcPr>
          <w:p w14:paraId="2BE112FB">
            <w:pPr>
              <w:pStyle w:val="6"/>
              <w:spacing w:before="96" w:line="230" w:lineRule="auto"/>
              <w:ind w:left="258"/>
              <w:rPr>
                <w:sz w:val="20"/>
                <w:szCs w:val="20"/>
              </w:rPr>
            </w:pPr>
            <w:r>
              <w:rPr>
                <w:sz w:val="20"/>
                <w:szCs w:val="20"/>
              </w:rPr>
              <w:t>座</w:t>
            </w:r>
          </w:p>
        </w:tc>
        <w:tc>
          <w:tcPr>
            <w:tcW w:w="1964" w:type="dxa"/>
            <w:tcBorders>
              <w:right w:val="single" w:color="000000" w:sz="6" w:space="0"/>
            </w:tcBorders>
            <w:vAlign w:val="top"/>
          </w:tcPr>
          <w:p w14:paraId="78CCC4D8">
            <w:pPr>
              <w:rPr>
                <w:rFonts w:ascii="Arial"/>
                <w:sz w:val="21"/>
              </w:rPr>
            </w:pPr>
          </w:p>
        </w:tc>
      </w:tr>
      <w:tr w14:paraId="2D993B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466" w:type="dxa"/>
            <w:vMerge w:val="continue"/>
            <w:tcBorders>
              <w:top w:val="nil"/>
              <w:left w:val="single" w:color="000000" w:sz="6" w:space="0"/>
              <w:bottom w:val="nil"/>
              <w:right w:val="single" w:color="000000" w:sz="2" w:space="0"/>
            </w:tcBorders>
            <w:vAlign w:val="top"/>
          </w:tcPr>
          <w:p w14:paraId="78DF383B">
            <w:pPr>
              <w:rPr>
                <w:rFonts w:ascii="Arial"/>
                <w:sz w:val="21"/>
              </w:rPr>
            </w:pPr>
          </w:p>
        </w:tc>
        <w:tc>
          <w:tcPr>
            <w:tcW w:w="558" w:type="dxa"/>
            <w:vMerge w:val="continue"/>
            <w:tcBorders>
              <w:top w:val="nil"/>
              <w:left w:val="single" w:color="000000" w:sz="2" w:space="0"/>
            </w:tcBorders>
            <w:vAlign w:val="top"/>
          </w:tcPr>
          <w:p w14:paraId="62C8261B">
            <w:pPr>
              <w:rPr>
                <w:rFonts w:ascii="Arial"/>
                <w:sz w:val="21"/>
              </w:rPr>
            </w:pPr>
          </w:p>
        </w:tc>
        <w:tc>
          <w:tcPr>
            <w:tcW w:w="692" w:type="dxa"/>
            <w:gridSpan w:val="2"/>
            <w:vMerge w:val="continue"/>
            <w:tcBorders>
              <w:top w:val="nil"/>
            </w:tcBorders>
            <w:vAlign w:val="top"/>
          </w:tcPr>
          <w:p w14:paraId="25EC604E">
            <w:pPr>
              <w:rPr>
                <w:rFonts w:ascii="Arial"/>
                <w:sz w:val="21"/>
              </w:rPr>
            </w:pPr>
          </w:p>
        </w:tc>
        <w:tc>
          <w:tcPr>
            <w:tcW w:w="1697" w:type="dxa"/>
            <w:vAlign w:val="top"/>
          </w:tcPr>
          <w:p w14:paraId="4C44F4A2">
            <w:pPr>
              <w:pStyle w:val="6"/>
              <w:spacing w:before="96" w:line="228" w:lineRule="auto"/>
              <w:ind w:left="532"/>
              <w:rPr>
                <w:sz w:val="20"/>
                <w:szCs w:val="20"/>
              </w:rPr>
            </w:pPr>
            <w:r>
              <w:rPr>
                <w:spacing w:val="7"/>
                <w:sz w:val="20"/>
                <w:szCs w:val="20"/>
              </w:rPr>
              <w:t>搅拌器</w:t>
            </w:r>
          </w:p>
        </w:tc>
        <w:tc>
          <w:tcPr>
            <w:tcW w:w="1981" w:type="dxa"/>
            <w:vAlign w:val="top"/>
          </w:tcPr>
          <w:p w14:paraId="751D62C8">
            <w:pPr>
              <w:pStyle w:val="6"/>
              <w:spacing w:before="133" w:line="186" w:lineRule="auto"/>
              <w:ind w:left="53"/>
              <w:rPr>
                <w:rFonts w:ascii="Times New Roman" w:hAnsi="Times New Roman" w:eastAsia="Times New Roman" w:cs="Times New Roman"/>
                <w:sz w:val="20"/>
                <w:szCs w:val="20"/>
              </w:rPr>
            </w:pPr>
            <w:r>
              <w:rPr>
                <w:rFonts w:ascii="Times New Roman" w:hAnsi="Times New Roman" w:eastAsia="Times New Roman" w:cs="Times New Roman"/>
                <w:sz w:val="20"/>
                <w:szCs w:val="20"/>
              </w:rPr>
              <w:t>NJ</w:t>
            </w:r>
            <w:r>
              <w:rPr>
                <w:rFonts w:ascii="Times New Roman" w:hAnsi="Times New Roman" w:eastAsia="Times New Roman" w:cs="Times New Roman"/>
                <w:spacing w:val="4"/>
                <w:sz w:val="20"/>
                <w:szCs w:val="20"/>
              </w:rPr>
              <w:t>5.5</w:t>
            </w:r>
            <w:r>
              <w:rPr>
                <w:rFonts w:ascii="Times New Roman" w:hAnsi="Times New Roman" w:eastAsia="Times New Roman" w:cs="Times New Roman"/>
                <w:spacing w:val="-26"/>
                <w:sz w:val="20"/>
                <w:szCs w:val="20"/>
              </w:rPr>
              <w:t xml:space="preserve"> </w:t>
            </w:r>
            <w:r>
              <w:rPr>
                <w:spacing w:val="4"/>
                <w:sz w:val="20"/>
                <w:szCs w:val="20"/>
              </w:rPr>
              <w:t>、</w:t>
            </w:r>
            <w:r>
              <w:rPr>
                <w:rFonts w:ascii="Times New Roman" w:hAnsi="Times New Roman" w:eastAsia="Times New Roman" w:cs="Times New Roman"/>
                <w:sz w:val="20"/>
                <w:szCs w:val="20"/>
              </w:rPr>
              <w:t>NJ</w:t>
            </w:r>
            <w:r>
              <w:rPr>
                <w:rFonts w:ascii="Times New Roman" w:hAnsi="Times New Roman" w:eastAsia="Times New Roman" w:cs="Times New Roman"/>
                <w:spacing w:val="4"/>
                <w:sz w:val="20"/>
                <w:szCs w:val="20"/>
              </w:rPr>
              <w:t>7.5</w:t>
            </w:r>
            <w:r>
              <w:rPr>
                <w:rFonts w:ascii="Times New Roman" w:hAnsi="Times New Roman" w:eastAsia="Times New Roman" w:cs="Times New Roman"/>
                <w:spacing w:val="-26"/>
                <w:sz w:val="20"/>
                <w:szCs w:val="20"/>
              </w:rPr>
              <w:t xml:space="preserve"> </w:t>
            </w:r>
            <w:r>
              <w:rPr>
                <w:spacing w:val="4"/>
                <w:sz w:val="20"/>
                <w:szCs w:val="20"/>
              </w:rPr>
              <w:t>、</w:t>
            </w:r>
            <w:r>
              <w:rPr>
                <w:rFonts w:ascii="Times New Roman" w:hAnsi="Times New Roman" w:eastAsia="Times New Roman" w:cs="Times New Roman"/>
                <w:sz w:val="20"/>
                <w:szCs w:val="20"/>
              </w:rPr>
              <w:t>NJ</w:t>
            </w:r>
            <w:r>
              <w:rPr>
                <w:rFonts w:ascii="Times New Roman" w:hAnsi="Times New Roman" w:eastAsia="Times New Roman" w:cs="Times New Roman"/>
                <w:spacing w:val="4"/>
                <w:sz w:val="20"/>
                <w:szCs w:val="20"/>
              </w:rPr>
              <w:t>15</w:t>
            </w:r>
          </w:p>
        </w:tc>
        <w:tc>
          <w:tcPr>
            <w:tcW w:w="848" w:type="dxa"/>
            <w:vAlign w:val="top"/>
          </w:tcPr>
          <w:p w14:paraId="54512A2A">
            <w:pPr>
              <w:spacing w:before="132" w:line="195" w:lineRule="auto"/>
              <w:ind w:left="34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709" w:type="dxa"/>
            <w:vAlign w:val="top"/>
          </w:tcPr>
          <w:p w14:paraId="051B4830">
            <w:pPr>
              <w:pStyle w:val="6"/>
              <w:spacing w:before="97" w:line="228" w:lineRule="auto"/>
              <w:ind w:left="258"/>
              <w:rPr>
                <w:sz w:val="20"/>
                <w:szCs w:val="20"/>
              </w:rPr>
            </w:pPr>
            <w:r>
              <w:rPr>
                <w:sz w:val="20"/>
                <w:szCs w:val="20"/>
              </w:rPr>
              <w:t>套</w:t>
            </w:r>
          </w:p>
        </w:tc>
        <w:tc>
          <w:tcPr>
            <w:tcW w:w="1964" w:type="dxa"/>
            <w:tcBorders>
              <w:right w:val="single" w:color="000000" w:sz="6" w:space="0"/>
            </w:tcBorders>
            <w:vAlign w:val="top"/>
          </w:tcPr>
          <w:p w14:paraId="316167D8">
            <w:pPr>
              <w:rPr>
                <w:rFonts w:ascii="Arial"/>
                <w:sz w:val="21"/>
              </w:rPr>
            </w:pPr>
          </w:p>
        </w:tc>
      </w:tr>
      <w:tr w14:paraId="1DE937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466" w:type="dxa"/>
            <w:vMerge w:val="continue"/>
            <w:tcBorders>
              <w:top w:val="nil"/>
              <w:left w:val="single" w:color="000000" w:sz="6" w:space="0"/>
              <w:bottom w:val="nil"/>
              <w:right w:val="single" w:color="000000" w:sz="2" w:space="0"/>
            </w:tcBorders>
            <w:vAlign w:val="top"/>
          </w:tcPr>
          <w:p w14:paraId="1E134225">
            <w:pPr>
              <w:rPr>
                <w:rFonts w:ascii="Arial"/>
                <w:sz w:val="21"/>
              </w:rPr>
            </w:pPr>
          </w:p>
        </w:tc>
        <w:tc>
          <w:tcPr>
            <w:tcW w:w="558" w:type="dxa"/>
            <w:vMerge w:val="restart"/>
            <w:tcBorders>
              <w:left w:val="single" w:color="000000" w:sz="2" w:space="0"/>
              <w:bottom w:val="nil"/>
            </w:tcBorders>
            <w:vAlign w:val="top"/>
          </w:tcPr>
          <w:p w14:paraId="2A8B03F6">
            <w:pPr>
              <w:spacing w:line="243" w:lineRule="auto"/>
              <w:rPr>
                <w:rFonts w:ascii="Arial"/>
                <w:sz w:val="21"/>
              </w:rPr>
            </w:pPr>
          </w:p>
          <w:p w14:paraId="3E8E6E13">
            <w:pPr>
              <w:spacing w:line="243" w:lineRule="auto"/>
              <w:rPr>
                <w:rFonts w:ascii="Arial"/>
                <w:sz w:val="21"/>
              </w:rPr>
            </w:pPr>
          </w:p>
          <w:p w14:paraId="4C8667C0">
            <w:pPr>
              <w:spacing w:before="58" w:line="192" w:lineRule="auto"/>
              <w:ind w:left="275"/>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692" w:type="dxa"/>
            <w:gridSpan w:val="2"/>
            <w:vMerge w:val="restart"/>
            <w:tcBorders>
              <w:bottom w:val="nil"/>
            </w:tcBorders>
            <w:vAlign w:val="top"/>
          </w:tcPr>
          <w:p w14:paraId="7AF06704">
            <w:pPr>
              <w:spacing w:line="307" w:lineRule="auto"/>
              <w:rPr>
                <w:rFonts w:ascii="Arial"/>
                <w:sz w:val="21"/>
              </w:rPr>
            </w:pPr>
          </w:p>
          <w:p w14:paraId="3860DFF0">
            <w:pPr>
              <w:pStyle w:val="6"/>
              <w:spacing w:before="65" w:line="257" w:lineRule="auto"/>
              <w:ind w:left="240" w:right="33" w:hanging="210"/>
              <w:rPr>
                <w:sz w:val="20"/>
                <w:szCs w:val="20"/>
              </w:rPr>
            </w:pPr>
            <w:r>
              <w:rPr>
                <w:spacing w:val="5"/>
                <w:sz w:val="20"/>
                <w:szCs w:val="20"/>
              </w:rPr>
              <w:t>发电机</w:t>
            </w:r>
            <w:r>
              <w:rPr>
                <w:sz w:val="20"/>
                <w:szCs w:val="20"/>
              </w:rPr>
              <w:t>组</w:t>
            </w:r>
          </w:p>
        </w:tc>
        <w:tc>
          <w:tcPr>
            <w:tcW w:w="1697" w:type="dxa"/>
            <w:vAlign w:val="top"/>
          </w:tcPr>
          <w:p w14:paraId="75D91580">
            <w:pPr>
              <w:pStyle w:val="6"/>
              <w:spacing w:before="97" w:line="227" w:lineRule="auto"/>
              <w:ind w:left="532"/>
              <w:rPr>
                <w:sz w:val="20"/>
                <w:szCs w:val="20"/>
              </w:rPr>
            </w:pPr>
            <w:r>
              <w:rPr>
                <w:spacing w:val="6"/>
                <w:sz w:val="20"/>
                <w:szCs w:val="20"/>
              </w:rPr>
              <w:t>柴油机</w:t>
            </w:r>
          </w:p>
        </w:tc>
        <w:tc>
          <w:tcPr>
            <w:tcW w:w="1981" w:type="dxa"/>
            <w:vAlign w:val="top"/>
          </w:tcPr>
          <w:p w14:paraId="4609C9A8">
            <w:pPr>
              <w:spacing w:before="133" w:line="195" w:lineRule="auto"/>
              <w:ind w:left="512"/>
              <w:rPr>
                <w:rFonts w:ascii="Times New Roman" w:hAnsi="Times New Roman" w:eastAsia="Times New Roman" w:cs="Times New Roman"/>
                <w:sz w:val="20"/>
                <w:szCs w:val="20"/>
              </w:rPr>
            </w:pPr>
            <w:r>
              <w:rPr>
                <w:rFonts w:ascii="Times New Roman" w:hAnsi="Times New Roman" w:eastAsia="Times New Roman" w:cs="Times New Roman"/>
                <w:sz w:val="20"/>
                <w:szCs w:val="20"/>
              </w:rPr>
              <w:t>CAT</w:t>
            </w:r>
            <w:r>
              <w:rPr>
                <w:rFonts w:ascii="Times New Roman" w:hAnsi="Times New Roman" w:eastAsia="Times New Roman" w:cs="Times New Roman"/>
                <w:spacing w:val="3"/>
                <w:sz w:val="20"/>
                <w:szCs w:val="20"/>
              </w:rPr>
              <w:t>3512B</w:t>
            </w:r>
          </w:p>
        </w:tc>
        <w:tc>
          <w:tcPr>
            <w:tcW w:w="848" w:type="dxa"/>
            <w:vAlign w:val="top"/>
          </w:tcPr>
          <w:p w14:paraId="4448E93F">
            <w:pPr>
              <w:spacing w:before="133" w:line="195" w:lineRule="auto"/>
              <w:ind w:left="37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709" w:type="dxa"/>
            <w:vAlign w:val="top"/>
          </w:tcPr>
          <w:p w14:paraId="143E3CB5">
            <w:pPr>
              <w:pStyle w:val="6"/>
              <w:spacing w:before="97" w:line="230" w:lineRule="auto"/>
              <w:ind w:left="273"/>
              <w:rPr>
                <w:sz w:val="20"/>
                <w:szCs w:val="20"/>
              </w:rPr>
            </w:pPr>
            <w:r>
              <w:rPr>
                <w:sz w:val="20"/>
                <w:szCs w:val="20"/>
              </w:rPr>
              <w:t>台</w:t>
            </w:r>
          </w:p>
        </w:tc>
        <w:tc>
          <w:tcPr>
            <w:tcW w:w="1964" w:type="dxa"/>
            <w:tcBorders>
              <w:right w:val="single" w:color="000000" w:sz="6" w:space="0"/>
            </w:tcBorders>
            <w:vAlign w:val="top"/>
          </w:tcPr>
          <w:p w14:paraId="4250C632">
            <w:pPr>
              <w:pStyle w:val="6"/>
              <w:spacing w:before="98" w:line="228" w:lineRule="auto"/>
              <w:ind w:left="516"/>
              <w:rPr>
                <w:sz w:val="20"/>
                <w:szCs w:val="20"/>
              </w:rPr>
            </w:pPr>
            <w:r>
              <w:rPr>
                <w:spacing w:val="7"/>
                <w:sz w:val="20"/>
                <w:szCs w:val="20"/>
              </w:rPr>
              <w:t>两用两备</w:t>
            </w:r>
          </w:p>
        </w:tc>
      </w:tr>
      <w:tr w14:paraId="6BCA77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466" w:type="dxa"/>
            <w:vMerge w:val="continue"/>
            <w:tcBorders>
              <w:top w:val="nil"/>
              <w:left w:val="single" w:color="000000" w:sz="6" w:space="0"/>
              <w:bottom w:val="nil"/>
              <w:right w:val="single" w:color="000000" w:sz="2" w:space="0"/>
            </w:tcBorders>
            <w:vAlign w:val="top"/>
          </w:tcPr>
          <w:p w14:paraId="176B7BAE">
            <w:pPr>
              <w:rPr>
                <w:rFonts w:ascii="Arial"/>
                <w:sz w:val="21"/>
              </w:rPr>
            </w:pPr>
          </w:p>
        </w:tc>
        <w:tc>
          <w:tcPr>
            <w:tcW w:w="558" w:type="dxa"/>
            <w:vMerge w:val="continue"/>
            <w:tcBorders>
              <w:top w:val="nil"/>
              <w:left w:val="single" w:color="000000" w:sz="2" w:space="0"/>
              <w:bottom w:val="nil"/>
            </w:tcBorders>
            <w:vAlign w:val="top"/>
          </w:tcPr>
          <w:p w14:paraId="461EC468">
            <w:pPr>
              <w:rPr>
                <w:rFonts w:ascii="Arial"/>
                <w:sz w:val="21"/>
              </w:rPr>
            </w:pPr>
          </w:p>
        </w:tc>
        <w:tc>
          <w:tcPr>
            <w:tcW w:w="692" w:type="dxa"/>
            <w:gridSpan w:val="2"/>
            <w:vMerge w:val="continue"/>
            <w:tcBorders>
              <w:top w:val="nil"/>
              <w:bottom w:val="nil"/>
            </w:tcBorders>
            <w:vAlign w:val="top"/>
          </w:tcPr>
          <w:p w14:paraId="2A00B435">
            <w:pPr>
              <w:rPr>
                <w:rFonts w:ascii="Arial"/>
                <w:sz w:val="21"/>
              </w:rPr>
            </w:pPr>
          </w:p>
        </w:tc>
        <w:tc>
          <w:tcPr>
            <w:tcW w:w="1697" w:type="dxa"/>
            <w:vAlign w:val="top"/>
          </w:tcPr>
          <w:p w14:paraId="103AE8B6">
            <w:pPr>
              <w:pStyle w:val="6"/>
              <w:spacing w:before="97" w:line="228" w:lineRule="auto"/>
              <w:ind w:left="220"/>
              <w:rPr>
                <w:sz w:val="20"/>
                <w:szCs w:val="20"/>
              </w:rPr>
            </w:pPr>
            <w:r>
              <w:rPr>
                <w:spacing w:val="7"/>
                <w:sz w:val="20"/>
                <w:szCs w:val="20"/>
              </w:rPr>
              <w:t>辅助发电系统</w:t>
            </w:r>
          </w:p>
        </w:tc>
        <w:tc>
          <w:tcPr>
            <w:tcW w:w="1981" w:type="dxa"/>
            <w:vAlign w:val="top"/>
          </w:tcPr>
          <w:p w14:paraId="2284D0C3">
            <w:pPr>
              <w:spacing w:before="133" w:line="195" w:lineRule="auto"/>
              <w:ind w:left="618"/>
              <w:rPr>
                <w:rFonts w:ascii="Times New Roman" w:hAnsi="Times New Roman" w:eastAsia="Times New Roman" w:cs="Times New Roman"/>
                <w:sz w:val="20"/>
                <w:szCs w:val="20"/>
              </w:rPr>
            </w:pPr>
            <w:r>
              <w:rPr>
                <w:rFonts w:ascii="Times New Roman" w:hAnsi="Times New Roman" w:eastAsia="Times New Roman" w:cs="Times New Roman"/>
                <w:sz w:val="20"/>
                <w:szCs w:val="20"/>
              </w:rPr>
              <w:t>CATC</w:t>
            </w:r>
            <w:r>
              <w:rPr>
                <w:rFonts w:ascii="Times New Roman" w:hAnsi="Times New Roman" w:eastAsia="Times New Roman" w:cs="Times New Roman"/>
                <w:spacing w:val="2"/>
                <w:sz w:val="20"/>
                <w:szCs w:val="20"/>
              </w:rPr>
              <w:t>15</w:t>
            </w:r>
          </w:p>
        </w:tc>
        <w:tc>
          <w:tcPr>
            <w:tcW w:w="848" w:type="dxa"/>
            <w:vAlign w:val="top"/>
          </w:tcPr>
          <w:p w14:paraId="113A149C">
            <w:pPr>
              <w:spacing w:before="133" w:line="195" w:lineRule="auto"/>
              <w:ind w:left="39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09" w:type="dxa"/>
            <w:vAlign w:val="top"/>
          </w:tcPr>
          <w:p w14:paraId="7F9A82CB">
            <w:pPr>
              <w:pStyle w:val="6"/>
              <w:spacing w:before="97" w:line="230" w:lineRule="auto"/>
              <w:ind w:left="273"/>
              <w:rPr>
                <w:sz w:val="20"/>
                <w:szCs w:val="20"/>
              </w:rPr>
            </w:pPr>
            <w:r>
              <w:rPr>
                <w:sz w:val="20"/>
                <w:szCs w:val="20"/>
              </w:rPr>
              <w:t>台</w:t>
            </w:r>
          </w:p>
        </w:tc>
        <w:tc>
          <w:tcPr>
            <w:tcW w:w="1964" w:type="dxa"/>
            <w:tcBorders>
              <w:right w:val="single" w:color="000000" w:sz="6" w:space="0"/>
            </w:tcBorders>
            <w:vAlign w:val="top"/>
          </w:tcPr>
          <w:p w14:paraId="2844B3A1">
            <w:pPr>
              <w:rPr>
                <w:rFonts w:ascii="Arial"/>
                <w:sz w:val="21"/>
              </w:rPr>
            </w:pPr>
          </w:p>
        </w:tc>
      </w:tr>
      <w:tr w14:paraId="0497A8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466" w:type="dxa"/>
            <w:vMerge w:val="continue"/>
            <w:tcBorders>
              <w:top w:val="nil"/>
              <w:left w:val="single" w:color="000000" w:sz="6" w:space="0"/>
              <w:bottom w:val="nil"/>
              <w:right w:val="single" w:color="000000" w:sz="2" w:space="0"/>
            </w:tcBorders>
            <w:vAlign w:val="top"/>
          </w:tcPr>
          <w:p w14:paraId="56460246">
            <w:pPr>
              <w:rPr>
                <w:rFonts w:ascii="Arial"/>
                <w:sz w:val="21"/>
              </w:rPr>
            </w:pPr>
          </w:p>
        </w:tc>
        <w:tc>
          <w:tcPr>
            <w:tcW w:w="558" w:type="dxa"/>
            <w:vMerge w:val="continue"/>
            <w:tcBorders>
              <w:top w:val="nil"/>
              <w:left w:val="single" w:color="000000" w:sz="2" w:space="0"/>
            </w:tcBorders>
            <w:vAlign w:val="top"/>
          </w:tcPr>
          <w:p w14:paraId="0A493EA8">
            <w:pPr>
              <w:rPr>
                <w:rFonts w:ascii="Arial"/>
                <w:sz w:val="21"/>
              </w:rPr>
            </w:pPr>
          </w:p>
        </w:tc>
        <w:tc>
          <w:tcPr>
            <w:tcW w:w="692" w:type="dxa"/>
            <w:gridSpan w:val="2"/>
            <w:vMerge w:val="continue"/>
            <w:tcBorders>
              <w:top w:val="nil"/>
            </w:tcBorders>
            <w:vAlign w:val="top"/>
          </w:tcPr>
          <w:p w14:paraId="69A43787">
            <w:pPr>
              <w:rPr>
                <w:rFonts w:ascii="Arial"/>
                <w:sz w:val="21"/>
              </w:rPr>
            </w:pPr>
          </w:p>
        </w:tc>
        <w:tc>
          <w:tcPr>
            <w:tcW w:w="1697" w:type="dxa"/>
            <w:vAlign w:val="top"/>
          </w:tcPr>
          <w:p w14:paraId="331872FF">
            <w:pPr>
              <w:pStyle w:val="6"/>
              <w:spacing w:before="98" w:line="228" w:lineRule="auto"/>
              <w:ind w:left="477"/>
              <w:rPr>
                <w:sz w:val="20"/>
                <w:szCs w:val="20"/>
              </w:rPr>
            </w:pPr>
            <w:r>
              <w:rPr>
                <w:rFonts w:ascii="Times New Roman" w:hAnsi="Times New Roman" w:eastAsia="Times New Roman" w:cs="Times New Roman"/>
                <w:sz w:val="20"/>
                <w:szCs w:val="20"/>
              </w:rPr>
              <w:t>MCC</w:t>
            </w:r>
            <w:r>
              <w:rPr>
                <w:rFonts w:ascii="Times New Roman" w:hAnsi="Times New Roman" w:eastAsia="Times New Roman" w:cs="Times New Roman"/>
                <w:spacing w:val="14"/>
                <w:sz w:val="20"/>
                <w:szCs w:val="20"/>
              </w:rPr>
              <w:t xml:space="preserve"> </w:t>
            </w:r>
            <w:r>
              <w:rPr>
                <w:spacing w:val="17"/>
                <w:sz w:val="20"/>
                <w:szCs w:val="20"/>
              </w:rPr>
              <w:t>房</w:t>
            </w:r>
          </w:p>
        </w:tc>
        <w:tc>
          <w:tcPr>
            <w:tcW w:w="1981" w:type="dxa"/>
            <w:vAlign w:val="top"/>
          </w:tcPr>
          <w:p w14:paraId="4A2B348C">
            <w:pPr>
              <w:spacing w:before="130" w:line="199"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600V/400V/230V</w:t>
            </w:r>
          </w:p>
        </w:tc>
        <w:tc>
          <w:tcPr>
            <w:tcW w:w="848" w:type="dxa"/>
            <w:vAlign w:val="top"/>
          </w:tcPr>
          <w:p w14:paraId="54B11A7A">
            <w:pPr>
              <w:spacing w:before="134" w:line="195" w:lineRule="auto"/>
              <w:ind w:left="39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09" w:type="dxa"/>
            <w:vAlign w:val="top"/>
          </w:tcPr>
          <w:p w14:paraId="64EF671B">
            <w:pPr>
              <w:pStyle w:val="6"/>
              <w:spacing w:before="97" w:line="230" w:lineRule="auto"/>
              <w:ind w:left="258"/>
              <w:rPr>
                <w:sz w:val="20"/>
                <w:szCs w:val="20"/>
              </w:rPr>
            </w:pPr>
            <w:r>
              <w:rPr>
                <w:sz w:val="20"/>
                <w:szCs w:val="20"/>
              </w:rPr>
              <w:t>座</w:t>
            </w:r>
          </w:p>
        </w:tc>
        <w:tc>
          <w:tcPr>
            <w:tcW w:w="1964" w:type="dxa"/>
            <w:tcBorders>
              <w:right w:val="single" w:color="000000" w:sz="6" w:space="0"/>
            </w:tcBorders>
            <w:vAlign w:val="top"/>
          </w:tcPr>
          <w:p w14:paraId="18AD4A69">
            <w:pPr>
              <w:rPr>
                <w:rFonts w:ascii="Arial"/>
                <w:sz w:val="21"/>
              </w:rPr>
            </w:pPr>
          </w:p>
        </w:tc>
      </w:tr>
      <w:tr w14:paraId="6E39C2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466" w:type="dxa"/>
            <w:vMerge w:val="continue"/>
            <w:tcBorders>
              <w:top w:val="nil"/>
              <w:left w:val="single" w:color="000000" w:sz="6" w:space="0"/>
              <w:bottom w:val="nil"/>
              <w:right w:val="single" w:color="000000" w:sz="2" w:space="0"/>
            </w:tcBorders>
            <w:vAlign w:val="top"/>
          </w:tcPr>
          <w:p w14:paraId="6EE93BEC">
            <w:pPr>
              <w:rPr>
                <w:rFonts w:ascii="Arial"/>
                <w:sz w:val="21"/>
              </w:rPr>
            </w:pPr>
          </w:p>
        </w:tc>
        <w:tc>
          <w:tcPr>
            <w:tcW w:w="558" w:type="dxa"/>
            <w:vMerge w:val="restart"/>
            <w:tcBorders>
              <w:left w:val="single" w:color="000000" w:sz="2" w:space="0"/>
              <w:bottom w:val="nil"/>
            </w:tcBorders>
            <w:vAlign w:val="top"/>
          </w:tcPr>
          <w:p w14:paraId="43BFD732">
            <w:pPr>
              <w:spacing w:line="242" w:lineRule="auto"/>
              <w:rPr>
                <w:rFonts w:ascii="Arial"/>
                <w:sz w:val="21"/>
              </w:rPr>
            </w:pPr>
          </w:p>
          <w:p w14:paraId="624AB296">
            <w:pPr>
              <w:spacing w:line="242" w:lineRule="auto"/>
              <w:rPr>
                <w:rFonts w:ascii="Arial"/>
                <w:sz w:val="21"/>
              </w:rPr>
            </w:pPr>
          </w:p>
          <w:p w14:paraId="1E4DD8CD">
            <w:pPr>
              <w:spacing w:before="58" w:line="195" w:lineRule="auto"/>
              <w:ind w:left="280"/>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692" w:type="dxa"/>
            <w:gridSpan w:val="2"/>
            <w:vMerge w:val="restart"/>
            <w:tcBorders>
              <w:bottom w:val="nil"/>
            </w:tcBorders>
            <w:vAlign w:val="top"/>
          </w:tcPr>
          <w:p w14:paraId="33B1C696">
            <w:pPr>
              <w:spacing w:line="308" w:lineRule="auto"/>
              <w:rPr>
                <w:rFonts w:ascii="Arial"/>
                <w:sz w:val="21"/>
              </w:rPr>
            </w:pPr>
          </w:p>
          <w:p w14:paraId="03968941">
            <w:pPr>
              <w:pStyle w:val="6"/>
              <w:spacing w:before="65" w:line="252" w:lineRule="auto"/>
              <w:ind w:left="27" w:right="33"/>
              <w:rPr>
                <w:sz w:val="20"/>
                <w:szCs w:val="20"/>
              </w:rPr>
            </w:pPr>
            <w:r>
              <w:rPr>
                <w:spacing w:val="6"/>
                <w:sz w:val="20"/>
                <w:szCs w:val="20"/>
              </w:rPr>
              <w:t>钻机控制系统</w:t>
            </w:r>
          </w:p>
        </w:tc>
        <w:tc>
          <w:tcPr>
            <w:tcW w:w="1697" w:type="dxa"/>
            <w:vAlign w:val="top"/>
          </w:tcPr>
          <w:p w14:paraId="7F664F70">
            <w:pPr>
              <w:pStyle w:val="6"/>
              <w:spacing w:before="98" w:line="227" w:lineRule="auto"/>
              <w:ind w:left="348"/>
              <w:rPr>
                <w:sz w:val="20"/>
                <w:szCs w:val="20"/>
              </w:rPr>
            </w:pPr>
            <w:r>
              <w:rPr>
                <w:spacing w:val="3"/>
                <w:sz w:val="20"/>
                <w:szCs w:val="20"/>
              </w:rPr>
              <w:t>电动压风机</w:t>
            </w:r>
          </w:p>
        </w:tc>
        <w:tc>
          <w:tcPr>
            <w:tcW w:w="1981" w:type="dxa"/>
            <w:vAlign w:val="top"/>
          </w:tcPr>
          <w:p w14:paraId="43C47A4D">
            <w:pPr>
              <w:spacing w:before="134" w:line="195" w:lineRule="auto"/>
              <w:ind w:left="324"/>
              <w:rPr>
                <w:rFonts w:ascii="Times New Roman" w:hAnsi="Times New Roman" w:eastAsia="Times New Roman" w:cs="Times New Roman"/>
                <w:sz w:val="20"/>
                <w:szCs w:val="20"/>
              </w:rPr>
            </w:pPr>
            <w:r>
              <w:rPr>
                <w:rFonts w:ascii="Times New Roman" w:hAnsi="Times New Roman" w:eastAsia="Times New Roman" w:cs="Times New Roman"/>
                <w:sz w:val="20"/>
                <w:szCs w:val="20"/>
              </w:rPr>
              <w:t>LS</w:t>
            </w:r>
            <w:r>
              <w:rPr>
                <w:rFonts w:ascii="Times New Roman" w:hAnsi="Times New Roman" w:eastAsia="Times New Roman" w:cs="Times New Roman"/>
                <w:spacing w:val="11"/>
                <w:sz w:val="20"/>
                <w:szCs w:val="20"/>
              </w:rPr>
              <w:t>12-50</w:t>
            </w:r>
            <w:r>
              <w:rPr>
                <w:rFonts w:ascii="Times New Roman" w:hAnsi="Times New Roman" w:eastAsia="Times New Roman" w:cs="Times New Roman"/>
                <w:sz w:val="20"/>
                <w:szCs w:val="20"/>
              </w:rPr>
              <w:t>HHAC</w:t>
            </w:r>
          </w:p>
        </w:tc>
        <w:tc>
          <w:tcPr>
            <w:tcW w:w="848" w:type="dxa"/>
            <w:vAlign w:val="top"/>
          </w:tcPr>
          <w:p w14:paraId="096E98D2">
            <w:pPr>
              <w:spacing w:before="134" w:line="195" w:lineRule="auto"/>
              <w:ind w:left="37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709" w:type="dxa"/>
            <w:vAlign w:val="top"/>
          </w:tcPr>
          <w:p w14:paraId="166387F1">
            <w:pPr>
              <w:pStyle w:val="6"/>
              <w:spacing w:before="98" w:line="230" w:lineRule="auto"/>
              <w:ind w:left="273"/>
              <w:rPr>
                <w:sz w:val="20"/>
                <w:szCs w:val="20"/>
              </w:rPr>
            </w:pPr>
            <w:r>
              <w:rPr>
                <w:sz w:val="20"/>
                <w:szCs w:val="20"/>
              </w:rPr>
              <w:t>台</w:t>
            </w:r>
          </w:p>
        </w:tc>
        <w:tc>
          <w:tcPr>
            <w:tcW w:w="1964" w:type="dxa"/>
            <w:tcBorders>
              <w:right w:val="single" w:color="000000" w:sz="6" w:space="0"/>
            </w:tcBorders>
            <w:vAlign w:val="top"/>
          </w:tcPr>
          <w:p w14:paraId="26CAB185">
            <w:pPr>
              <w:rPr>
                <w:rFonts w:ascii="Arial"/>
                <w:sz w:val="21"/>
              </w:rPr>
            </w:pPr>
          </w:p>
        </w:tc>
      </w:tr>
      <w:tr w14:paraId="2EA814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466" w:type="dxa"/>
            <w:vMerge w:val="continue"/>
            <w:tcBorders>
              <w:top w:val="nil"/>
              <w:left w:val="single" w:color="000000" w:sz="6" w:space="0"/>
              <w:bottom w:val="nil"/>
              <w:right w:val="single" w:color="000000" w:sz="2" w:space="0"/>
            </w:tcBorders>
            <w:vAlign w:val="top"/>
          </w:tcPr>
          <w:p w14:paraId="222AEDA2">
            <w:pPr>
              <w:rPr>
                <w:rFonts w:ascii="Arial"/>
                <w:sz w:val="21"/>
              </w:rPr>
            </w:pPr>
          </w:p>
        </w:tc>
        <w:tc>
          <w:tcPr>
            <w:tcW w:w="558" w:type="dxa"/>
            <w:vMerge w:val="continue"/>
            <w:tcBorders>
              <w:top w:val="nil"/>
              <w:left w:val="single" w:color="000000" w:sz="2" w:space="0"/>
              <w:bottom w:val="nil"/>
            </w:tcBorders>
            <w:vAlign w:val="top"/>
          </w:tcPr>
          <w:p w14:paraId="27FE9ED4">
            <w:pPr>
              <w:rPr>
                <w:rFonts w:ascii="Arial"/>
                <w:sz w:val="21"/>
              </w:rPr>
            </w:pPr>
          </w:p>
        </w:tc>
        <w:tc>
          <w:tcPr>
            <w:tcW w:w="692" w:type="dxa"/>
            <w:gridSpan w:val="2"/>
            <w:vMerge w:val="continue"/>
            <w:tcBorders>
              <w:top w:val="nil"/>
              <w:bottom w:val="nil"/>
            </w:tcBorders>
            <w:vAlign w:val="top"/>
          </w:tcPr>
          <w:p w14:paraId="2DA97A35">
            <w:pPr>
              <w:rPr>
                <w:rFonts w:ascii="Arial"/>
                <w:sz w:val="21"/>
              </w:rPr>
            </w:pPr>
          </w:p>
        </w:tc>
        <w:tc>
          <w:tcPr>
            <w:tcW w:w="1697" w:type="dxa"/>
            <w:vAlign w:val="top"/>
          </w:tcPr>
          <w:p w14:paraId="2787D7EC">
            <w:pPr>
              <w:pStyle w:val="6"/>
              <w:spacing w:before="98" w:line="228" w:lineRule="auto"/>
              <w:ind w:left="185"/>
              <w:rPr>
                <w:sz w:val="20"/>
                <w:szCs w:val="20"/>
              </w:rPr>
            </w:pPr>
            <w:r>
              <w:rPr>
                <w:rFonts w:ascii="Times New Roman" w:hAnsi="Times New Roman" w:eastAsia="Times New Roman" w:cs="Times New Roman"/>
                <w:sz w:val="20"/>
                <w:szCs w:val="20"/>
              </w:rPr>
              <w:t>VFD</w:t>
            </w:r>
            <w:r>
              <w:rPr>
                <w:rFonts w:ascii="Times New Roman" w:hAnsi="Times New Roman" w:eastAsia="Times New Roman" w:cs="Times New Roman"/>
                <w:spacing w:val="11"/>
                <w:sz w:val="20"/>
                <w:szCs w:val="20"/>
              </w:rPr>
              <w:t xml:space="preserve"> </w:t>
            </w:r>
            <w:r>
              <w:rPr>
                <w:spacing w:val="11"/>
                <w:sz w:val="20"/>
                <w:szCs w:val="20"/>
              </w:rPr>
              <w:t>控制系统</w:t>
            </w:r>
          </w:p>
        </w:tc>
        <w:tc>
          <w:tcPr>
            <w:tcW w:w="1981" w:type="dxa"/>
            <w:vAlign w:val="top"/>
          </w:tcPr>
          <w:p w14:paraId="0FED01BA">
            <w:pPr>
              <w:spacing w:before="134" w:line="195" w:lineRule="auto"/>
              <w:ind w:left="496"/>
              <w:rPr>
                <w:rFonts w:ascii="Times New Roman" w:hAnsi="Times New Roman" w:eastAsia="Times New Roman" w:cs="Times New Roman"/>
                <w:sz w:val="20"/>
                <w:szCs w:val="20"/>
              </w:rPr>
            </w:pPr>
            <w:r>
              <w:rPr>
                <w:rFonts w:ascii="Times New Roman" w:hAnsi="Times New Roman" w:eastAsia="Times New Roman" w:cs="Times New Roman"/>
                <w:sz w:val="20"/>
                <w:szCs w:val="20"/>
              </w:rPr>
              <w:t>SP</w:t>
            </w:r>
            <w:r>
              <w:rPr>
                <w:rFonts w:ascii="Times New Roman" w:hAnsi="Times New Roman" w:eastAsia="Times New Roman" w:cs="Times New Roman"/>
                <w:spacing w:val="4"/>
                <w:sz w:val="20"/>
                <w:szCs w:val="20"/>
              </w:rPr>
              <w:t>70L-37A</w:t>
            </w:r>
          </w:p>
        </w:tc>
        <w:tc>
          <w:tcPr>
            <w:tcW w:w="848" w:type="dxa"/>
            <w:vAlign w:val="top"/>
          </w:tcPr>
          <w:p w14:paraId="07E4BF75">
            <w:pPr>
              <w:spacing w:before="134" w:line="195" w:lineRule="auto"/>
              <w:ind w:left="39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09" w:type="dxa"/>
            <w:vAlign w:val="top"/>
          </w:tcPr>
          <w:p w14:paraId="2A937E98">
            <w:pPr>
              <w:pStyle w:val="6"/>
              <w:spacing w:before="98" w:line="228" w:lineRule="auto"/>
              <w:ind w:left="258"/>
              <w:rPr>
                <w:sz w:val="20"/>
                <w:szCs w:val="20"/>
              </w:rPr>
            </w:pPr>
            <w:r>
              <w:rPr>
                <w:sz w:val="20"/>
                <w:szCs w:val="20"/>
              </w:rPr>
              <w:t>套</w:t>
            </w:r>
          </w:p>
        </w:tc>
        <w:tc>
          <w:tcPr>
            <w:tcW w:w="1964" w:type="dxa"/>
            <w:tcBorders>
              <w:right w:val="single" w:color="000000" w:sz="6" w:space="0"/>
            </w:tcBorders>
            <w:vAlign w:val="top"/>
          </w:tcPr>
          <w:p w14:paraId="41FF99F2">
            <w:pPr>
              <w:rPr>
                <w:rFonts w:ascii="Arial"/>
                <w:sz w:val="21"/>
              </w:rPr>
            </w:pPr>
          </w:p>
        </w:tc>
      </w:tr>
      <w:tr w14:paraId="2F680F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466" w:type="dxa"/>
            <w:vMerge w:val="continue"/>
            <w:tcBorders>
              <w:top w:val="nil"/>
              <w:left w:val="single" w:color="000000" w:sz="6" w:space="0"/>
              <w:bottom w:val="nil"/>
              <w:right w:val="single" w:color="000000" w:sz="2" w:space="0"/>
            </w:tcBorders>
            <w:vAlign w:val="top"/>
          </w:tcPr>
          <w:p w14:paraId="56FF9055">
            <w:pPr>
              <w:rPr>
                <w:rFonts w:ascii="Arial"/>
                <w:sz w:val="21"/>
              </w:rPr>
            </w:pPr>
          </w:p>
        </w:tc>
        <w:tc>
          <w:tcPr>
            <w:tcW w:w="558" w:type="dxa"/>
            <w:vMerge w:val="continue"/>
            <w:tcBorders>
              <w:top w:val="nil"/>
              <w:left w:val="single" w:color="000000" w:sz="2" w:space="0"/>
            </w:tcBorders>
            <w:vAlign w:val="top"/>
          </w:tcPr>
          <w:p w14:paraId="3C68DF02">
            <w:pPr>
              <w:rPr>
                <w:rFonts w:ascii="Arial"/>
                <w:sz w:val="21"/>
              </w:rPr>
            </w:pPr>
          </w:p>
        </w:tc>
        <w:tc>
          <w:tcPr>
            <w:tcW w:w="692" w:type="dxa"/>
            <w:gridSpan w:val="2"/>
            <w:vMerge w:val="continue"/>
            <w:tcBorders>
              <w:top w:val="nil"/>
            </w:tcBorders>
            <w:vAlign w:val="top"/>
          </w:tcPr>
          <w:p w14:paraId="463B5237">
            <w:pPr>
              <w:rPr>
                <w:rFonts w:ascii="Arial"/>
                <w:sz w:val="21"/>
              </w:rPr>
            </w:pPr>
          </w:p>
        </w:tc>
        <w:tc>
          <w:tcPr>
            <w:tcW w:w="1697" w:type="dxa"/>
            <w:vAlign w:val="top"/>
          </w:tcPr>
          <w:p w14:paraId="052C48EC">
            <w:pPr>
              <w:pStyle w:val="6"/>
              <w:spacing w:before="99" w:line="228" w:lineRule="auto"/>
              <w:ind w:left="428"/>
              <w:rPr>
                <w:sz w:val="20"/>
                <w:szCs w:val="20"/>
              </w:rPr>
            </w:pPr>
            <w:r>
              <w:rPr>
                <w:spacing w:val="6"/>
                <w:sz w:val="20"/>
                <w:szCs w:val="20"/>
              </w:rPr>
              <w:t>液压盘刹</w:t>
            </w:r>
          </w:p>
        </w:tc>
        <w:tc>
          <w:tcPr>
            <w:tcW w:w="1981" w:type="dxa"/>
            <w:vAlign w:val="top"/>
          </w:tcPr>
          <w:p w14:paraId="7CC53D57">
            <w:pPr>
              <w:spacing w:before="134" w:line="195" w:lineRule="auto"/>
              <w:ind w:left="703"/>
              <w:rPr>
                <w:rFonts w:ascii="Times New Roman" w:hAnsi="Times New Roman" w:eastAsia="Times New Roman" w:cs="Times New Roman"/>
                <w:sz w:val="20"/>
                <w:szCs w:val="20"/>
              </w:rPr>
            </w:pPr>
            <w:r>
              <w:rPr>
                <w:rFonts w:ascii="Times New Roman" w:hAnsi="Times New Roman" w:eastAsia="Times New Roman" w:cs="Times New Roman"/>
                <w:sz w:val="20"/>
                <w:szCs w:val="20"/>
              </w:rPr>
              <w:t>PSZ</w:t>
            </w:r>
            <w:r>
              <w:rPr>
                <w:rFonts w:ascii="Times New Roman" w:hAnsi="Times New Roman" w:eastAsia="Times New Roman" w:cs="Times New Roman"/>
                <w:spacing w:val="10"/>
                <w:sz w:val="20"/>
                <w:szCs w:val="20"/>
              </w:rPr>
              <w:t>75</w:t>
            </w:r>
          </w:p>
        </w:tc>
        <w:tc>
          <w:tcPr>
            <w:tcW w:w="848" w:type="dxa"/>
            <w:vAlign w:val="top"/>
          </w:tcPr>
          <w:p w14:paraId="4EE07E66">
            <w:pPr>
              <w:spacing w:before="135" w:line="195" w:lineRule="auto"/>
              <w:ind w:left="39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09" w:type="dxa"/>
            <w:vAlign w:val="top"/>
          </w:tcPr>
          <w:p w14:paraId="2188491C">
            <w:pPr>
              <w:pStyle w:val="6"/>
              <w:spacing w:before="99" w:line="228" w:lineRule="auto"/>
              <w:ind w:left="258"/>
              <w:rPr>
                <w:sz w:val="20"/>
                <w:szCs w:val="20"/>
              </w:rPr>
            </w:pPr>
            <w:r>
              <w:rPr>
                <w:sz w:val="20"/>
                <w:szCs w:val="20"/>
              </w:rPr>
              <w:t>套</w:t>
            </w:r>
          </w:p>
        </w:tc>
        <w:tc>
          <w:tcPr>
            <w:tcW w:w="1964" w:type="dxa"/>
            <w:tcBorders>
              <w:right w:val="single" w:color="000000" w:sz="6" w:space="0"/>
            </w:tcBorders>
            <w:vAlign w:val="top"/>
          </w:tcPr>
          <w:p w14:paraId="12AE5883">
            <w:pPr>
              <w:rPr>
                <w:rFonts w:ascii="Arial"/>
                <w:sz w:val="21"/>
              </w:rPr>
            </w:pPr>
          </w:p>
        </w:tc>
      </w:tr>
      <w:tr w14:paraId="3ECA63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466" w:type="dxa"/>
            <w:vMerge w:val="continue"/>
            <w:tcBorders>
              <w:top w:val="nil"/>
              <w:left w:val="single" w:color="000000" w:sz="6" w:space="0"/>
              <w:bottom w:val="nil"/>
              <w:right w:val="single" w:color="000000" w:sz="2" w:space="0"/>
            </w:tcBorders>
            <w:vAlign w:val="top"/>
          </w:tcPr>
          <w:p w14:paraId="301881C6">
            <w:pPr>
              <w:rPr>
                <w:rFonts w:ascii="Arial"/>
                <w:sz w:val="21"/>
              </w:rPr>
            </w:pPr>
          </w:p>
        </w:tc>
        <w:tc>
          <w:tcPr>
            <w:tcW w:w="558" w:type="dxa"/>
            <w:vMerge w:val="restart"/>
            <w:tcBorders>
              <w:left w:val="single" w:color="000000" w:sz="2" w:space="0"/>
              <w:bottom w:val="nil"/>
            </w:tcBorders>
            <w:vAlign w:val="top"/>
          </w:tcPr>
          <w:p w14:paraId="03CB905C">
            <w:pPr>
              <w:spacing w:line="345" w:lineRule="auto"/>
              <w:rPr>
                <w:rFonts w:ascii="Arial"/>
                <w:sz w:val="21"/>
              </w:rPr>
            </w:pPr>
          </w:p>
          <w:p w14:paraId="66E66449">
            <w:pPr>
              <w:spacing w:line="346" w:lineRule="auto"/>
              <w:rPr>
                <w:rFonts w:ascii="Arial"/>
                <w:sz w:val="21"/>
              </w:rPr>
            </w:pPr>
          </w:p>
          <w:p w14:paraId="72BAC046">
            <w:pPr>
              <w:spacing w:before="58" w:line="195" w:lineRule="auto"/>
              <w:ind w:left="275"/>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692" w:type="dxa"/>
            <w:gridSpan w:val="2"/>
            <w:vMerge w:val="restart"/>
            <w:tcBorders>
              <w:bottom w:val="nil"/>
            </w:tcBorders>
            <w:vAlign w:val="top"/>
          </w:tcPr>
          <w:p w14:paraId="233A3155">
            <w:pPr>
              <w:spacing w:line="258" w:lineRule="auto"/>
              <w:rPr>
                <w:rFonts w:ascii="Arial"/>
                <w:sz w:val="21"/>
              </w:rPr>
            </w:pPr>
          </w:p>
          <w:p w14:paraId="40C3CEA4">
            <w:pPr>
              <w:spacing w:line="258" w:lineRule="auto"/>
              <w:rPr>
                <w:rFonts w:ascii="Arial"/>
                <w:sz w:val="21"/>
              </w:rPr>
            </w:pPr>
          </w:p>
          <w:p w14:paraId="312C5F8E">
            <w:pPr>
              <w:pStyle w:val="6"/>
              <w:spacing w:before="65" w:line="252" w:lineRule="auto"/>
              <w:ind w:left="243" w:right="33" w:hanging="198"/>
              <w:rPr>
                <w:sz w:val="20"/>
                <w:szCs w:val="20"/>
              </w:rPr>
            </w:pPr>
            <w:r>
              <w:rPr>
                <w:sz w:val="20"/>
                <w:szCs w:val="20"/>
              </w:rPr>
              <w:t>固控系统</w:t>
            </w:r>
          </w:p>
        </w:tc>
        <w:tc>
          <w:tcPr>
            <w:tcW w:w="1697" w:type="dxa"/>
            <w:vAlign w:val="top"/>
          </w:tcPr>
          <w:p w14:paraId="46D10124">
            <w:pPr>
              <w:pStyle w:val="6"/>
              <w:spacing w:before="100" w:line="228" w:lineRule="auto"/>
              <w:ind w:left="532"/>
              <w:rPr>
                <w:sz w:val="20"/>
                <w:szCs w:val="20"/>
              </w:rPr>
            </w:pPr>
            <w:r>
              <w:rPr>
                <w:spacing w:val="7"/>
                <w:sz w:val="20"/>
                <w:szCs w:val="20"/>
              </w:rPr>
              <w:t>振动筛</w:t>
            </w:r>
          </w:p>
        </w:tc>
        <w:tc>
          <w:tcPr>
            <w:tcW w:w="1981" w:type="dxa"/>
            <w:vAlign w:val="top"/>
          </w:tcPr>
          <w:p w14:paraId="756026FA">
            <w:pPr>
              <w:spacing w:before="132" w:line="199" w:lineRule="auto"/>
              <w:ind w:left="613"/>
              <w:rPr>
                <w:rFonts w:ascii="Times New Roman" w:hAnsi="Times New Roman" w:eastAsia="Times New Roman" w:cs="Times New Roman"/>
                <w:sz w:val="20"/>
                <w:szCs w:val="20"/>
              </w:rPr>
            </w:pPr>
            <w:r>
              <w:rPr>
                <w:rFonts w:ascii="Times New Roman" w:hAnsi="Times New Roman" w:eastAsia="Times New Roman" w:cs="Times New Roman"/>
                <w:sz w:val="20"/>
                <w:szCs w:val="20"/>
              </w:rPr>
              <w:t>ZS</w:t>
            </w:r>
            <w:r>
              <w:rPr>
                <w:rFonts w:ascii="Times New Roman" w:hAnsi="Times New Roman" w:eastAsia="Times New Roman" w:cs="Times New Roman"/>
                <w:spacing w:val="10"/>
                <w:sz w:val="20"/>
                <w:szCs w:val="20"/>
              </w:rPr>
              <w:t>-Z/</w:t>
            </w:r>
            <w:r>
              <w:rPr>
                <w:rFonts w:ascii="Times New Roman" w:hAnsi="Times New Roman" w:eastAsia="Times New Roman" w:cs="Times New Roman"/>
                <w:sz w:val="20"/>
                <w:szCs w:val="20"/>
              </w:rPr>
              <w:t>PT</w:t>
            </w:r>
          </w:p>
        </w:tc>
        <w:tc>
          <w:tcPr>
            <w:tcW w:w="848" w:type="dxa"/>
            <w:vAlign w:val="top"/>
          </w:tcPr>
          <w:p w14:paraId="44A6B5D7">
            <w:pPr>
              <w:spacing w:before="136" w:line="195" w:lineRule="auto"/>
              <w:ind w:left="37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709" w:type="dxa"/>
            <w:vAlign w:val="top"/>
          </w:tcPr>
          <w:p w14:paraId="41F57792">
            <w:pPr>
              <w:pStyle w:val="6"/>
              <w:spacing w:before="100" w:line="230" w:lineRule="auto"/>
              <w:ind w:left="258"/>
              <w:rPr>
                <w:sz w:val="20"/>
                <w:szCs w:val="20"/>
              </w:rPr>
            </w:pPr>
            <w:r>
              <w:rPr>
                <w:sz w:val="20"/>
                <w:szCs w:val="20"/>
              </w:rPr>
              <w:t>座</w:t>
            </w:r>
          </w:p>
        </w:tc>
        <w:tc>
          <w:tcPr>
            <w:tcW w:w="1964" w:type="dxa"/>
            <w:tcBorders>
              <w:right w:val="single" w:color="000000" w:sz="6" w:space="0"/>
            </w:tcBorders>
            <w:vAlign w:val="top"/>
          </w:tcPr>
          <w:p w14:paraId="730D9F4B">
            <w:pPr>
              <w:pStyle w:val="6"/>
              <w:spacing w:before="101" w:line="228" w:lineRule="auto"/>
              <w:ind w:left="516"/>
              <w:rPr>
                <w:sz w:val="20"/>
                <w:szCs w:val="20"/>
              </w:rPr>
            </w:pPr>
            <w:r>
              <w:rPr>
                <w:spacing w:val="7"/>
                <w:sz w:val="20"/>
                <w:szCs w:val="20"/>
              </w:rPr>
              <w:t>两用一备</w:t>
            </w:r>
          </w:p>
        </w:tc>
      </w:tr>
      <w:tr w14:paraId="0C70A1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466" w:type="dxa"/>
            <w:vMerge w:val="continue"/>
            <w:tcBorders>
              <w:top w:val="nil"/>
              <w:left w:val="single" w:color="000000" w:sz="6" w:space="0"/>
              <w:bottom w:val="nil"/>
              <w:right w:val="single" w:color="000000" w:sz="2" w:space="0"/>
            </w:tcBorders>
            <w:vAlign w:val="top"/>
          </w:tcPr>
          <w:p w14:paraId="1A038F86">
            <w:pPr>
              <w:rPr>
                <w:rFonts w:ascii="Arial"/>
                <w:sz w:val="21"/>
              </w:rPr>
            </w:pPr>
          </w:p>
        </w:tc>
        <w:tc>
          <w:tcPr>
            <w:tcW w:w="558" w:type="dxa"/>
            <w:vMerge w:val="continue"/>
            <w:tcBorders>
              <w:top w:val="nil"/>
              <w:left w:val="single" w:color="000000" w:sz="2" w:space="0"/>
              <w:bottom w:val="nil"/>
            </w:tcBorders>
            <w:vAlign w:val="top"/>
          </w:tcPr>
          <w:p w14:paraId="20C9E575">
            <w:pPr>
              <w:rPr>
                <w:rFonts w:ascii="Arial"/>
                <w:sz w:val="21"/>
              </w:rPr>
            </w:pPr>
          </w:p>
        </w:tc>
        <w:tc>
          <w:tcPr>
            <w:tcW w:w="692" w:type="dxa"/>
            <w:gridSpan w:val="2"/>
            <w:vMerge w:val="continue"/>
            <w:tcBorders>
              <w:top w:val="nil"/>
              <w:bottom w:val="nil"/>
            </w:tcBorders>
            <w:vAlign w:val="top"/>
          </w:tcPr>
          <w:p w14:paraId="136D435C">
            <w:pPr>
              <w:rPr>
                <w:rFonts w:ascii="Arial"/>
                <w:sz w:val="21"/>
              </w:rPr>
            </w:pPr>
          </w:p>
        </w:tc>
        <w:tc>
          <w:tcPr>
            <w:tcW w:w="1697" w:type="dxa"/>
            <w:vAlign w:val="top"/>
          </w:tcPr>
          <w:p w14:paraId="009C4457">
            <w:pPr>
              <w:pStyle w:val="6"/>
              <w:spacing w:before="99" w:line="228" w:lineRule="auto"/>
              <w:ind w:left="532"/>
              <w:rPr>
                <w:sz w:val="20"/>
                <w:szCs w:val="20"/>
              </w:rPr>
            </w:pPr>
            <w:r>
              <w:rPr>
                <w:spacing w:val="6"/>
                <w:sz w:val="20"/>
                <w:szCs w:val="20"/>
              </w:rPr>
              <w:t>清洁器</w:t>
            </w:r>
          </w:p>
        </w:tc>
        <w:tc>
          <w:tcPr>
            <w:tcW w:w="1981" w:type="dxa"/>
            <w:vAlign w:val="top"/>
          </w:tcPr>
          <w:p w14:paraId="0A8A8450">
            <w:pPr>
              <w:spacing w:before="132" w:line="200" w:lineRule="auto"/>
              <w:ind w:left="186"/>
              <w:rPr>
                <w:rFonts w:ascii="Times New Roman" w:hAnsi="Times New Roman" w:eastAsia="Times New Roman" w:cs="Times New Roman"/>
                <w:sz w:val="20"/>
                <w:szCs w:val="20"/>
              </w:rPr>
            </w:pPr>
            <w:r>
              <w:rPr>
                <w:rFonts w:ascii="Times New Roman" w:hAnsi="Times New Roman" w:eastAsia="Times New Roman" w:cs="Times New Roman"/>
                <w:sz w:val="20"/>
                <w:szCs w:val="20"/>
              </w:rPr>
              <w:t>QJ</w:t>
            </w:r>
            <w:r>
              <w:rPr>
                <w:rFonts w:ascii="Times New Roman" w:hAnsi="Times New Roman" w:eastAsia="Times New Roman" w:cs="Times New Roman"/>
                <w:spacing w:val="3"/>
                <w:sz w:val="20"/>
                <w:szCs w:val="20"/>
              </w:rPr>
              <w:t>/300X2-</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3"/>
                <w:sz w:val="20"/>
                <w:szCs w:val="20"/>
              </w:rPr>
              <w:t>100X12</w:t>
            </w:r>
          </w:p>
        </w:tc>
        <w:tc>
          <w:tcPr>
            <w:tcW w:w="848" w:type="dxa"/>
            <w:vAlign w:val="top"/>
          </w:tcPr>
          <w:p w14:paraId="4C69D518">
            <w:pPr>
              <w:spacing w:before="135" w:line="195" w:lineRule="auto"/>
              <w:ind w:left="39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09" w:type="dxa"/>
            <w:vAlign w:val="top"/>
          </w:tcPr>
          <w:p w14:paraId="268E8A0B">
            <w:pPr>
              <w:pStyle w:val="6"/>
              <w:spacing w:before="99" w:line="230" w:lineRule="auto"/>
              <w:ind w:left="273"/>
              <w:rPr>
                <w:sz w:val="20"/>
                <w:szCs w:val="20"/>
              </w:rPr>
            </w:pPr>
            <w:r>
              <w:rPr>
                <w:sz w:val="20"/>
                <w:szCs w:val="20"/>
              </w:rPr>
              <w:t>台</w:t>
            </w:r>
          </w:p>
        </w:tc>
        <w:tc>
          <w:tcPr>
            <w:tcW w:w="1964" w:type="dxa"/>
            <w:tcBorders>
              <w:right w:val="single" w:color="000000" w:sz="6" w:space="0"/>
            </w:tcBorders>
            <w:vAlign w:val="top"/>
          </w:tcPr>
          <w:p w14:paraId="32ABDC85">
            <w:pPr>
              <w:rPr>
                <w:rFonts w:ascii="Arial"/>
                <w:sz w:val="21"/>
              </w:rPr>
            </w:pPr>
          </w:p>
        </w:tc>
      </w:tr>
      <w:tr w14:paraId="25EC43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466" w:type="dxa"/>
            <w:vMerge w:val="continue"/>
            <w:tcBorders>
              <w:top w:val="nil"/>
              <w:left w:val="single" w:color="000000" w:sz="6" w:space="0"/>
              <w:bottom w:val="nil"/>
              <w:right w:val="single" w:color="000000" w:sz="2" w:space="0"/>
            </w:tcBorders>
            <w:vAlign w:val="top"/>
          </w:tcPr>
          <w:p w14:paraId="068DD3A6">
            <w:pPr>
              <w:rPr>
                <w:rFonts w:ascii="Arial"/>
                <w:sz w:val="21"/>
              </w:rPr>
            </w:pPr>
          </w:p>
        </w:tc>
        <w:tc>
          <w:tcPr>
            <w:tcW w:w="558" w:type="dxa"/>
            <w:vMerge w:val="continue"/>
            <w:tcBorders>
              <w:top w:val="nil"/>
              <w:left w:val="single" w:color="000000" w:sz="2" w:space="0"/>
              <w:bottom w:val="nil"/>
            </w:tcBorders>
            <w:vAlign w:val="top"/>
          </w:tcPr>
          <w:p w14:paraId="498CDB1A">
            <w:pPr>
              <w:rPr>
                <w:rFonts w:ascii="Arial"/>
                <w:sz w:val="21"/>
              </w:rPr>
            </w:pPr>
          </w:p>
        </w:tc>
        <w:tc>
          <w:tcPr>
            <w:tcW w:w="692" w:type="dxa"/>
            <w:gridSpan w:val="2"/>
            <w:vMerge w:val="continue"/>
            <w:tcBorders>
              <w:top w:val="nil"/>
              <w:bottom w:val="nil"/>
            </w:tcBorders>
            <w:vAlign w:val="top"/>
          </w:tcPr>
          <w:p w14:paraId="47B5AE6A">
            <w:pPr>
              <w:rPr>
                <w:rFonts w:ascii="Arial"/>
                <w:sz w:val="21"/>
              </w:rPr>
            </w:pPr>
          </w:p>
        </w:tc>
        <w:tc>
          <w:tcPr>
            <w:tcW w:w="1697" w:type="dxa"/>
            <w:vAlign w:val="top"/>
          </w:tcPr>
          <w:p w14:paraId="7D48516C">
            <w:pPr>
              <w:pStyle w:val="6"/>
              <w:spacing w:before="100" w:line="227" w:lineRule="auto"/>
              <w:ind w:left="343"/>
              <w:rPr>
                <w:sz w:val="20"/>
                <w:szCs w:val="20"/>
              </w:rPr>
            </w:pPr>
            <w:r>
              <w:rPr>
                <w:spacing w:val="4"/>
                <w:sz w:val="20"/>
                <w:szCs w:val="20"/>
              </w:rPr>
              <w:t>中速离心机</w:t>
            </w:r>
          </w:p>
        </w:tc>
        <w:tc>
          <w:tcPr>
            <w:tcW w:w="1981" w:type="dxa"/>
            <w:vAlign w:val="top"/>
          </w:tcPr>
          <w:p w14:paraId="6ED24524">
            <w:pPr>
              <w:spacing w:before="136" w:line="195" w:lineRule="auto"/>
              <w:ind w:left="355"/>
              <w:rPr>
                <w:rFonts w:ascii="Times New Roman" w:hAnsi="Times New Roman" w:eastAsia="Times New Roman" w:cs="Times New Roman"/>
                <w:sz w:val="20"/>
                <w:szCs w:val="20"/>
              </w:rPr>
            </w:pPr>
            <w:r>
              <w:rPr>
                <w:rFonts w:ascii="Times New Roman" w:hAnsi="Times New Roman" w:eastAsia="Times New Roman" w:cs="Times New Roman"/>
                <w:sz w:val="20"/>
                <w:szCs w:val="20"/>
              </w:rPr>
              <w:t>LW</w:t>
            </w:r>
            <w:r>
              <w:rPr>
                <w:rFonts w:ascii="Times New Roman" w:hAnsi="Times New Roman" w:eastAsia="Times New Roman" w:cs="Times New Roman"/>
                <w:spacing w:val="1"/>
                <w:sz w:val="20"/>
                <w:szCs w:val="20"/>
              </w:rPr>
              <w:t>600-</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1"/>
                <w:sz w:val="20"/>
                <w:szCs w:val="20"/>
              </w:rPr>
              <w:t>1019N</w:t>
            </w:r>
          </w:p>
        </w:tc>
        <w:tc>
          <w:tcPr>
            <w:tcW w:w="848" w:type="dxa"/>
            <w:vAlign w:val="top"/>
          </w:tcPr>
          <w:p w14:paraId="5D8E2BA2">
            <w:pPr>
              <w:spacing w:before="137" w:line="195" w:lineRule="auto"/>
              <w:ind w:left="39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09" w:type="dxa"/>
            <w:vAlign w:val="top"/>
          </w:tcPr>
          <w:p w14:paraId="38FBE757">
            <w:pPr>
              <w:pStyle w:val="6"/>
              <w:spacing w:before="100" w:line="230" w:lineRule="auto"/>
              <w:ind w:left="273"/>
              <w:rPr>
                <w:sz w:val="20"/>
                <w:szCs w:val="20"/>
              </w:rPr>
            </w:pPr>
            <w:r>
              <w:rPr>
                <w:sz w:val="20"/>
                <w:szCs w:val="20"/>
              </w:rPr>
              <w:t>台</w:t>
            </w:r>
          </w:p>
        </w:tc>
        <w:tc>
          <w:tcPr>
            <w:tcW w:w="1964" w:type="dxa"/>
            <w:tcBorders>
              <w:right w:val="single" w:color="000000" w:sz="6" w:space="0"/>
            </w:tcBorders>
            <w:vAlign w:val="top"/>
          </w:tcPr>
          <w:p w14:paraId="4FC964FC">
            <w:pPr>
              <w:rPr>
                <w:rFonts w:ascii="Arial"/>
                <w:sz w:val="21"/>
              </w:rPr>
            </w:pPr>
          </w:p>
        </w:tc>
      </w:tr>
      <w:tr w14:paraId="4D6E1C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466" w:type="dxa"/>
            <w:vMerge w:val="continue"/>
            <w:tcBorders>
              <w:top w:val="nil"/>
              <w:left w:val="single" w:color="000000" w:sz="6" w:space="0"/>
              <w:bottom w:val="nil"/>
              <w:right w:val="single" w:color="000000" w:sz="2" w:space="0"/>
            </w:tcBorders>
            <w:vAlign w:val="top"/>
          </w:tcPr>
          <w:p w14:paraId="476D3B34">
            <w:pPr>
              <w:rPr>
                <w:rFonts w:ascii="Arial"/>
                <w:sz w:val="21"/>
              </w:rPr>
            </w:pPr>
          </w:p>
        </w:tc>
        <w:tc>
          <w:tcPr>
            <w:tcW w:w="558" w:type="dxa"/>
            <w:vMerge w:val="continue"/>
            <w:tcBorders>
              <w:top w:val="nil"/>
              <w:left w:val="single" w:color="000000" w:sz="2" w:space="0"/>
            </w:tcBorders>
            <w:vAlign w:val="top"/>
          </w:tcPr>
          <w:p w14:paraId="2CF57D9C">
            <w:pPr>
              <w:rPr>
                <w:rFonts w:ascii="Arial"/>
                <w:sz w:val="21"/>
              </w:rPr>
            </w:pPr>
          </w:p>
        </w:tc>
        <w:tc>
          <w:tcPr>
            <w:tcW w:w="692" w:type="dxa"/>
            <w:gridSpan w:val="2"/>
            <w:vMerge w:val="continue"/>
            <w:tcBorders>
              <w:top w:val="nil"/>
            </w:tcBorders>
            <w:vAlign w:val="top"/>
          </w:tcPr>
          <w:p w14:paraId="380E03E4">
            <w:pPr>
              <w:rPr>
                <w:rFonts w:ascii="Arial"/>
                <w:sz w:val="21"/>
              </w:rPr>
            </w:pPr>
          </w:p>
        </w:tc>
        <w:tc>
          <w:tcPr>
            <w:tcW w:w="1697" w:type="dxa"/>
            <w:vAlign w:val="top"/>
          </w:tcPr>
          <w:p w14:paraId="5A46BE87">
            <w:pPr>
              <w:pStyle w:val="6"/>
              <w:spacing w:before="102" w:line="227" w:lineRule="auto"/>
              <w:ind w:left="329"/>
              <w:rPr>
                <w:sz w:val="20"/>
                <w:szCs w:val="20"/>
              </w:rPr>
            </w:pPr>
            <w:r>
              <w:rPr>
                <w:spacing w:val="7"/>
                <w:sz w:val="20"/>
                <w:szCs w:val="20"/>
              </w:rPr>
              <w:t>高速离心机</w:t>
            </w:r>
          </w:p>
        </w:tc>
        <w:tc>
          <w:tcPr>
            <w:tcW w:w="1981" w:type="dxa"/>
            <w:vAlign w:val="top"/>
          </w:tcPr>
          <w:p w14:paraId="7D216306">
            <w:pPr>
              <w:spacing w:before="138" w:line="195" w:lineRule="auto"/>
              <w:ind w:left="180"/>
              <w:rPr>
                <w:rFonts w:ascii="Times New Roman" w:hAnsi="Times New Roman" w:eastAsia="Times New Roman" w:cs="Times New Roman"/>
                <w:sz w:val="20"/>
                <w:szCs w:val="20"/>
              </w:rPr>
            </w:pPr>
            <w:r>
              <w:rPr>
                <w:rFonts w:ascii="Times New Roman" w:hAnsi="Times New Roman" w:eastAsia="Times New Roman" w:cs="Times New Roman"/>
                <w:sz w:val="20"/>
                <w:szCs w:val="20"/>
              </w:rPr>
              <w:t>LW</w:t>
            </w:r>
            <w:r>
              <w:rPr>
                <w:rFonts w:ascii="Times New Roman" w:hAnsi="Times New Roman" w:eastAsia="Times New Roman" w:cs="Times New Roman"/>
                <w:spacing w:val="2"/>
                <w:sz w:val="20"/>
                <w:szCs w:val="20"/>
              </w:rPr>
              <w:t>355-</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pacing w:val="2"/>
                <w:sz w:val="20"/>
                <w:szCs w:val="20"/>
              </w:rPr>
              <w:t>1257-N-35</w:t>
            </w:r>
          </w:p>
        </w:tc>
        <w:tc>
          <w:tcPr>
            <w:tcW w:w="848" w:type="dxa"/>
            <w:vAlign w:val="top"/>
          </w:tcPr>
          <w:p w14:paraId="19FFF97B">
            <w:pPr>
              <w:spacing w:before="138" w:line="195" w:lineRule="auto"/>
              <w:ind w:left="39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09" w:type="dxa"/>
            <w:vAlign w:val="top"/>
          </w:tcPr>
          <w:p w14:paraId="4812F869">
            <w:pPr>
              <w:pStyle w:val="6"/>
              <w:spacing w:before="102" w:line="230" w:lineRule="auto"/>
              <w:ind w:left="273"/>
              <w:rPr>
                <w:sz w:val="20"/>
                <w:szCs w:val="20"/>
              </w:rPr>
            </w:pPr>
            <w:r>
              <w:rPr>
                <w:sz w:val="20"/>
                <w:szCs w:val="20"/>
              </w:rPr>
              <w:t>台</w:t>
            </w:r>
          </w:p>
        </w:tc>
        <w:tc>
          <w:tcPr>
            <w:tcW w:w="1964" w:type="dxa"/>
            <w:tcBorders>
              <w:right w:val="single" w:color="000000" w:sz="6" w:space="0"/>
            </w:tcBorders>
            <w:vAlign w:val="top"/>
          </w:tcPr>
          <w:p w14:paraId="73BD1D0D">
            <w:pPr>
              <w:rPr>
                <w:rFonts w:ascii="Arial"/>
                <w:sz w:val="21"/>
              </w:rPr>
            </w:pPr>
          </w:p>
        </w:tc>
      </w:tr>
      <w:tr w14:paraId="6E53AE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466" w:type="dxa"/>
            <w:vMerge w:val="continue"/>
            <w:tcBorders>
              <w:top w:val="nil"/>
              <w:left w:val="single" w:color="000000" w:sz="6" w:space="0"/>
              <w:bottom w:val="nil"/>
              <w:right w:val="single" w:color="000000" w:sz="2" w:space="0"/>
            </w:tcBorders>
            <w:vAlign w:val="top"/>
          </w:tcPr>
          <w:p w14:paraId="7A16C920">
            <w:pPr>
              <w:rPr>
                <w:rFonts w:ascii="Arial"/>
                <w:sz w:val="21"/>
              </w:rPr>
            </w:pPr>
          </w:p>
        </w:tc>
        <w:tc>
          <w:tcPr>
            <w:tcW w:w="558" w:type="dxa"/>
            <w:vMerge w:val="restart"/>
            <w:tcBorders>
              <w:left w:val="single" w:color="000000" w:sz="2" w:space="0"/>
              <w:bottom w:val="nil"/>
            </w:tcBorders>
            <w:vAlign w:val="top"/>
          </w:tcPr>
          <w:p w14:paraId="49C6AE52">
            <w:pPr>
              <w:spacing w:line="284" w:lineRule="auto"/>
              <w:rPr>
                <w:rFonts w:ascii="Arial"/>
                <w:sz w:val="21"/>
              </w:rPr>
            </w:pPr>
          </w:p>
          <w:p w14:paraId="51E6A1B7">
            <w:pPr>
              <w:spacing w:before="57" w:line="195" w:lineRule="auto"/>
              <w:ind w:left="23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692" w:type="dxa"/>
            <w:gridSpan w:val="2"/>
            <w:vMerge w:val="restart"/>
            <w:tcBorders>
              <w:bottom w:val="nil"/>
            </w:tcBorders>
            <w:vAlign w:val="top"/>
          </w:tcPr>
          <w:p w14:paraId="006C3E2E">
            <w:pPr>
              <w:pStyle w:val="6"/>
              <w:spacing w:before="172" w:line="255" w:lineRule="auto"/>
              <w:ind w:left="236" w:right="33" w:hanging="209"/>
              <w:rPr>
                <w:sz w:val="20"/>
                <w:szCs w:val="20"/>
              </w:rPr>
            </w:pPr>
            <w:r>
              <w:rPr>
                <w:spacing w:val="6"/>
                <w:sz w:val="20"/>
                <w:szCs w:val="20"/>
              </w:rPr>
              <w:t>加重装</w:t>
            </w:r>
            <w:r>
              <w:rPr>
                <w:spacing w:val="2"/>
                <w:sz w:val="20"/>
                <w:szCs w:val="20"/>
              </w:rPr>
              <w:t>置</w:t>
            </w:r>
          </w:p>
        </w:tc>
        <w:tc>
          <w:tcPr>
            <w:tcW w:w="1697" w:type="dxa"/>
            <w:vAlign w:val="top"/>
          </w:tcPr>
          <w:p w14:paraId="6565D2E1">
            <w:pPr>
              <w:pStyle w:val="6"/>
              <w:spacing w:before="101" w:line="229" w:lineRule="auto"/>
              <w:ind w:left="427"/>
              <w:rPr>
                <w:sz w:val="20"/>
                <w:szCs w:val="20"/>
              </w:rPr>
            </w:pPr>
            <w:r>
              <w:rPr>
                <w:spacing w:val="7"/>
                <w:sz w:val="20"/>
                <w:szCs w:val="20"/>
              </w:rPr>
              <w:t>加重漏斗</w:t>
            </w:r>
          </w:p>
        </w:tc>
        <w:tc>
          <w:tcPr>
            <w:tcW w:w="1981" w:type="dxa"/>
            <w:vAlign w:val="top"/>
          </w:tcPr>
          <w:p w14:paraId="3FB78E6B">
            <w:pPr>
              <w:pStyle w:val="6"/>
              <w:spacing w:before="101" w:line="228" w:lineRule="auto"/>
              <w:ind w:left="687"/>
              <w:rPr>
                <w:sz w:val="20"/>
                <w:szCs w:val="20"/>
              </w:rPr>
            </w:pPr>
            <w:r>
              <w:rPr>
                <w:spacing w:val="4"/>
                <w:sz w:val="20"/>
                <w:szCs w:val="20"/>
              </w:rPr>
              <w:t>喷射式</w:t>
            </w:r>
          </w:p>
        </w:tc>
        <w:tc>
          <w:tcPr>
            <w:tcW w:w="848" w:type="dxa"/>
            <w:vAlign w:val="top"/>
          </w:tcPr>
          <w:p w14:paraId="1B7A05BB">
            <w:pPr>
              <w:spacing w:before="137" w:line="195" w:lineRule="auto"/>
              <w:ind w:left="37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709" w:type="dxa"/>
            <w:vAlign w:val="top"/>
          </w:tcPr>
          <w:p w14:paraId="2B66335A">
            <w:pPr>
              <w:pStyle w:val="6"/>
              <w:spacing w:before="100" w:line="228" w:lineRule="auto"/>
              <w:ind w:left="257"/>
              <w:rPr>
                <w:sz w:val="20"/>
                <w:szCs w:val="20"/>
              </w:rPr>
            </w:pPr>
            <w:r>
              <w:rPr>
                <w:sz w:val="20"/>
                <w:szCs w:val="20"/>
              </w:rPr>
              <w:t>个</w:t>
            </w:r>
          </w:p>
        </w:tc>
        <w:tc>
          <w:tcPr>
            <w:tcW w:w="1964" w:type="dxa"/>
            <w:tcBorders>
              <w:right w:val="single" w:color="000000" w:sz="6" w:space="0"/>
            </w:tcBorders>
            <w:vAlign w:val="top"/>
          </w:tcPr>
          <w:p w14:paraId="59999BF9">
            <w:pPr>
              <w:rPr>
                <w:rFonts w:ascii="Arial"/>
                <w:sz w:val="21"/>
              </w:rPr>
            </w:pPr>
          </w:p>
        </w:tc>
      </w:tr>
      <w:tr w14:paraId="288B6A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466" w:type="dxa"/>
            <w:vMerge w:val="continue"/>
            <w:tcBorders>
              <w:top w:val="nil"/>
              <w:left w:val="single" w:color="000000" w:sz="6" w:space="0"/>
              <w:bottom w:val="nil"/>
              <w:right w:val="single" w:color="000000" w:sz="2" w:space="0"/>
            </w:tcBorders>
            <w:vAlign w:val="top"/>
          </w:tcPr>
          <w:p w14:paraId="1A380452">
            <w:pPr>
              <w:rPr>
                <w:rFonts w:ascii="Arial"/>
                <w:sz w:val="21"/>
              </w:rPr>
            </w:pPr>
          </w:p>
        </w:tc>
        <w:tc>
          <w:tcPr>
            <w:tcW w:w="558" w:type="dxa"/>
            <w:vMerge w:val="continue"/>
            <w:tcBorders>
              <w:top w:val="nil"/>
              <w:left w:val="single" w:color="000000" w:sz="2" w:space="0"/>
            </w:tcBorders>
            <w:vAlign w:val="top"/>
          </w:tcPr>
          <w:p w14:paraId="38A19CA7">
            <w:pPr>
              <w:rPr>
                <w:rFonts w:ascii="Arial"/>
                <w:sz w:val="21"/>
              </w:rPr>
            </w:pPr>
          </w:p>
        </w:tc>
        <w:tc>
          <w:tcPr>
            <w:tcW w:w="692" w:type="dxa"/>
            <w:gridSpan w:val="2"/>
            <w:vMerge w:val="continue"/>
            <w:tcBorders>
              <w:top w:val="nil"/>
            </w:tcBorders>
            <w:vAlign w:val="top"/>
          </w:tcPr>
          <w:p w14:paraId="11281A3B">
            <w:pPr>
              <w:rPr>
                <w:rFonts w:ascii="Arial"/>
                <w:sz w:val="21"/>
              </w:rPr>
            </w:pPr>
          </w:p>
        </w:tc>
        <w:tc>
          <w:tcPr>
            <w:tcW w:w="1697" w:type="dxa"/>
            <w:vAlign w:val="top"/>
          </w:tcPr>
          <w:p w14:paraId="2D8D861E">
            <w:pPr>
              <w:pStyle w:val="6"/>
              <w:spacing w:before="102" w:line="228" w:lineRule="auto"/>
              <w:ind w:left="348"/>
              <w:rPr>
                <w:sz w:val="20"/>
                <w:szCs w:val="20"/>
              </w:rPr>
            </w:pPr>
            <w:r>
              <w:rPr>
                <w:spacing w:val="3"/>
                <w:sz w:val="20"/>
                <w:szCs w:val="20"/>
              </w:rPr>
              <w:t>电动加重泵</w:t>
            </w:r>
          </w:p>
        </w:tc>
        <w:tc>
          <w:tcPr>
            <w:tcW w:w="1981" w:type="dxa"/>
            <w:vAlign w:val="top"/>
          </w:tcPr>
          <w:p w14:paraId="344F22D1">
            <w:pPr>
              <w:spacing w:before="135" w:line="199" w:lineRule="auto"/>
              <w:ind w:left="583"/>
              <w:rPr>
                <w:rFonts w:ascii="Times New Roman" w:hAnsi="Times New Roman" w:eastAsia="Times New Roman" w:cs="Times New Roman"/>
                <w:sz w:val="20"/>
                <w:szCs w:val="20"/>
              </w:rPr>
            </w:pPr>
            <w:r>
              <w:rPr>
                <w:rFonts w:ascii="Times New Roman" w:hAnsi="Times New Roman" w:eastAsia="Times New Roman" w:cs="Times New Roman"/>
                <w:sz w:val="20"/>
                <w:szCs w:val="20"/>
              </w:rPr>
              <w:t>SB*6J-</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z w:val="20"/>
                <w:szCs w:val="20"/>
              </w:rPr>
              <w:t>12</w:t>
            </w:r>
          </w:p>
        </w:tc>
        <w:tc>
          <w:tcPr>
            <w:tcW w:w="848" w:type="dxa"/>
            <w:vAlign w:val="top"/>
          </w:tcPr>
          <w:p w14:paraId="0B4FFA9F">
            <w:pPr>
              <w:spacing w:before="139" w:line="195" w:lineRule="auto"/>
              <w:ind w:left="37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709" w:type="dxa"/>
            <w:vAlign w:val="top"/>
          </w:tcPr>
          <w:p w14:paraId="2A8F2E42">
            <w:pPr>
              <w:pStyle w:val="6"/>
              <w:spacing w:before="102" w:line="228" w:lineRule="auto"/>
              <w:ind w:left="257"/>
              <w:rPr>
                <w:sz w:val="20"/>
                <w:szCs w:val="20"/>
              </w:rPr>
            </w:pPr>
            <w:r>
              <w:rPr>
                <w:sz w:val="20"/>
                <w:szCs w:val="20"/>
              </w:rPr>
              <w:t>个</w:t>
            </w:r>
          </w:p>
        </w:tc>
        <w:tc>
          <w:tcPr>
            <w:tcW w:w="1964" w:type="dxa"/>
            <w:tcBorders>
              <w:right w:val="single" w:color="000000" w:sz="6" w:space="0"/>
            </w:tcBorders>
            <w:vAlign w:val="top"/>
          </w:tcPr>
          <w:p w14:paraId="57518C84">
            <w:pPr>
              <w:rPr>
                <w:rFonts w:ascii="Arial"/>
                <w:sz w:val="21"/>
              </w:rPr>
            </w:pPr>
          </w:p>
        </w:tc>
      </w:tr>
      <w:tr w14:paraId="38D8E7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466" w:type="dxa"/>
            <w:vMerge w:val="continue"/>
            <w:tcBorders>
              <w:top w:val="nil"/>
              <w:left w:val="single" w:color="000000" w:sz="6" w:space="0"/>
              <w:bottom w:val="nil"/>
              <w:right w:val="single" w:color="000000" w:sz="2" w:space="0"/>
            </w:tcBorders>
            <w:vAlign w:val="top"/>
          </w:tcPr>
          <w:p w14:paraId="2A58795B">
            <w:pPr>
              <w:rPr>
                <w:rFonts w:ascii="Arial"/>
                <w:sz w:val="21"/>
              </w:rPr>
            </w:pPr>
          </w:p>
        </w:tc>
        <w:tc>
          <w:tcPr>
            <w:tcW w:w="558" w:type="dxa"/>
            <w:vMerge w:val="restart"/>
            <w:tcBorders>
              <w:left w:val="single" w:color="000000" w:sz="2" w:space="0"/>
              <w:bottom w:val="nil"/>
            </w:tcBorders>
            <w:vAlign w:val="top"/>
          </w:tcPr>
          <w:p w14:paraId="509A381A">
            <w:pPr>
              <w:spacing w:line="244" w:lineRule="auto"/>
              <w:rPr>
                <w:rFonts w:ascii="Arial"/>
                <w:sz w:val="21"/>
              </w:rPr>
            </w:pPr>
          </w:p>
          <w:p w14:paraId="0D1B29CA">
            <w:pPr>
              <w:spacing w:line="245" w:lineRule="auto"/>
              <w:rPr>
                <w:rFonts w:ascii="Arial"/>
                <w:sz w:val="21"/>
              </w:rPr>
            </w:pPr>
          </w:p>
          <w:p w14:paraId="7672B028">
            <w:pPr>
              <w:spacing w:before="58" w:line="195" w:lineRule="auto"/>
              <w:ind w:left="244"/>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692" w:type="dxa"/>
            <w:gridSpan w:val="2"/>
            <w:vMerge w:val="restart"/>
            <w:tcBorders>
              <w:bottom w:val="nil"/>
            </w:tcBorders>
            <w:vAlign w:val="top"/>
          </w:tcPr>
          <w:p w14:paraId="4DE84446">
            <w:pPr>
              <w:spacing w:line="313" w:lineRule="auto"/>
              <w:rPr>
                <w:rFonts w:ascii="Arial"/>
                <w:sz w:val="21"/>
              </w:rPr>
            </w:pPr>
          </w:p>
          <w:p w14:paraId="2F6C8A80">
            <w:pPr>
              <w:pStyle w:val="6"/>
              <w:spacing w:before="65" w:line="252" w:lineRule="auto"/>
              <w:ind w:left="132" w:right="139"/>
              <w:rPr>
                <w:sz w:val="20"/>
                <w:szCs w:val="20"/>
              </w:rPr>
            </w:pPr>
            <w:r>
              <w:rPr>
                <w:spacing w:val="4"/>
                <w:sz w:val="20"/>
                <w:szCs w:val="20"/>
              </w:rPr>
              <w:t>井控装置</w:t>
            </w:r>
          </w:p>
        </w:tc>
        <w:tc>
          <w:tcPr>
            <w:tcW w:w="1697" w:type="dxa"/>
            <w:vAlign w:val="top"/>
          </w:tcPr>
          <w:p w14:paraId="6A789E19">
            <w:pPr>
              <w:pStyle w:val="6"/>
              <w:spacing w:before="104" w:line="228" w:lineRule="auto"/>
              <w:ind w:left="324"/>
              <w:rPr>
                <w:sz w:val="20"/>
                <w:szCs w:val="20"/>
              </w:rPr>
            </w:pPr>
            <w:r>
              <w:rPr>
                <w:spacing w:val="8"/>
                <w:sz w:val="20"/>
                <w:szCs w:val="20"/>
              </w:rPr>
              <w:t>环形防喷器</w:t>
            </w:r>
          </w:p>
        </w:tc>
        <w:tc>
          <w:tcPr>
            <w:tcW w:w="1981" w:type="dxa"/>
            <w:vAlign w:val="top"/>
          </w:tcPr>
          <w:p w14:paraId="00E873A8">
            <w:pPr>
              <w:spacing w:before="135" w:line="199" w:lineRule="auto"/>
              <w:ind w:left="475"/>
              <w:rPr>
                <w:rFonts w:ascii="Times New Roman" w:hAnsi="Times New Roman" w:eastAsia="Times New Roman" w:cs="Times New Roman"/>
                <w:sz w:val="20"/>
                <w:szCs w:val="20"/>
              </w:rPr>
            </w:pPr>
            <w:r>
              <w:rPr>
                <w:rFonts w:ascii="Times New Roman" w:hAnsi="Times New Roman" w:eastAsia="Times New Roman" w:cs="Times New Roman"/>
                <w:sz w:val="20"/>
                <w:szCs w:val="20"/>
              </w:rPr>
              <w:t>FH</w:t>
            </w:r>
            <w:r>
              <w:rPr>
                <w:rFonts w:ascii="Times New Roman" w:hAnsi="Times New Roman" w:eastAsia="Times New Roman" w:cs="Times New Roman"/>
                <w:spacing w:val="5"/>
                <w:sz w:val="20"/>
                <w:szCs w:val="20"/>
              </w:rPr>
              <w:t>35-35/70</w:t>
            </w:r>
          </w:p>
        </w:tc>
        <w:tc>
          <w:tcPr>
            <w:tcW w:w="848" w:type="dxa"/>
            <w:vAlign w:val="top"/>
          </w:tcPr>
          <w:p w14:paraId="4D9C5D29">
            <w:pPr>
              <w:spacing w:before="139" w:line="195" w:lineRule="auto"/>
              <w:ind w:left="39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09" w:type="dxa"/>
            <w:vAlign w:val="top"/>
          </w:tcPr>
          <w:p w14:paraId="4DB6A19B">
            <w:pPr>
              <w:pStyle w:val="6"/>
              <w:spacing w:before="103" w:line="228" w:lineRule="auto"/>
              <w:ind w:left="257"/>
              <w:rPr>
                <w:sz w:val="20"/>
                <w:szCs w:val="20"/>
              </w:rPr>
            </w:pPr>
            <w:r>
              <w:rPr>
                <w:sz w:val="20"/>
                <w:szCs w:val="20"/>
              </w:rPr>
              <w:t>个</w:t>
            </w:r>
          </w:p>
        </w:tc>
        <w:tc>
          <w:tcPr>
            <w:tcW w:w="1964" w:type="dxa"/>
            <w:tcBorders>
              <w:right w:val="single" w:color="000000" w:sz="6" w:space="0"/>
            </w:tcBorders>
            <w:vAlign w:val="top"/>
          </w:tcPr>
          <w:p w14:paraId="60BF8C9A">
            <w:pPr>
              <w:rPr>
                <w:rFonts w:ascii="Arial"/>
                <w:sz w:val="21"/>
              </w:rPr>
            </w:pPr>
          </w:p>
        </w:tc>
      </w:tr>
      <w:tr w14:paraId="4FF81C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466" w:type="dxa"/>
            <w:vMerge w:val="continue"/>
            <w:tcBorders>
              <w:top w:val="nil"/>
              <w:left w:val="single" w:color="000000" w:sz="6" w:space="0"/>
              <w:bottom w:val="nil"/>
              <w:right w:val="single" w:color="000000" w:sz="2" w:space="0"/>
            </w:tcBorders>
            <w:vAlign w:val="top"/>
          </w:tcPr>
          <w:p w14:paraId="6FF18970">
            <w:pPr>
              <w:rPr>
                <w:rFonts w:ascii="Arial"/>
                <w:sz w:val="21"/>
              </w:rPr>
            </w:pPr>
          </w:p>
        </w:tc>
        <w:tc>
          <w:tcPr>
            <w:tcW w:w="558" w:type="dxa"/>
            <w:vMerge w:val="continue"/>
            <w:tcBorders>
              <w:top w:val="nil"/>
              <w:left w:val="single" w:color="000000" w:sz="2" w:space="0"/>
              <w:bottom w:val="nil"/>
            </w:tcBorders>
            <w:vAlign w:val="top"/>
          </w:tcPr>
          <w:p w14:paraId="4F1F1FE1">
            <w:pPr>
              <w:rPr>
                <w:rFonts w:ascii="Arial"/>
                <w:sz w:val="21"/>
              </w:rPr>
            </w:pPr>
          </w:p>
        </w:tc>
        <w:tc>
          <w:tcPr>
            <w:tcW w:w="692" w:type="dxa"/>
            <w:gridSpan w:val="2"/>
            <w:vMerge w:val="continue"/>
            <w:tcBorders>
              <w:top w:val="nil"/>
              <w:bottom w:val="nil"/>
            </w:tcBorders>
            <w:vAlign w:val="top"/>
          </w:tcPr>
          <w:p w14:paraId="61C82CD6">
            <w:pPr>
              <w:rPr>
                <w:rFonts w:ascii="Arial"/>
                <w:sz w:val="21"/>
              </w:rPr>
            </w:pPr>
          </w:p>
        </w:tc>
        <w:tc>
          <w:tcPr>
            <w:tcW w:w="1697" w:type="dxa"/>
            <w:vAlign w:val="top"/>
          </w:tcPr>
          <w:p w14:paraId="2FEEE0CB">
            <w:pPr>
              <w:pStyle w:val="6"/>
              <w:spacing w:before="103" w:line="227" w:lineRule="auto"/>
              <w:ind w:left="218"/>
              <w:rPr>
                <w:sz w:val="20"/>
                <w:szCs w:val="20"/>
              </w:rPr>
            </w:pPr>
            <w:r>
              <w:rPr>
                <w:spacing w:val="8"/>
                <w:sz w:val="20"/>
                <w:szCs w:val="20"/>
              </w:rPr>
              <w:t>双闸板防喷器</w:t>
            </w:r>
          </w:p>
        </w:tc>
        <w:tc>
          <w:tcPr>
            <w:tcW w:w="1981" w:type="dxa"/>
            <w:vAlign w:val="top"/>
          </w:tcPr>
          <w:p w14:paraId="4E866FBC">
            <w:pPr>
              <w:spacing w:before="139" w:line="195" w:lineRule="auto"/>
              <w:ind w:left="56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z w:val="20"/>
                <w:szCs w:val="20"/>
              </w:rPr>
              <w:t>FZ</w:t>
            </w:r>
            <w:r>
              <w:rPr>
                <w:rFonts w:ascii="Times New Roman" w:hAnsi="Times New Roman" w:eastAsia="Times New Roman" w:cs="Times New Roman"/>
                <w:spacing w:val="5"/>
                <w:sz w:val="20"/>
                <w:szCs w:val="20"/>
              </w:rPr>
              <w:t>35-70</w:t>
            </w:r>
          </w:p>
        </w:tc>
        <w:tc>
          <w:tcPr>
            <w:tcW w:w="848" w:type="dxa"/>
            <w:vAlign w:val="top"/>
          </w:tcPr>
          <w:p w14:paraId="2C3FD524">
            <w:pPr>
              <w:spacing w:before="139" w:line="195" w:lineRule="auto"/>
              <w:ind w:left="39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09" w:type="dxa"/>
            <w:vAlign w:val="top"/>
          </w:tcPr>
          <w:p w14:paraId="22B56506">
            <w:pPr>
              <w:pStyle w:val="6"/>
              <w:spacing w:before="102" w:line="228" w:lineRule="auto"/>
              <w:ind w:left="257"/>
              <w:rPr>
                <w:sz w:val="20"/>
                <w:szCs w:val="20"/>
              </w:rPr>
            </w:pPr>
            <w:r>
              <w:rPr>
                <w:sz w:val="20"/>
                <w:szCs w:val="20"/>
              </w:rPr>
              <w:t>个</w:t>
            </w:r>
          </w:p>
        </w:tc>
        <w:tc>
          <w:tcPr>
            <w:tcW w:w="1964" w:type="dxa"/>
            <w:tcBorders>
              <w:right w:val="single" w:color="000000" w:sz="6" w:space="0"/>
            </w:tcBorders>
            <w:vAlign w:val="top"/>
          </w:tcPr>
          <w:p w14:paraId="03168137">
            <w:pPr>
              <w:pStyle w:val="6"/>
              <w:spacing w:before="103" w:line="228" w:lineRule="auto"/>
              <w:ind w:left="409"/>
              <w:rPr>
                <w:sz w:val="20"/>
                <w:szCs w:val="20"/>
              </w:rPr>
            </w:pPr>
            <w:r>
              <w:rPr>
                <w:spacing w:val="8"/>
                <w:sz w:val="20"/>
                <w:szCs w:val="20"/>
              </w:rPr>
              <w:t>全封、半封</w:t>
            </w:r>
          </w:p>
        </w:tc>
      </w:tr>
      <w:tr w14:paraId="3F101D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466" w:type="dxa"/>
            <w:vMerge w:val="continue"/>
            <w:tcBorders>
              <w:top w:val="nil"/>
              <w:left w:val="single" w:color="000000" w:sz="6" w:space="0"/>
              <w:bottom w:val="single" w:color="000000" w:sz="6" w:space="0"/>
              <w:right w:val="single" w:color="000000" w:sz="2" w:space="0"/>
            </w:tcBorders>
            <w:vAlign w:val="top"/>
          </w:tcPr>
          <w:p w14:paraId="59FF2BEA">
            <w:pPr>
              <w:rPr>
                <w:rFonts w:ascii="Arial"/>
                <w:sz w:val="21"/>
              </w:rPr>
            </w:pPr>
          </w:p>
        </w:tc>
        <w:tc>
          <w:tcPr>
            <w:tcW w:w="558" w:type="dxa"/>
            <w:vMerge w:val="continue"/>
            <w:tcBorders>
              <w:top w:val="nil"/>
              <w:left w:val="single" w:color="000000" w:sz="2" w:space="0"/>
              <w:bottom w:val="single" w:color="000000" w:sz="6" w:space="0"/>
            </w:tcBorders>
            <w:vAlign w:val="top"/>
          </w:tcPr>
          <w:p w14:paraId="50D20A89">
            <w:pPr>
              <w:rPr>
                <w:rFonts w:ascii="Arial"/>
                <w:sz w:val="21"/>
              </w:rPr>
            </w:pPr>
          </w:p>
        </w:tc>
        <w:tc>
          <w:tcPr>
            <w:tcW w:w="692" w:type="dxa"/>
            <w:gridSpan w:val="2"/>
            <w:vMerge w:val="continue"/>
            <w:tcBorders>
              <w:top w:val="nil"/>
              <w:bottom w:val="single" w:color="000000" w:sz="6" w:space="0"/>
            </w:tcBorders>
            <w:vAlign w:val="top"/>
          </w:tcPr>
          <w:p w14:paraId="23DFB8A4">
            <w:pPr>
              <w:rPr>
                <w:rFonts w:ascii="Arial"/>
                <w:sz w:val="21"/>
              </w:rPr>
            </w:pPr>
          </w:p>
        </w:tc>
        <w:tc>
          <w:tcPr>
            <w:tcW w:w="1697" w:type="dxa"/>
            <w:tcBorders>
              <w:bottom w:val="single" w:color="000000" w:sz="6" w:space="0"/>
            </w:tcBorders>
            <w:vAlign w:val="top"/>
          </w:tcPr>
          <w:p w14:paraId="2E13F145">
            <w:pPr>
              <w:pStyle w:val="6"/>
              <w:spacing w:before="103" w:line="231" w:lineRule="auto"/>
              <w:ind w:left="658"/>
              <w:rPr>
                <w:sz w:val="20"/>
                <w:szCs w:val="20"/>
              </w:rPr>
            </w:pPr>
            <w:r>
              <w:rPr>
                <w:spacing w:val="-5"/>
                <w:sz w:val="20"/>
                <w:szCs w:val="20"/>
              </w:rPr>
              <w:t>四通</w:t>
            </w:r>
          </w:p>
        </w:tc>
        <w:tc>
          <w:tcPr>
            <w:tcW w:w="1981" w:type="dxa"/>
            <w:tcBorders>
              <w:bottom w:val="single" w:color="000000" w:sz="6" w:space="0"/>
            </w:tcBorders>
            <w:vAlign w:val="top"/>
          </w:tcPr>
          <w:p w14:paraId="427946D7">
            <w:pPr>
              <w:rPr>
                <w:rFonts w:ascii="Arial"/>
                <w:sz w:val="21"/>
              </w:rPr>
            </w:pPr>
          </w:p>
        </w:tc>
        <w:tc>
          <w:tcPr>
            <w:tcW w:w="848" w:type="dxa"/>
            <w:tcBorders>
              <w:bottom w:val="single" w:color="000000" w:sz="6" w:space="0"/>
            </w:tcBorders>
            <w:vAlign w:val="top"/>
          </w:tcPr>
          <w:p w14:paraId="69BFC2A3">
            <w:pPr>
              <w:spacing w:before="140" w:line="195" w:lineRule="auto"/>
              <w:ind w:left="39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09" w:type="dxa"/>
            <w:tcBorders>
              <w:bottom w:val="single" w:color="000000" w:sz="6" w:space="0"/>
            </w:tcBorders>
            <w:vAlign w:val="top"/>
          </w:tcPr>
          <w:p w14:paraId="274C6AC0">
            <w:pPr>
              <w:pStyle w:val="6"/>
              <w:spacing w:before="103" w:line="228" w:lineRule="auto"/>
              <w:ind w:left="257"/>
              <w:rPr>
                <w:sz w:val="20"/>
                <w:szCs w:val="20"/>
              </w:rPr>
            </w:pPr>
            <w:r>
              <w:rPr>
                <w:sz w:val="20"/>
                <w:szCs w:val="20"/>
              </w:rPr>
              <w:t>个</w:t>
            </w:r>
          </w:p>
        </w:tc>
        <w:tc>
          <w:tcPr>
            <w:tcW w:w="1964" w:type="dxa"/>
            <w:tcBorders>
              <w:bottom w:val="single" w:color="000000" w:sz="6" w:space="0"/>
              <w:right w:val="single" w:color="000000" w:sz="6" w:space="0"/>
            </w:tcBorders>
            <w:vAlign w:val="top"/>
          </w:tcPr>
          <w:p w14:paraId="68DF6FBF">
            <w:pPr>
              <w:pStyle w:val="6"/>
              <w:spacing w:before="104" w:line="228" w:lineRule="auto"/>
              <w:ind w:left="205"/>
              <w:rPr>
                <w:sz w:val="20"/>
                <w:szCs w:val="20"/>
              </w:rPr>
            </w:pPr>
            <w:r>
              <w:rPr>
                <w:spacing w:val="8"/>
                <w:sz w:val="20"/>
                <w:szCs w:val="20"/>
              </w:rPr>
              <w:t>与防喷器相匹配</w:t>
            </w:r>
          </w:p>
        </w:tc>
      </w:tr>
    </w:tbl>
    <w:p w14:paraId="0E2354DD">
      <w:pPr>
        <w:rPr>
          <w:rFonts w:ascii="Arial"/>
          <w:sz w:val="21"/>
        </w:rPr>
      </w:pPr>
    </w:p>
    <w:p w14:paraId="4C682B1B">
      <w:pPr>
        <w:rPr>
          <w:rFonts w:ascii="Arial" w:hAnsi="Arial" w:eastAsia="Arial" w:cs="Arial"/>
          <w:sz w:val="21"/>
          <w:szCs w:val="21"/>
        </w:rPr>
        <w:sectPr>
          <w:footerReference r:id="rId32" w:type="default"/>
          <w:pgSz w:w="11906" w:h="16839"/>
          <w:pgMar w:top="400" w:right="1403" w:bottom="1240" w:left="1572" w:header="0" w:footer="1078" w:gutter="0"/>
          <w:cols w:space="720" w:num="1"/>
        </w:sectPr>
      </w:pPr>
    </w:p>
    <w:p w14:paraId="4FC36EE8">
      <w:pPr>
        <w:spacing w:before="56"/>
      </w:pPr>
    </w:p>
    <w:p w14:paraId="33481DB0">
      <w:pPr>
        <w:spacing w:before="56"/>
      </w:pPr>
    </w:p>
    <w:p w14:paraId="66C80402">
      <w:pPr>
        <w:spacing w:before="55"/>
      </w:pPr>
    </w:p>
    <w:p w14:paraId="737B007A">
      <w:pPr>
        <w:spacing w:before="55"/>
      </w:pPr>
    </w:p>
    <w:tbl>
      <w:tblPr>
        <w:tblStyle w:val="5"/>
        <w:tblW w:w="8915"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6"/>
        <w:gridCol w:w="558"/>
        <w:gridCol w:w="692"/>
        <w:gridCol w:w="1697"/>
        <w:gridCol w:w="1981"/>
        <w:gridCol w:w="848"/>
        <w:gridCol w:w="709"/>
        <w:gridCol w:w="1964"/>
      </w:tblGrid>
      <w:tr w14:paraId="5ACFA2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466" w:type="dxa"/>
            <w:vMerge w:val="restart"/>
            <w:tcBorders>
              <w:top w:val="single" w:color="000000" w:sz="6" w:space="0"/>
              <w:left w:val="single" w:color="000000" w:sz="6" w:space="0"/>
              <w:bottom w:val="nil"/>
              <w:right w:val="single" w:color="000000" w:sz="2" w:space="0"/>
            </w:tcBorders>
            <w:vAlign w:val="top"/>
          </w:tcPr>
          <w:p w14:paraId="59D11689">
            <w:pPr>
              <w:rPr>
                <w:rFonts w:ascii="Arial"/>
                <w:sz w:val="21"/>
              </w:rPr>
            </w:pPr>
          </w:p>
        </w:tc>
        <w:tc>
          <w:tcPr>
            <w:tcW w:w="558" w:type="dxa"/>
            <w:vMerge w:val="restart"/>
            <w:tcBorders>
              <w:top w:val="single" w:color="000000" w:sz="6" w:space="0"/>
              <w:left w:val="single" w:color="000000" w:sz="2" w:space="0"/>
              <w:bottom w:val="nil"/>
            </w:tcBorders>
            <w:vAlign w:val="top"/>
          </w:tcPr>
          <w:p w14:paraId="6E3049C0">
            <w:pPr>
              <w:rPr>
                <w:rFonts w:ascii="Arial"/>
                <w:sz w:val="21"/>
              </w:rPr>
            </w:pPr>
          </w:p>
        </w:tc>
        <w:tc>
          <w:tcPr>
            <w:tcW w:w="692" w:type="dxa"/>
            <w:vMerge w:val="restart"/>
            <w:tcBorders>
              <w:top w:val="single" w:color="000000" w:sz="6" w:space="0"/>
              <w:bottom w:val="nil"/>
            </w:tcBorders>
            <w:vAlign w:val="top"/>
          </w:tcPr>
          <w:p w14:paraId="5042DAE1">
            <w:pPr>
              <w:rPr>
                <w:rFonts w:ascii="Arial"/>
                <w:sz w:val="21"/>
              </w:rPr>
            </w:pPr>
          </w:p>
        </w:tc>
        <w:tc>
          <w:tcPr>
            <w:tcW w:w="1697" w:type="dxa"/>
            <w:tcBorders>
              <w:top w:val="single" w:color="000000" w:sz="6" w:space="0"/>
            </w:tcBorders>
            <w:vAlign w:val="top"/>
          </w:tcPr>
          <w:p w14:paraId="48FC7B61">
            <w:pPr>
              <w:pStyle w:val="6"/>
              <w:spacing w:before="119" w:line="228" w:lineRule="auto"/>
              <w:ind w:left="426"/>
              <w:rPr>
                <w:sz w:val="20"/>
                <w:szCs w:val="20"/>
              </w:rPr>
            </w:pPr>
            <w:r>
              <w:rPr>
                <w:spacing w:val="7"/>
                <w:sz w:val="20"/>
                <w:szCs w:val="20"/>
              </w:rPr>
              <w:t>控制装置</w:t>
            </w:r>
          </w:p>
        </w:tc>
        <w:tc>
          <w:tcPr>
            <w:tcW w:w="1981" w:type="dxa"/>
            <w:tcBorders>
              <w:top w:val="single" w:color="000000" w:sz="6" w:space="0"/>
            </w:tcBorders>
            <w:vAlign w:val="top"/>
          </w:tcPr>
          <w:p w14:paraId="3F50CEFC">
            <w:pPr>
              <w:pStyle w:val="6"/>
              <w:spacing w:before="118" w:line="228" w:lineRule="auto"/>
              <w:ind w:left="368"/>
              <w:rPr>
                <w:sz w:val="20"/>
                <w:szCs w:val="20"/>
              </w:rPr>
            </w:pPr>
            <w:r>
              <w:rPr>
                <w:spacing w:val="7"/>
                <w:sz w:val="20"/>
                <w:szCs w:val="20"/>
              </w:rPr>
              <w:t>型号不做要求</w:t>
            </w:r>
          </w:p>
        </w:tc>
        <w:tc>
          <w:tcPr>
            <w:tcW w:w="848" w:type="dxa"/>
            <w:tcBorders>
              <w:top w:val="single" w:color="000000" w:sz="6" w:space="0"/>
            </w:tcBorders>
            <w:vAlign w:val="top"/>
          </w:tcPr>
          <w:p w14:paraId="7A2F6F41">
            <w:pPr>
              <w:spacing w:before="155" w:line="195" w:lineRule="auto"/>
              <w:ind w:left="39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09" w:type="dxa"/>
            <w:tcBorders>
              <w:top w:val="single" w:color="000000" w:sz="6" w:space="0"/>
            </w:tcBorders>
            <w:vAlign w:val="top"/>
          </w:tcPr>
          <w:p w14:paraId="5D24F8B7">
            <w:pPr>
              <w:pStyle w:val="6"/>
              <w:spacing w:before="118" w:line="228" w:lineRule="auto"/>
              <w:ind w:left="257"/>
              <w:rPr>
                <w:sz w:val="20"/>
                <w:szCs w:val="20"/>
              </w:rPr>
            </w:pPr>
            <w:r>
              <w:rPr>
                <w:sz w:val="20"/>
                <w:szCs w:val="20"/>
              </w:rPr>
              <w:t>个</w:t>
            </w:r>
          </w:p>
        </w:tc>
        <w:tc>
          <w:tcPr>
            <w:tcW w:w="1964" w:type="dxa"/>
            <w:tcBorders>
              <w:top w:val="single" w:color="000000" w:sz="6" w:space="0"/>
              <w:right w:val="single" w:color="000000" w:sz="6" w:space="0"/>
            </w:tcBorders>
            <w:vAlign w:val="top"/>
          </w:tcPr>
          <w:p w14:paraId="38E68F1D">
            <w:pPr>
              <w:rPr>
                <w:rFonts w:ascii="Arial"/>
                <w:sz w:val="21"/>
              </w:rPr>
            </w:pPr>
          </w:p>
        </w:tc>
      </w:tr>
      <w:tr w14:paraId="351B7B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466" w:type="dxa"/>
            <w:vMerge w:val="continue"/>
            <w:tcBorders>
              <w:top w:val="nil"/>
              <w:left w:val="single" w:color="000000" w:sz="6" w:space="0"/>
              <w:bottom w:val="nil"/>
              <w:right w:val="single" w:color="000000" w:sz="2" w:space="0"/>
            </w:tcBorders>
            <w:vAlign w:val="top"/>
          </w:tcPr>
          <w:p w14:paraId="6A3479C9">
            <w:pPr>
              <w:rPr>
                <w:rFonts w:ascii="Arial"/>
                <w:sz w:val="21"/>
              </w:rPr>
            </w:pPr>
          </w:p>
        </w:tc>
        <w:tc>
          <w:tcPr>
            <w:tcW w:w="558" w:type="dxa"/>
            <w:vMerge w:val="continue"/>
            <w:tcBorders>
              <w:top w:val="nil"/>
              <w:left w:val="single" w:color="000000" w:sz="2" w:space="0"/>
              <w:bottom w:val="nil"/>
            </w:tcBorders>
            <w:vAlign w:val="top"/>
          </w:tcPr>
          <w:p w14:paraId="3E089F37">
            <w:pPr>
              <w:rPr>
                <w:rFonts w:ascii="Arial"/>
                <w:sz w:val="21"/>
              </w:rPr>
            </w:pPr>
          </w:p>
        </w:tc>
        <w:tc>
          <w:tcPr>
            <w:tcW w:w="692" w:type="dxa"/>
            <w:vMerge w:val="continue"/>
            <w:tcBorders>
              <w:top w:val="nil"/>
              <w:bottom w:val="nil"/>
            </w:tcBorders>
            <w:vAlign w:val="top"/>
          </w:tcPr>
          <w:p w14:paraId="6046052B">
            <w:pPr>
              <w:rPr>
                <w:rFonts w:ascii="Arial"/>
                <w:sz w:val="21"/>
              </w:rPr>
            </w:pPr>
          </w:p>
        </w:tc>
        <w:tc>
          <w:tcPr>
            <w:tcW w:w="1697" w:type="dxa"/>
            <w:vAlign w:val="top"/>
          </w:tcPr>
          <w:p w14:paraId="70845863">
            <w:pPr>
              <w:pStyle w:val="6"/>
              <w:spacing w:before="91" w:line="228" w:lineRule="auto"/>
              <w:ind w:left="332"/>
              <w:rPr>
                <w:sz w:val="20"/>
                <w:szCs w:val="20"/>
              </w:rPr>
            </w:pPr>
            <w:r>
              <w:rPr>
                <w:spacing w:val="6"/>
                <w:sz w:val="20"/>
                <w:szCs w:val="20"/>
              </w:rPr>
              <w:t>司钻控制台</w:t>
            </w:r>
          </w:p>
        </w:tc>
        <w:tc>
          <w:tcPr>
            <w:tcW w:w="1981" w:type="dxa"/>
            <w:vAlign w:val="top"/>
          </w:tcPr>
          <w:p w14:paraId="78C91B0A">
            <w:pPr>
              <w:pStyle w:val="6"/>
              <w:spacing w:before="90" w:line="228" w:lineRule="auto"/>
              <w:ind w:left="368"/>
              <w:rPr>
                <w:sz w:val="20"/>
                <w:szCs w:val="20"/>
              </w:rPr>
            </w:pPr>
            <w:r>
              <w:rPr>
                <w:spacing w:val="7"/>
                <w:sz w:val="20"/>
                <w:szCs w:val="20"/>
              </w:rPr>
              <w:t>型号不做要求</w:t>
            </w:r>
          </w:p>
        </w:tc>
        <w:tc>
          <w:tcPr>
            <w:tcW w:w="848" w:type="dxa"/>
            <w:vAlign w:val="top"/>
          </w:tcPr>
          <w:p w14:paraId="2DD18ECB">
            <w:pPr>
              <w:spacing w:before="126" w:line="195" w:lineRule="auto"/>
              <w:ind w:left="39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09" w:type="dxa"/>
            <w:vAlign w:val="top"/>
          </w:tcPr>
          <w:p w14:paraId="158CC659">
            <w:pPr>
              <w:pStyle w:val="6"/>
              <w:spacing w:before="90" w:line="230" w:lineRule="auto"/>
              <w:ind w:left="273"/>
              <w:rPr>
                <w:sz w:val="20"/>
                <w:szCs w:val="20"/>
              </w:rPr>
            </w:pPr>
            <w:r>
              <w:rPr>
                <w:sz w:val="20"/>
                <w:szCs w:val="20"/>
              </w:rPr>
              <w:t>台</w:t>
            </w:r>
          </w:p>
        </w:tc>
        <w:tc>
          <w:tcPr>
            <w:tcW w:w="1964" w:type="dxa"/>
            <w:tcBorders>
              <w:right w:val="single" w:color="000000" w:sz="6" w:space="0"/>
            </w:tcBorders>
            <w:vAlign w:val="top"/>
          </w:tcPr>
          <w:p w14:paraId="406599D7">
            <w:pPr>
              <w:rPr>
                <w:rFonts w:ascii="Arial"/>
                <w:sz w:val="21"/>
              </w:rPr>
            </w:pPr>
          </w:p>
        </w:tc>
      </w:tr>
      <w:tr w14:paraId="2296D6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466" w:type="dxa"/>
            <w:vMerge w:val="continue"/>
            <w:tcBorders>
              <w:top w:val="nil"/>
              <w:left w:val="single" w:color="000000" w:sz="6" w:space="0"/>
              <w:bottom w:val="nil"/>
              <w:right w:val="single" w:color="000000" w:sz="2" w:space="0"/>
            </w:tcBorders>
            <w:vAlign w:val="top"/>
          </w:tcPr>
          <w:p w14:paraId="6F3507FB">
            <w:pPr>
              <w:rPr>
                <w:rFonts w:ascii="Arial"/>
                <w:sz w:val="21"/>
              </w:rPr>
            </w:pPr>
          </w:p>
        </w:tc>
        <w:tc>
          <w:tcPr>
            <w:tcW w:w="558" w:type="dxa"/>
            <w:vMerge w:val="continue"/>
            <w:tcBorders>
              <w:top w:val="nil"/>
              <w:left w:val="single" w:color="000000" w:sz="2" w:space="0"/>
              <w:bottom w:val="nil"/>
            </w:tcBorders>
            <w:vAlign w:val="top"/>
          </w:tcPr>
          <w:p w14:paraId="76D5BA75">
            <w:pPr>
              <w:rPr>
                <w:rFonts w:ascii="Arial"/>
                <w:sz w:val="21"/>
              </w:rPr>
            </w:pPr>
          </w:p>
        </w:tc>
        <w:tc>
          <w:tcPr>
            <w:tcW w:w="692" w:type="dxa"/>
            <w:vMerge w:val="continue"/>
            <w:tcBorders>
              <w:top w:val="nil"/>
              <w:bottom w:val="nil"/>
            </w:tcBorders>
            <w:vAlign w:val="top"/>
          </w:tcPr>
          <w:p w14:paraId="410FAA16">
            <w:pPr>
              <w:rPr>
                <w:rFonts w:ascii="Arial"/>
                <w:sz w:val="21"/>
              </w:rPr>
            </w:pPr>
          </w:p>
        </w:tc>
        <w:tc>
          <w:tcPr>
            <w:tcW w:w="1697" w:type="dxa"/>
            <w:vAlign w:val="top"/>
          </w:tcPr>
          <w:p w14:paraId="30AC5F30">
            <w:pPr>
              <w:pStyle w:val="6"/>
              <w:spacing w:before="92" w:line="228" w:lineRule="auto"/>
              <w:ind w:left="427"/>
              <w:rPr>
                <w:sz w:val="20"/>
                <w:szCs w:val="20"/>
              </w:rPr>
            </w:pPr>
            <w:r>
              <w:rPr>
                <w:spacing w:val="7"/>
                <w:sz w:val="20"/>
                <w:szCs w:val="20"/>
              </w:rPr>
              <w:t>节流管汇</w:t>
            </w:r>
          </w:p>
        </w:tc>
        <w:tc>
          <w:tcPr>
            <w:tcW w:w="1981" w:type="dxa"/>
            <w:vAlign w:val="top"/>
          </w:tcPr>
          <w:p w14:paraId="4ADFCE78">
            <w:pPr>
              <w:spacing w:before="128" w:line="195" w:lineRule="auto"/>
              <w:ind w:left="732"/>
              <w:rPr>
                <w:rFonts w:ascii="Times New Roman" w:hAnsi="Times New Roman" w:eastAsia="Times New Roman" w:cs="Times New Roman"/>
                <w:sz w:val="20"/>
                <w:szCs w:val="20"/>
              </w:rPr>
            </w:pPr>
            <w:r>
              <w:rPr>
                <w:rFonts w:ascii="Times New Roman" w:hAnsi="Times New Roman" w:eastAsia="Times New Roman" w:cs="Times New Roman"/>
                <w:sz w:val="20"/>
                <w:szCs w:val="20"/>
              </w:rPr>
              <w:t>JG</w:t>
            </w:r>
            <w:r>
              <w:rPr>
                <w:rFonts w:ascii="Times New Roman" w:hAnsi="Times New Roman" w:eastAsia="Times New Roman" w:cs="Times New Roman"/>
                <w:spacing w:val="6"/>
                <w:sz w:val="20"/>
                <w:szCs w:val="20"/>
              </w:rPr>
              <w:t>-35</w:t>
            </w:r>
          </w:p>
        </w:tc>
        <w:tc>
          <w:tcPr>
            <w:tcW w:w="848" w:type="dxa"/>
            <w:vAlign w:val="top"/>
          </w:tcPr>
          <w:p w14:paraId="4232617A">
            <w:pPr>
              <w:spacing w:before="128" w:line="195" w:lineRule="auto"/>
              <w:ind w:left="39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09" w:type="dxa"/>
            <w:vAlign w:val="top"/>
          </w:tcPr>
          <w:p w14:paraId="29593A15">
            <w:pPr>
              <w:pStyle w:val="6"/>
              <w:spacing w:before="92" w:line="228" w:lineRule="auto"/>
              <w:ind w:left="257"/>
              <w:rPr>
                <w:sz w:val="20"/>
                <w:szCs w:val="20"/>
              </w:rPr>
            </w:pPr>
            <w:r>
              <w:rPr>
                <w:sz w:val="20"/>
                <w:szCs w:val="20"/>
              </w:rPr>
              <w:t>个</w:t>
            </w:r>
          </w:p>
        </w:tc>
        <w:tc>
          <w:tcPr>
            <w:tcW w:w="1964" w:type="dxa"/>
            <w:tcBorders>
              <w:right w:val="single" w:color="000000" w:sz="6" w:space="0"/>
            </w:tcBorders>
            <w:vAlign w:val="top"/>
          </w:tcPr>
          <w:p w14:paraId="152D14B1">
            <w:pPr>
              <w:rPr>
                <w:rFonts w:ascii="Arial"/>
                <w:sz w:val="21"/>
              </w:rPr>
            </w:pPr>
          </w:p>
        </w:tc>
      </w:tr>
      <w:tr w14:paraId="145147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466" w:type="dxa"/>
            <w:vMerge w:val="continue"/>
            <w:tcBorders>
              <w:top w:val="nil"/>
              <w:left w:val="single" w:color="000000" w:sz="6" w:space="0"/>
              <w:bottom w:val="nil"/>
              <w:right w:val="single" w:color="000000" w:sz="2" w:space="0"/>
            </w:tcBorders>
            <w:vAlign w:val="top"/>
          </w:tcPr>
          <w:p w14:paraId="453CC76E">
            <w:pPr>
              <w:rPr>
                <w:rFonts w:ascii="Arial"/>
                <w:sz w:val="21"/>
              </w:rPr>
            </w:pPr>
          </w:p>
        </w:tc>
        <w:tc>
          <w:tcPr>
            <w:tcW w:w="558" w:type="dxa"/>
            <w:vMerge w:val="continue"/>
            <w:tcBorders>
              <w:top w:val="nil"/>
              <w:left w:val="single" w:color="000000" w:sz="2" w:space="0"/>
              <w:bottom w:val="nil"/>
            </w:tcBorders>
            <w:vAlign w:val="top"/>
          </w:tcPr>
          <w:p w14:paraId="13E21F1F">
            <w:pPr>
              <w:rPr>
                <w:rFonts w:ascii="Arial"/>
                <w:sz w:val="21"/>
              </w:rPr>
            </w:pPr>
          </w:p>
        </w:tc>
        <w:tc>
          <w:tcPr>
            <w:tcW w:w="692" w:type="dxa"/>
            <w:vMerge w:val="continue"/>
            <w:tcBorders>
              <w:top w:val="nil"/>
              <w:bottom w:val="nil"/>
            </w:tcBorders>
            <w:vAlign w:val="top"/>
          </w:tcPr>
          <w:p w14:paraId="52BC188D">
            <w:pPr>
              <w:rPr>
                <w:rFonts w:ascii="Arial"/>
                <w:sz w:val="21"/>
              </w:rPr>
            </w:pPr>
          </w:p>
        </w:tc>
        <w:tc>
          <w:tcPr>
            <w:tcW w:w="1697" w:type="dxa"/>
            <w:vAlign w:val="top"/>
          </w:tcPr>
          <w:p w14:paraId="15F0DAAA">
            <w:pPr>
              <w:pStyle w:val="6"/>
              <w:spacing w:before="92" w:line="228" w:lineRule="auto"/>
              <w:ind w:left="428"/>
              <w:rPr>
                <w:sz w:val="20"/>
                <w:szCs w:val="20"/>
              </w:rPr>
            </w:pPr>
            <w:r>
              <w:rPr>
                <w:spacing w:val="7"/>
                <w:sz w:val="20"/>
                <w:szCs w:val="20"/>
              </w:rPr>
              <w:t>压井管汇</w:t>
            </w:r>
          </w:p>
        </w:tc>
        <w:tc>
          <w:tcPr>
            <w:tcW w:w="1981" w:type="dxa"/>
            <w:vAlign w:val="top"/>
          </w:tcPr>
          <w:p w14:paraId="44C53F14">
            <w:pPr>
              <w:spacing w:before="129" w:line="195" w:lineRule="auto"/>
              <w:ind w:left="694"/>
              <w:rPr>
                <w:rFonts w:ascii="Times New Roman" w:hAnsi="Times New Roman" w:eastAsia="Times New Roman" w:cs="Times New Roman"/>
                <w:sz w:val="20"/>
                <w:szCs w:val="20"/>
              </w:rPr>
            </w:pPr>
            <w:r>
              <w:rPr>
                <w:rFonts w:ascii="Times New Roman" w:hAnsi="Times New Roman" w:eastAsia="Times New Roman" w:cs="Times New Roman"/>
                <w:sz w:val="20"/>
                <w:szCs w:val="20"/>
              </w:rPr>
              <w:t>YG</w:t>
            </w:r>
            <w:r>
              <w:rPr>
                <w:rFonts w:ascii="Times New Roman" w:hAnsi="Times New Roman" w:eastAsia="Times New Roman" w:cs="Times New Roman"/>
                <w:spacing w:val="9"/>
                <w:sz w:val="20"/>
                <w:szCs w:val="20"/>
              </w:rPr>
              <w:t>-35</w:t>
            </w:r>
          </w:p>
        </w:tc>
        <w:tc>
          <w:tcPr>
            <w:tcW w:w="848" w:type="dxa"/>
            <w:vAlign w:val="top"/>
          </w:tcPr>
          <w:p w14:paraId="204DDE9C">
            <w:pPr>
              <w:spacing w:before="129" w:line="195" w:lineRule="auto"/>
              <w:ind w:left="39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09" w:type="dxa"/>
            <w:vAlign w:val="top"/>
          </w:tcPr>
          <w:p w14:paraId="71B0D577">
            <w:pPr>
              <w:pStyle w:val="6"/>
              <w:spacing w:before="92" w:line="228" w:lineRule="auto"/>
              <w:ind w:left="257"/>
              <w:rPr>
                <w:sz w:val="20"/>
                <w:szCs w:val="20"/>
              </w:rPr>
            </w:pPr>
            <w:r>
              <w:rPr>
                <w:sz w:val="20"/>
                <w:szCs w:val="20"/>
              </w:rPr>
              <w:t>个</w:t>
            </w:r>
          </w:p>
        </w:tc>
        <w:tc>
          <w:tcPr>
            <w:tcW w:w="1964" w:type="dxa"/>
            <w:tcBorders>
              <w:right w:val="single" w:color="000000" w:sz="6" w:space="0"/>
            </w:tcBorders>
            <w:vAlign w:val="top"/>
          </w:tcPr>
          <w:p w14:paraId="2275D5A9">
            <w:pPr>
              <w:rPr>
                <w:rFonts w:ascii="Arial"/>
                <w:sz w:val="21"/>
              </w:rPr>
            </w:pPr>
          </w:p>
        </w:tc>
      </w:tr>
      <w:tr w14:paraId="100A7D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466" w:type="dxa"/>
            <w:vMerge w:val="continue"/>
            <w:tcBorders>
              <w:top w:val="nil"/>
              <w:left w:val="single" w:color="000000" w:sz="6" w:space="0"/>
              <w:bottom w:val="nil"/>
              <w:right w:val="single" w:color="000000" w:sz="2" w:space="0"/>
            </w:tcBorders>
            <w:vAlign w:val="top"/>
          </w:tcPr>
          <w:p w14:paraId="35248B2B">
            <w:pPr>
              <w:rPr>
                <w:rFonts w:ascii="Arial"/>
                <w:sz w:val="21"/>
              </w:rPr>
            </w:pPr>
          </w:p>
        </w:tc>
        <w:tc>
          <w:tcPr>
            <w:tcW w:w="558" w:type="dxa"/>
            <w:vMerge w:val="continue"/>
            <w:tcBorders>
              <w:top w:val="nil"/>
              <w:left w:val="single" w:color="000000" w:sz="2" w:space="0"/>
              <w:bottom w:val="nil"/>
            </w:tcBorders>
            <w:vAlign w:val="top"/>
          </w:tcPr>
          <w:p w14:paraId="19594970">
            <w:pPr>
              <w:rPr>
                <w:rFonts w:ascii="Arial"/>
                <w:sz w:val="21"/>
              </w:rPr>
            </w:pPr>
          </w:p>
        </w:tc>
        <w:tc>
          <w:tcPr>
            <w:tcW w:w="692" w:type="dxa"/>
            <w:vMerge w:val="continue"/>
            <w:tcBorders>
              <w:top w:val="nil"/>
              <w:bottom w:val="nil"/>
            </w:tcBorders>
            <w:vAlign w:val="top"/>
          </w:tcPr>
          <w:p w14:paraId="116A5256">
            <w:pPr>
              <w:rPr>
                <w:rFonts w:ascii="Arial"/>
                <w:sz w:val="21"/>
              </w:rPr>
            </w:pPr>
          </w:p>
        </w:tc>
        <w:tc>
          <w:tcPr>
            <w:tcW w:w="1697" w:type="dxa"/>
            <w:vAlign w:val="top"/>
          </w:tcPr>
          <w:p w14:paraId="133BC78C">
            <w:pPr>
              <w:pStyle w:val="6"/>
              <w:spacing w:before="91" w:line="228" w:lineRule="auto"/>
              <w:ind w:left="218"/>
              <w:rPr>
                <w:sz w:val="20"/>
                <w:szCs w:val="20"/>
              </w:rPr>
            </w:pPr>
            <w:r>
              <w:rPr>
                <w:spacing w:val="8"/>
                <w:sz w:val="20"/>
                <w:szCs w:val="20"/>
              </w:rPr>
              <w:t>顶驱液动旋塞</w:t>
            </w:r>
          </w:p>
        </w:tc>
        <w:tc>
          <w:tcPr>
            <w:tcW w:w="1981" w:type="dxa"/>
            <w:vAlign w:val="top"/>
          </w:tcPr>
          <w:p w14:paraId="3EDAC197">
            <w:pPr>
              <w:spacing w:before="123" w:line="199" w:lineRule="auto"/>
              <w:ind w:left="716"/>
              <w:rPr>
                <w:rFonts w:ascii="Times New Roman" w:hAnsi="Times New Roman" w:eastAsia="Times New Roman" w:cs="Times New Roman"/>
                <w:sz w:val="20"/>
                <w:szCs w:val="20"/>
              </w:rPr>
            </w:pPr>
            <w:r>
              <w:rPr>
                <w:rFonts w:ascii="Times New Roman" w:hAnsi="Times New Roman" w:eastAsia="Times New Roman" w:cs="Times New Roman"/>
                <w:sz w:val="20"/>
                <w:szCs w:val="20"/>
              </w:rPr>
              <w:t>197/70</w:t>
            </w:r>
          </w:p>
        </w:tc>
        <w:tc>
          <w:tcPr>
            <w:tcW w:w="848" w:type="dxa"/>
            <w:vAlign w:val="top"/>
          </w:tcPr>
          <w:p w14:paraId="3F43507E">
            <w:pPr>
              <w:spacing w:before="127" w:line="195" w:lineRule="auto"/>
              <w:ind w:left="39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09" w:type="dxa"/>
            <w:vAlign w:val="top"/>
          </w:tcPr>
          <w:p w14:paraId="0FE7704E">
            <w:pPr>
              <w:pStyle w:val="6"/>
              <w:spacing w:before="91" w:line="228" w:lineRule="auto"/>
              <w:ind w:left="257"/>
              <w:rPr>
                <w:sz w:val="20"/>
                <w:szCs w:val="20"/>
              </w:rPr>
            </w:pPr>
            <w:r>
              <w:rPr>
                <w:sz w:val="20"/>
                <w:szCs w:val="20"/>
              </w:rPr>
              <w:t>个</w:t>
            </w:r>
          </w:p>
        </w:tc>
        <w:tc>
          <w:tcPr>
            <w:tcW w:w="1964" w:type="dxa"/>
            <w:tcBorders>
              <w:right w:val="single" w:color="000000" w:sz="6" w:space="0"/>
            </w:tcBorders>
            <w:vAlign w:val="top"/>
          </w:tcPr>
          <w:p w14:paraId="3FD3A36F">
            <w:pPr>
              <w:rPr>
                <w:rFonts w:ascii="Arial"/>
                <w:sz w:val="21"/>
              </w:rPr>
            </w:pPr>
          </w:p>
        </w:tc>
      </w:tr>
      <w:tr w14:paraId="2D121D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466" w:type="dxa"/>
            <w:vMerge w:val="continue"/>
            <w:tcBorders>
              <w:top w:val="nil"/>
              <w:left w:val="single" w:color="000000" w:sz="6" w:space="0"/>
              <w:bottom w:val="nil"/>
              <w:right w:val="single" w:color="000000" w:sz="2" w:space="0"/>
            </w:tcBorders>
            <w:vAlign w:val="top"/>
          </w:tcPr>
          <w:p w14:paraId="01F8E8CA">
            <w:pPr>
              <w:rPr>
                <w:rFonts w:ascii="Arial"/>
                <w:sz w:val="21"/>
              </w:rPr>
            </w:pPr>
          </w:p>
        </w:tc>
        <w:tc>
          <w:tcPr>
            <w:tcW w:w="558" w:type="dxa"/>
            <w:vMerge w:val="continue"/>
            <w:tcBorders>
              <w:top w:val="nil"/>
              <w:left w:val="single" w:color="000000" w:sz="2" w:space="0"/>
              <w:bottom w:val="nil"/>
            </w:tcBorders>
            <w:vAlign w:val="top"/>
          </w:tcPr>
          <w:p w14:paraId="24B94383">
            <w:pPr>
              <w:rPr>
                <w:rFonts w:ascii="Arial"/>
                <w:sz w:val="21"/>
              </w:rPr>
            </w:pPr>
          </w:p>
        </w:tc>
        <w:tc>
          <w:tcPr>
            <w:tcW w:w="692" w:type="dxa"/>
            <w:vMerge w:val="continue"/>
            <w:tcBorders>
              <w:top w:val="nil"/>
              <w:bottom w:val="nil"/>
            </w:tcBorders>
            <w:vAlign w:val="top"/>
          </w:tcPr>
          <w:p w14:paraId="448A7812">
            <w:pPr>
              <w:rPr>
                <w:rFonts w:ascii="Arial"/>
                <w:sz w:val="21"/>
              </w:rPr>
            </w:pPr>
          </w:p>
        </w:tc>
        <w:tc>
          <w:tcPr>
            <w:tcW w:w="1697" w:type="dxa"/>
            <w:vAlign w:val="top"/>
          </w:tcPr>
          <w:p w14:paraId="414E7EA3">
            <w:pPr>
              <w:pStyle w:val="6"/>
              <w:spacing w:before="93" w:line="228" w:lineRule="auto"/>
              <w:ind w:left="218"/>
              <w:rPr>
                <w:sz w:val="20"/>
                <w:szCs w:val="20"/>
              </w:rPr>
            </w:pPr>
            <w:r>
              <w:rPr>
                <w:spacing w:val="8"/>
                <w:sz w:val="20"/>
                <w:szCs w:val="20"/>
              </w:rPr>
              <w:t>顶驱手动旋塞</w:t>
            </w:r>
          </w:p>
        </w:tc>
        <w:tc>
          <w:tcPr>
            <w:tcW w:w="1981" w:type="dxa"/>
            <w:vAlign w:val="top"/>
          </w:tcPr>
          <w:p w14:paraId="4A8E99D0">
            <w:pPr>
              <w:spacing w:before="125" w:line="199" w:lineRule="auto"/>
              <w:ind w:left="38"/>
              <w:rPr>
                <w:rFonts w:ascii="Times New Roman" w:hAnsi="Times New Roman" w:eastAsia="Times New Roman" w:cs="Times New Roman"/>
                <w:sz w:val="20"/>
                <w:szCs w:val="20"/>
              </w:rPr>
            </w:pPr>
            <w:r>
              <w:rPr>
                <w:rFonts w:ascii="Times New Roman" w:hAnsi="Times New Roman" w:eastAsia="Times New Roman" w:cs="Times New Roman"/>
                <w:sz w:val="20"/>
                <w:szCs w:val="20"/>
              </w:rPr>
              <w:t>FXS</w:t>
            </w:r>
            <w:r>
              <w:rPr>
                <w:rFonts w:ascii="Times New Roman" w:hAnsi="Times New Roman" w:eastAsia="Times New Roman" w:cs="Times New Roman"/>
                <w:spacing w:val="6"/>
                <w:sz w:val="20"/>
                <w:szCs w:val="20"/>
              </w:rPr>
              <w:t>197/70-6-5/8</w:t>
            </w:r>
            <w:r>
              <w:rPr>
                <w:rFonts w:ascii="Times New Roman" w:hAnsi="Times New Roman" w:eastAsia="Times New Roman" w:cs="Times New Roman"/>
                <w:sz w:val="20"/>
                <w:szCs w:val="20"/>
              </w:rPr>
              <w:t>REG</w:t>
            </w:r>
          </w:p>
        </w:tc>
        <w:tc>
          <w:tcPr>
            <w:tcW w:w="848" w:type="dxa"/>
            <w:vAlign w:val="top"/>
          </w:tcPr>
          <w:p w14:paraId="7795446F">
            <w:pPr>
              <w:rPr>
                <w:rFonts w:ascii="Arial"/>
                <w:sz w:val="21"/>
              </w:rPr>
            </w:pPr>
          </w:p>
        </w:tc>
        <w:tc>
          <w:tcPr>
            <w:tcW w:w="709" w:type="dxa"/>
            <w:vAlign w:val="top"/>
          </w:tcPr>
          <w:p w14:paraId="19D8315C">
            <w:pPr>
              <w:rPr>
                <w:rFonts w:ascii="Arial"/>
                <w:sz w:val="21"/>
              </w:rPr>
            </w:pPr>
          </w:p>
        </w:tc>
        <w:tc>
          <w:tcPr>
            <w:tcW w:w="1964" w:type="dxa"/>
            <w:tcBorders>
              <w:right w:val="single" w:color="000000" w:sz="6" w:space="0"/>
            </w:tcBorders>
            <w:vAlign w:val="top"/>
          </w:tcPr>
          <w:p w14:paraId="6454B5D8">
            <w:pPr>
              <w:rPr>
                <w:rFonts w:ascii="Arial"/>
                <w:sz w:val="21"/>
              </w:rPr>
            </w:pPr>
          </w:p>
        </w:tc>
      </w:tr>
      <w:tr w14:paraId="5975D7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466" w:type="dxa"/>
            <w:vMerge w:val="continue"/>
            <w:tcBorders>
              <w:top w:val="nil"/>
              <w:left w:val="single" w:color="000000" w:sz="6" w:space="0"/>
              <w:bottom w:val="nil"/>
              <w:right w:val="single" w:color="000000" w:sz="2" w:space="0"/>
            </w:tcBorders>
            <w:vAlign w:val="top"/>
          </w:tcPr>
          <w:p w14:paraId="4735B49D">
            <w:pPr>
              <w:rPr>
                <w:rFonts w:ascii="Arial"/>
                <w:sz w:val="21"/>
              </w:rPr>
            </w:pPr>
          </w:p>
        </w:tc>
        <w:tc>
          <w:tcPr>
            <w:tcW w:w="558" w:type="dxa"/>
            <w:vMerge w:val="continue"/>
            <w:tcBorders>
              <w:top w:val="nil"/>
              <w:left w:val="single" w:color="000000" w:sz="2" w:space="0"/>
            </w:tcBorders>
            <w:vAlign w:val="top"/>
          </w:tcPr>
          <w:p w14:paraId="4385FBC1">
            <w:pPr>
              <w:rPr>
                <w:rFonts w:ascii="Arial"/>
                <w:sz w:val="21"/>
              </w:rPr>
            </w:pPr>
          </w:p>
        </w:tc>
        <w:tc>
          <w:tcPr>
            <w:tcW w:w="692" w:type="dxa"/>
            <w:vMerge w:val="continue"/>
            <w:tcBorders>
              <w:top w:val="nil"/>
            </w:tcBorders>
            <w:vAlign w:val="top"/>
          </w:tcPr>
          <w:p w14:paraId="1AA1E652">
            <w:pPr>
              <w:rPr>
                <w:rFonts w:ascii="Arial"/>
                <w:sz w:val="21"/>
              </w:rPr>
            </w:pPr>
          </w:p>
        </w:tc>
        <w:tc>
          <w:tcPr>
            <w:tcW w:w="1697" w:type="dxa"/>
            <w:vAlign w:val="top"/>
          </w:tcPr>
          <w:p w14:paraId="70BBB23A">
            <w:pPr>
              <w:pStyle w:val="6"/>
              <w:spacing w:before="95" w:line="228" w:lineRule="auto"/>
              <w:ind w:left="324"/>
              <w:rPr>
                <w:sz w:val="20"/>
                <w:szCs w:val="20"/>
              </w:rPr>
            </w:pPr>
            <w:r>
              <w:rPr>
                <w:spacing w:val="8"/>
                <w:sz w:val="20"/>
                <w:szCs w:val="20"/>
              </w:rPr>
              <w:t>节流液控箱</w:t>
            </w:r>
          </w:p>
        </w:tc>
        <w:tc>
          <w:tcPr>
            <w:tcW w:w="1981" w:type="dxa"/>
            <w:vAlign w:val="top"/>
          </w:tcPr>
          <w:p w14:paraId="525B9AFE">
            <w:pPr>
              <w:rPr>
                <w:rFonts w:ascii="Arial"/>
                <w:sz w:val="21"/>
              </w:rPr>
            </w:pPr>
          </w:p>
        </w:tc>
        <w:tc>
          <w:tcPr>
            <w:tcW w:w="848" w:type="dxa"/>
            <w:vAlign w:val="top"/>
          </w:tcPr>
          <w:p w14:paraId="2853C7A0">
            <w:pPr>
              <w:spacing w:before="131" w:line="195" w:lineRule="auto"/>
              <w:ind w:left="39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09" w:type="dxa"/>
            <w:vAlign w:val="top"/>
          </w:tcPr>
          <w:p w14:paraId="18E6940B">
            <w:pPr>
              <w:pStyle w:val="6"/>
              <w:spacing w:before="94" w:line="228" w:lineRule="auto"/>
              <w:ind w:left="257"/>
              <w:rPr>
                <w:sz w:val="20"/>
                <w:szCs w:val="20"/>
              </w:rPr>
            </w:pPr>
            <w:r>
              <w:rPr>
                <w:sz w:val="20"/>
                <w:szCs w:val="20"/>
              </w:rPr>
              <w:t>个</w:t>
            </w:r>
          </w:p>
        </w:tc>
        <w:tc>
          <w:tcPr>
            <w:tcW w:w="1964" w:type="dxa"/>
            <w:tcBorders>
              <w:right w:val="single" w:color="000000" w:sz="6" w:space="0"/>
            </w:tcBorders>
            <w:vAlign w:val="top"/>
          </w:tcPr>
          <w:p w14:paraId="5F6D5591">
            <w:pPr>
              <w:rPr>
                <w:rFonts w:ascii="Arial"/>
                <w:sz w:val="21"/>
              </w:rPr>
            </w:pPr>
          </w:p>
        </w:tc>
      </w:tr>
      <w:tr w14:paraId="4ACB8D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466" w:type="dxa"/>
            <w:vMerge w:val="continue"/>
            <w:tcBorders>
              <w:top w:val="nil"/>
              <w:left w:val="single" w:color="000000" w:sz="6" w:space="0"/>
              <w:bottom w:val="nil"/>
              <w:right w:val="single" w:color="000000" w:sz="2" w:space="0"/>
            </w:tcBorders>
            <w:vAlign w:val="top"/>
          </w:tcPr>
          <w:p w14:paraId="10FBA6B5">
            <w:pPr>
              <w:rPr>
                <w:rFonts w:ascii="Arial"/>
                <w:sz w:val="21"/>
              </w:rPr>
            </w:pPr>
          </w:p>
        </w:tc>
        <w:tc>
          <w:tcPr>
            <w:tcW w:w="558" w:type="dxa"/>
            <w:vMerge w:val="restart"/>
            <w:tcBorders>
              <w:left w:val="single" w:color="000000" w:sz="2" w:space="0"/>
              <w:bottom w:val="nil"/>
            </w:tcBorders>
            <w:vAlign w:val="top"/>
          </w:tcPr>
          <w:p w14:paraId="237F8E4D">
            <w:pPr>
              <w:spacing w:line="344" w:lineRule="auto"/>
              <w:rPr>
                <w:rFonts w:ascii="Arial"/>
                <w:sz w:val="21"/>
              </w:rPr>
            </w:pPr>
          </w:p>
          <w:p w14:paraId="3DBB708E">
            <w:pPr>
              <w:spacing w:line="344" w:lineRule="auto"/>
              <w:rPr>
                <w:rFonts w:ascii="Arial"/>
                <w:sz w:val="21"/>
              </w:rPr>
            </w:pPr>
          </w:p>
          <w:p w14:paraId="45CD1841">
            <w:pPr>
              <w:spacing w:before="57" w:line="195" w:lineRule="auto"/>
              <w:ind w:left="23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692" w:type="dxa"/>
            <w:vMerge w:val="restart"/>
            <w:tcBorders>
              <w:bottom w:val="nil"/>
            </w:tcBorders>
            <w:vAlign w:val="top"/>
          </w:tcPr>
          <w:p w14:paraId="252C45D1">
            <w:pPr>
              <w:spacing w:line="254" w:lineRule="auto"/>
              <w:rPr>
                <w:rFonts w:ascii="Arial"/>
                <w:sz w:val="21"/>
              </w:rPr>
            </w:pPr>
          </w:p>
          <w:p w14:paraId="0EA39074">
            <w:pPr>
              <w:spacing w:line="254" w:lineRule="auto"/>
              <w:rPr>
                <w:rFonts w:ascii="Arial"/>
                <w:sz w:val="21"/>
              </w:rPr>
            </w:pPr>
          </w:p>
          <w:p w14:paraId="3C5C2A11">
            <w:pPr>
              <w:pStyle w:val="6"/>
              <w:spacing w:before="65" w:line="252" w:lineRule="auto"/>
              <w:ind w:left="133" w:right="139"/>
              <w:rPr>
                <w:sz w:val="20"/>
                <w:szCs w:val="20"/>
              </w:rPr>
            </w:pPr>
            <w:r>
              <w:rPr>
                <w:spacing w:val="4"/>
                <w:sz w:val="20"/>
                <w:szCs w:val="20"/>
              </w:rPr>
              <w:t>仪器仪表</w:t>
            </w:r>
          </w:p>
        </w:tc>
        <w:tc>
          <w:tcPr>
            <w:tcW w:w="1697" w:type="dxa"/>
            <w:vAlign w:val="top"/>
          </w:tcPr>
          <w:p w14:paraId="348FB6DC">
            <w:pPr>
              <w:pStyle w:val="6"/>
              <w:spacing w:before="94" w:line="228" w:lineRule="auto"/>
              <w:ind w:left="218"/>
              <w:rPr>
                <w:sz w:val="20"/>
                <w:szCs w:val="20"/>
              </w:rPr>
            </w:pPr>
            <w:r>
              <w:rPr>
                <w:spacing w:val="8"/>
                <w:sz w:val="20"/>
                <w:szCs w:val="20"/>
              </w:rPr>
              <w:t>钻井参数仪表</w:t>
            </w:r>
          </w:p>
        </w:tc>
        <w:tc>
          <w:tcPr>
            <w:tcW w:w="1981" w:type="dxa"/>
            <w:vAlign w:val="top"/>
          </w:tcPr>
          <w:p w14:paraId="687E11B4">
            <w:pPr>
              <w:spacing w:before="133" w:line="192" w:lineRule="auto"/>
              <w:ind w:left="818"/>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DM</w:t>
            </w:r>
          </w:p>
        </w:tc>
        <w:tc>
          <w:tcPr>
            <w:tcW w:w="848" w:type="dxa"/>
            <w:vAlign w:val="top"/>
          </w:tcPr>
          <w:p w14:paraId="790AEFC4">
            <w:pPr>
              <w:spacing w:before="130" w:line="195" w:lineRule="auto"/>
              <w:ind w:left="39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09" w:type="dxa"/>
            <w:vAlign w:val="top"/>
          </w:tcPr>
          <w:p w14:paraId="20DE26D3">
            <w:pPr>
              <w:pStyle w:val="6"/>
              <w:spacing w:before="95" w:line="228" w:lineRule="auto"/>
              <w:ind w:left="258"/>
              <w:rPr>
                <w:sz w:val="20"/>
                <w:szCs w:val="20"/>
              </w:rPr>
            </w:pPr>
            <w:r>
              <w:rPr>
                <w:sz w:val="20"/>
                <w:szCs w:val="20"/>
              </w:rPr>
              <w:t>套</w:t>
            </w:r>
          </w:p>
        </w:tc>
        <w:tc>
          <w:tcPr>
            <w:tcW w:w="1964" w:type="dxa"/>
            <w:tcBorders>
              <w:right w:val="single" w:color="000000" w:sz="6" w:space="0"/>
            </w:tcBorders>
            <w:vAlign w:val="top"/>
          </w:tcPr>
          <w:p w14:paraId="233603D8">
            <w:pPr>
              <w:pStyle w:val="6"/>
              <w:spacing w:before="94" w:line="228" w:lineRule="auto"/>
              <w:ind w:left="304"/>
              <w:rPr>
                <w:sz w:val="20"/>
                <w:szCs w:val="20"/>
              </w:rPr>
            </w:pPr>
            <w:r>
              <w:rPr>
                <w:spacing w:val="8"/>
                <w:sz w:val="20"/>
                <w:szCs w:val="20"/>
              </w:rPr>
              <w:t>含死绳固定器</w:t>
            </w:r>
          </w:p>
        </w:tc>
      </w:tr>
      <w:tr w14:paraId="017919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466" w:type="dxa"/>
            <w:vMerge w:val="continue"/>
            <w:tcBorders>
              <w:top w:val="nil"/>
              <w:left w:val="single" w:color="000000" w:sz="6" w:space="0"/>
              <w:bottom w:val="nil"/>
              <w:right w:val="single" w:color="000000" w:sz="2" w:space="0"/>
            </w:tcBorders>
            <w:vAlign w:val="top"/>
          </w:tcPr>
          <w:p w14:paraId="055EF52F">
            <w:pPr>
              <w:rPr>
                <w:rFonts w:ascii="Arial"/>
                <w:sz w:val="21"/>
              </w:rPr>
            </w:pPr>
          </w:p>
        </w:tc>
        <w:tc>
          <w:tcPr>
            <w:tcW w:w="558" w:type="dxa"/>
            <w:vMerge w:val="continue"/>
            <w:tcBorders>
              <w:top w:val="nil"/>
              <w:left w:val="single" w:color="000000" w:sz="2" w:space="0"/>
              <w:bottom w:val="nil"/>
            </w:tcBorders>
            <w:vAlign w:val="top"/>
          </w:tcPr>
          <w:p w14:paraId="726AD6ED">
            <w:pPr>
              <w:rPr>
                <w:rFonts w:ascii="Arial"/>
                <w:sz w:val="21"/>
              </w:rPr>
            </w:pPr>
          </w:p>
        </w:tc>
        <w:tc>
          <w:tcPr>
            <w:tcW w:w="692" w:type="dxa"/>
            <w:vMerge w:val="continue"/>
            <w:tcBorders>
              <w:top w:val="nil"/>
              <w:bottom w:val="nil"/>
            </w:tcBorders>
            <w:vAlign w:val="top"/>
          </w:tcPr>
          <w:p w14:paraId="383CCF17">
            <w:pPr>
              <w:rPr>
                <w:rFonts w:ascii="Arial"/>
                <w:sz w:val="21"/>
              </w:rPr>
            </w:pPr>
          </w:p>
        </w:tc>
        <w:tc>
          <w:tcPr>
            <w:tcW w:w="1697" w:type="dxa"/>
            <w:vAlign w:val="top"/>
          </w:tcPr>
          <w:p w14:paraId="463BC0AE">
            <w:pPr>
              <w:pStyle w:val="6"/>
              <w:spacing w:before="95" w:line="228" w:lineRule="auto"/>
              <w:ind w:left="533"/>
              <w:rPr>
                <w:sz w:val="20"/>
                <w:szCs w:val="20"/>
              </w:rPr>
            </w:pPr>
            <w:r>
              <w:rPr>
                <w:spacing w:val="6"/>
                <w:sz w:val="20"/>
                <w:szCs w:val="20"/>
              </w:rPr>
              <w:t>测斜仪</w:t>
            </w:r>
          </w:p>
        </w:tc>
        <w:tc>
          <w:tcPr>
            <w:tcW w:w="1981" w:type="dxa"/>
            <w:vAlign w:val="top"/>
          </w:tcPr>
          <w:p w14:paraId="0F977755">
            <w:pPr>
              <w:spacing w:before="134" w:line="192" w:lineRule="auto"/>
              <w:ind w:left="720"/>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MWD</w:t>
            </w:r>
          </w:p>
        </w:tc>
        <w:tc>
          <w:tcPr>
            <w:tcW w:w="848" w:type="dxa"/>
            <w:vAlign w:val="top"/>
          </w:tcPr>
          <w:p w14:paraId="7640AF17">
            <w:pPr>
              <w:spacing w:before="131" w:line="195" w:lineRule="auto"/>
              <w:ind w:left="39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09" w:type="dxa"/>
            <w:vAlign w:val="top"/>
          </w:tcPr>
          <w:p w14:paraId="55F78E85">
            <w:pPr>
              <w:pStyle w:val="6"/>
              <w:spacing w:before="95" w:line="228" w:lineRule="auto"/>
              <w:ind w:left="257"/>
              <w:rPr>
                <w:sz w:val="20"/>
                <w:szCs w:val="20"/>
              </w:rPr>
            </w:pPr>
            <w:r>
              <w:rPr>
                <w:sz w:val="20"/>
                <w:szCs w:val="20"/>
              </w:rPr>
              <w:t>个</w:t>
            </w:r>
          </w:p>
        </w:tc>
        <w:tc>
          <w:tcPr>
            <w:tcW w:w="1964" w:type="dxa"/>
            <w:tcBorders>
              <w:right w:val="single" w:color="000000" w:sz="6" w:space="0"/>
            </w:tcBorders>
            <w:vAlign w:val="top"/>
          </w:tcPr>
          <w:p w14:paraId="0E10BB3B">
            <w:pPr>
              <w:rPr>
                <w:rFonts w:ascii="Arial"/>
                <w:sz w:val="21"/>
              </w:rPr>
            </w:pPr>
          </w:p>
        </w:tc>
      </w:tr>
      <w:tr w14:paraId="5B572D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466" w:type="dxa"/>
            <w:vMerge w:val="continue"/>
            <w:tcBorders>
              <w:top w:val="nil"/>
              <w:left w:val="single" w:color="000000" w:sz="6" w:space="0"/>
              <w:bottom w:val="nil"/>
              <w:right w:val="single" w:color="000000" w:sz="2" w:space="0"/>
            </w:tcBorders>
            <w:vAlign w:val="top"/>
          </w:tcPr>
          <w:p w14:paraId="618318F1">
            <w:pPr>
              <w:rPr>
                <w:rFonts w:ascii="Arial"/>
                <w:sz w:val="21"/>
              </w:rPr>
            </w:pPr>
          </w:p>
        </w:tc>
        <w:tc>
          <w:tcPr>
            <w:tcW w:w="558" w:type="dxa"/>
            <w:vMerge w:val="continue"/>
            <w:tcBorders>
              <w:top w:val="nil"/>
              <w:left w:val="single" w:color="000000" w:sz="2" w:space="0"/>
              <w:bottom w:val="nil"/>
            </w:tcBorders>
            <w:vAlign w:val="top"/>
          </w:tcPr>
          <w:p w14:paraId="14EFB772">
            <w:pPr>
              <w:rPr>
                <w:rFonts w:ascii="Arial"/>
                <w:sz w:val="21"/>
              </w:rPr>
            </w:pPr>
          </w:p>
        </w:tc>
        <w:tc>
          <w:tcPr>
            <w:tcW w:w="692" w:type="dxa"/>
            <w:vMerge w:val="continue"/>
            <w:tcBorders>
              <w:top w:val="nil"/>
              <w:bottom w:val="nil"/>
            </w:tcBorders>
            <w:vAlign w:val="top"/>
          </w:tcPr>
          <w:p w14:paraId="3A9E3D52">
            <w:pPr>
              <w:rPr>
                <w:rFonts w:ascii="Arial"/>
                <w:sz w:val="21"/>
              </w:rPr>
            </w:pPr>
          </w:p>
        </w:tc>
        <w:tc>
          <w:tcPr>
            <w:tcW w:w="1697" w:type="dxa"/>
            <w:vAlign w:val="top"/>
          </w:tcPr>
          <w:p w14:paraId="1006CD77">
            <w:pPr>
              <w:pStyle w:val="6"/>
              <w:spacing w:before="95" w:line="228" w:lineRule="auto"/>
              <w:ind w:left="428"/>
              <w:rPr>
                <w:sz w:val="20"/>
                <w:szCs w:val="20"/>
              </w:rPr>
            </w:pPr>
            <w:r>
              <w:rPr>
                <w:spacing w:val="7"/>
                <w:sz w:val="20"/>
                <w:szCs w:val="20"/>
              </w:rPr>
              <w:t>测斜绞车</w:t>
            </w:r>
          </w:p>
        </w:tc>
        <w:tc>
          <w:tcPr>
            <w:tcW w:w="1981" w:type="dxa"/>
            <w:vAlign w:val="top"/>
          </w:tcPr>
          <w:p w14:paraId="517650C1">
            <w:pPr>
              <w:rPr>
                <w:rFonts w:ascii="Arial"/>
                <w:sz w:val="21"/>
              </w:rPr>
            </w:pPr>
          </w:p>
        </w:tc>
        <w:tc>
          <w:tcPr>
            <w:tcW w:w="848" w:type="dxa"/>
            <w:vAlign w:val="top"/>
          </w:tcPr>
          <w:p w14:paraId="16E58481">
            <w:pPr>
              <w:spacing w:before="132" w:line="195" w:lineRule="auto"/>
              <w:ind w:left="39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09" w:type="dxa"/>
            <w:vAlign w:val="top"/>
          </w:tcPr>
          <w:p w14:paraId="0393DDB7">
            <w:pPr>
              <w:pStyle w:val="6"/>
              <w:spacing w:before="95" w:line="228" w:lineRule="auto"/>
              <w:ind w:left="257"/>
              <w:rPr>
                <w:sz w:val="20"/>
                <w:szCs w:val="20"/>
              </w:rPr>
            </w:pPr>
            <w:r>
              <w:rPr>
                <w:sz w:val="20"/>
                <w:szCs w:val="20"/>
              </w:rPr>
              <w:t>个</w:t>
            </w:r>
          </w:p>
        </w:tc>
        <w:tc>
          <w:tcPr>
            <w:tcW w:w="1964" w:type="dxa"/>
            <w:tcBorders>
              <w:right w:val="single" w:color="000000" w:sz="6" w:space="0"/>
            </w:tcBorders>
            <w:vAlign w:val="top"/>
          </w:tcPr>
          <w:p w14:paraId="572A83D4">
            <w:pPr>
              <w:rPr>
                <w:rFonts w:ascii="Arial"/>
                <w:sz w:val="21"/>
              </w:rPr>
            </w:pPr>
          </w:p>
        </w:tc>
      </w:tr>
      <w:tr w14:paraId="0F548A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466" w:type="dxa"/>
            <w:vMerge w:val="continue"/>
            <w:tcBorders>
              <w:top w:val="nil"/>
              <w:left w:val="single" w:color="000000" w:sz="6" w:space="0"/>
              <w:bottom w:val="nil"/>
              <w:right w:val="single" w:color="000000" w:sz="2" w:space="0"/>
            </w:tcBorders>
            <w:vAlign w:val="top"/>
          </w:tcPr>
          <w:p w14:paraId="4438562D">
            <w:pPr>
              <w:rPr>
                <w:rFonts w:ascii="Arial"/>
                <w:sz w:val="21"/>
              </w:rPr>
            </w:pPr>
          </w:p>
        </w:tc>
        <w:tc>
          <w:tcPr>
            <w:tcW w:w="558" w:type="dxa"/>
            <w:vMerge w:val="continue"/>
            <w:tcBorders>
              <w:top w:val="nil"/>
              <w:left w:val="single" w:color="000000" w:sz="2" w:space="0"/>
            </w:tcBorders>
            <w:vAlign w:val="top"/>
          </w:tcPr>
          <w:p w14:paraId="76298E7F">
            <w:pPr>
              <w:rPr>
                <w:rFonts w:ascii="Arial"/>
                <w:sz w:val="21"/>
              </w:rPr>
            </w:pPr>
          </w:p>
        </w:tc>
        <w:tc>
          <w:tcPr>
            <w:tcW w:w="692" w:type="dxa"/>
            <w:vMerge w:val="continue"/>
            <w:tcBorders>
              <w:top w:val="nil"/>
            </w:tcBorders>
            <w:vAlign w:val="top"/>
          </w:tcPr>
          <w:p w14:paraId="6DBE0F0A">
            <w:pPr>
              <w:rPr>
                <w:rFonts w:ascii="Arial"/>
                <w:sz w:val="21"/>
              </w:rPr>
            </w:pPr>
          </w:p>
        </w:tc>
        <w:tc>
          <w:tcPr>
            <w:tcW w:w="1697" w:type="dxa"/>
            <w:vAlign w:val="top"/>
          </w:tcPr>
          <w:p w14:paraId="60D0B0EA">
            <w:pPr>
              <w:pStyle w:val="6"/>
              <w:spacing w:before="95" w:line="228" w:lineRule="auto"/>
              <w:ind w:left="325"/>
              <w:rPr>
                <w:sz w:val="20"/>
                <w:szCs w:val="20"/>
              </w:rPr>
            </w:pPr>
            <w:r>
              <w:rPr>
                <w:spacing w:val="7"/>
                <w:sz w:val="20"/>
                <w:szCs w:val="20"/>
              </w:rPr>
              <w:t>液位报警仪</w:t>
            </w:r>
          </w:p>
        </w:tc>
        <w:tc>
          <w:tcPr>
            <w:tcW w:w="1981" w:type="dxa"/>
            <w:vAlign w:val="top"/>
          </w:tcPr>
          <w:p w14:paraId="0A424165">
            <w:pPr>
              <w:rPr>
                <w:rFonts w:ascii="Arial"/>
                <w:sz w:val="21"/>
              </w:rPr>
            </w:pPr>
          </w:p>
        </w:tc>
        <w:tc>
          <w:tcPr>
            <w:tcW w:w="848" w:type="dxa"/>
            <w:vAlign w:val="top"/>
          </w:tcPr>
          <w:p w14:paraId="5A70915C">
            <w:pPr>
              <w:spacing w:before="131" w:line="195" w:lineRule="auto"/>
              <w:ind w:left="39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09" w:type="dxa"/>
            <w:vAlign w:val="top"/>
          </w:tcPr>
          <w:p w14:paraId="2F6BF4EA">
            <w:pPr>
              <w:pStyle w:val="6"/>
              <w:spacing w:before="95" w:line="228" w:lineRule="auto"/>
              <w:ind w:left="257"/>
              <w:rPr>
                <w:sz w:val="20"/>
                <w:szCs w:val="20"/>
              </w:rPr>
            </w:pPr>
            <w:r>
              <w:rPr>
                <w:sz w:val="20"/>
                <w:szCs w:val="20"/>
              </w:rPr>
              <w:t>个</w:t>
            </w:r>
          </w:p>
        </w:tc>
        <w:tc>
          <w:tcPr>
            <w:tcW w:w="1964" w:type="dxa"/>
            <w:tcBorders>
              <w:right w:val="single" w:color="000000" w:sz="6" w:space="0"/>
            </w:tcBorders>
            <w:vAlign w:val="top"/>
          </w:tcPr>
          <w:p w14:paraId="552FA00C">
            <w:pPr>
              <w:rPr>
                <w:rFonts w:ascii="Arial"/>
                <w:sz w:val="21"/>
              </w:rPr>
            </w:pPr>
          </w:p>
        </w:tc>
      </w:tr>
      <w:tr w14:paraId="3CA8F5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466" w:type="dxa"/>
            <w:vMerge w:val="continue"/>
            <w:tcBorders>
              <w:top w:val="nil"/>
              <w:left w:val="single" w:color="000000" w:sz="6" w:space="0"/>
              <w:bottom w:val="nil"/>
              <w:right w:val="single" w:color="000000" w:sz="2" w:space="0"/>
            </w:tcBorders>
            <w:vAlign w:val="top"/>
          </w:tcPr>
          <w:p w14:paraId="16280181">
            <w:pPr>
              <w:rPr>
                <w:rFonts w:ascii="Arial"/>
                <w:sz w:val="21"/>
              </w:rPr>
            </w:pPr>
          </w:p>
        </w:tc>
        <w:tc>
          <w:tcPr>
            <w:tcW w:w="558" w:type="dxa"/>
            <w:tcBorders>
              <w:left w:val="single" w:color="000000" w:sz="2" w:space="0"/>
            </w:tcBorders>
            <w:vAlign w:val="top"/>
          </w:tcPr>
          <w:p w14:paraId="05F5A28E">
            <w:pPr>
              <w:spacing w:before="133" w:line="195" w:lineRule="auto"/>
              <w:ind w:left="23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2389" w:type="dxa"/>
            <w:gridSpan w:val="2"/>
            <w:vAlign w:val="top"/>
          </w:tcPr>
          <w:p w14:paraId="7B69B2B4">
            <w:pPr>
              <w:pStyle w:val="6"/>
              <w:spacing w:before="97" w:line="228" w:lineRule="auto"/>
              <w:ind w:left="775"/>
              <w:rPr>
                <w:sz w:val="20"/>
                <w:szCs w:val="20"/>
              </w:rPr>
            </w:pPr>
            <w:r>
              <w:rPr>
                <w:spacing w:val="6"/>
                <w:sz w:val="20"/>
                <w:szCs w:val="20"/>
              </w:rPr>
              <w:t>液压大钳</w:t>
            </w:r>
          </w:p>
        </w:tc>
        <w:tc>
          <w:tcPr>
            <w:tcW w:w="1981" w:type="dxa"/>
            <w:vAlign w:val="top"/>
          </w:tcPr>
          <w:p w14:paraId="6FCCF84D">
            <w:pPr>
              <w:rPr>
                <w:rFonts w:ascii="Arial"/>
                <w:sz w:val="21"/>
              </w:rPr>
            </w:pPr>
          </w:p>
        </w:tc>
        <w:tc>
          <w:tcPr>
            <w:tcW w:w="848" w:type="dxa"/>
            <w:vAlign w:val="top"/>
          </w:tcPr>
          <w:p w14:paraId="7DC3E7EC">
            <w:pPr>
              <w:spacing w:before="133" w:line="195" w:lineRule="auto"/>
              <w:ind w:left="39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09" w:type="dxa"/>
            <w:vAlign w:val="top"/>
          </w:tcPr>
          <w:p w14:paraId="284A2679">
            <w:pPr>
              <w:pStyle w:val="6"/>
              <w:spacing w:before="97" w:line="228" w:lineRule="auto"/>
              <w:ind w:left="257"/>
              <w:rPr>
                <w:sz w:val="20"/>
                <w:szCs w:val="20"/>
              </w:rPr>
            </w:pPr>
            <w:r>
              <w:rPr>
                <w:sz w:val="20"/>
                <w:szCs w:val="20"/>
              </w:rPr>
              <w:t>个</w:t>
            </w:r>
          </w:p>
        </w:tc>
        <w:tc>
          <w:tcPr>
            <w:tcW w:w="1964" w:type="dxa"/>
            <w:tcBorders>
              <w:right w:val="single" w:color="000000" w:sz="6" w:space="0"/>
            </w:tcBorders>
            <w:vAlign w:val="top"/>
          </w:tcPr>
          <w:p w14:paraId="718F6732">
            <w:pPr>
              <w:rPr>
                <w:rFonts w:ascii="Arial"/>
                <w:sz w:val="21"/>
              </w:rPr>
            </w:pPr>
          </w:p>
        </w:tc>
      </w:tr>
      <w:tr w14:paraId="5D352E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466" w:type="dxa"/>
            <w:vMerge w:val="continue"/>
            <w:tcBorders>
              <w:top w:val="nil"/>
              <w:left w:val="single" w:color="000000" w:sz="6" w:space="0"/>
              <w:bottom w:val="nil"/>
              <w:right w:val="single" w:color="000000" w:sz="2" w:space="0"/>
            </w:tcBorders>
            <w:vAlign w:val="top"/>
          </w:tcPr>
          <w:p w14:paraId="12B6A6E1">
            <w:pPr>
              <w:rPr>
                <w:rFonts w:ascii="Arial"/>
                <w:sz w:val="21"/>
              </w:rPr>
            </w:pPr>
          </w:p>
        </w:tc>
        <w:tc>
          <w:tcPr>
            <w:tcW w:w="558" w:type="dxa"/>
            <w:tcBorders>
              <w:left w:val="single" w:color="000000" w:sz="2" w:space="0"/>
            </w:tcBorders>
            <w:vAlign w:val="top"/>
          </w:tcPr>
          <w:p w14:paraId="03FF3559">
            <w:pPr>
              <w:spacing w:before="134" w:line="195" w:lineRule="auto"/>
              <w:ind w:left="23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2389" w:type="dxa"/>
            <w:gridSpan w:val="2"/>
            <w:vAlign w:val="top"/>
          </w:tcPr>
          <w:p w14:paraId="0EEB78A0">
            <w:pPr>
              <w:pStyle w:val="6"/>
              <w:spacing w:before="98" w:line="228" w:lineRule="auto"/>
              <w:ind w:left="669"/>
              <w:rPr>
                <w:sz w:val="20"/>
                <w:szCs w:val="20"/>
              </w:rPr>
            </w:pPr>
            <w:r>
              <w:rPr>
                <w:spacing w:val="7"/>
                <w:sz w:val="20"/>
                <w:szCs w:val="20"/>
              </w:rPr>
              <w:t>液气分离器</w:t>
            </w:r>
          </w:p>
        </w:tc>
        <w:tc>
          <w:tcPr>
            <w:tcW w:w="1981" w:type="dxa"/>
            <w:vAlign w:val="top"/>
          </w:tcPr>
          <w:p w14:paraId="52912DC2">
            <w:pPr>
              <w:spacing w:before="133" w:line="197" w:lineRule="auto"/>
              <w:ind w:left="394"/>
              <w:rPr>
                <w:rFonts w:ascii="Times New Roman" w:hAnsi="Times New Roman" w:eastAsia="Times New Roman" w:cs="Times New Roman"/>
                <w:sz w:val="20"/>
                <w:szCs w:val="20"/>
              </w:rPr>
            </w:pPr>
            <w:r>
              <w:rPr>
                <w:rFonts w:ascii="Times New Roman" w:hAnsi="Times New Roman" w:eastAsia="Times New Roman" w:cs="Times New Roman"/>
                <w:sz w:val="20"/>
                <w:szCs w:val="20"/>
              </w:rPr>
              <w:t>NQF</w:t>
            </w:r>
            <w:r>
              <w:rPr>
                <w:rFonts w:ascii="Times New Roman" w:hAnsi="Times New Roman" w:eastAsia="Times New Roman" w:cs="Times New Roman"/>
                <w:spacing w:val="7"/>
                <w:sz w:val="20"/>
                <w:szCs w:val="20"/>
              </w:rPr>
              <w:t>1200-2.5</w:t>
            </w:r>
          </w:p>
        </w:tc>
        <w:tc>
          <w:tcPr>
            <w:tcW w:w="848" w:type="dxa"/>
            <w:vAlign w:val="top"/>
          </w:tcPr>
          <w:p w14:paraId="0E5C136D">
            <w:pPr>
              <w:spacing w:before="134" w:line="195" w:lineRule="auto"/>
              <w:ind w:left="39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09" w:type="dxa"/>
            <w:vAlign w:val="top"/>
          </w:tcPr>
          <w:p w14:paraId="09012FFE">
            <w:pPr>
              <w:pStyle w:val="6"/>
              <w:spacing w:before="98" w:line="228" w:lineRule="auto"/>
              <w:ind w:left="258"/>
              <w:rPr>
                <w:sz w:val="20"/>
                <w:szCs w:val="20"/>
              </w:rPr>
            </w:pPr>
            <w:r>
              <w:rPr>
                <w:sz w:val="20"/>
                <w:szCs w:val="20"/>
              </w:rPr>
              <w:t>套</w:t>
            </w:r>
          </w:p>
        </w:tc>
        <w:tc>
          <w:tcPr>
            <w:tcW w:w="1964" w:type="dxa"/>
            <w:tcBorders>
              <w:right w:val="single" w:color="000000" w:sz="6" w:space="0"/>
            </w:tcBorders>
            <w:vAlign w:val="top"/>
          </w:tcPr>
          <w:p w14:paraId="170DD905">
            <w:pPr>
              <w:rPr>
                <w:rFonts w:ascii="Arial"/>
                <w:sz w:val="21"/>
              </w:rPr>
            </w:pPr>
          </w:p>
        </w:tc>
      </w:tr>
      <w:tr w14:paraId="1BD3BB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466" w:type="dxa"/>
            <w:vMerge w:val="continue"/>
            <w:tcBorders>
              <w:top w:val="nil"/>
              <w:left w:val="single" w:color="000000" w:sz="6" w:space="0"/>
              <w:bottom w:val="nil"/>
              <w:right w:val="single" w:color="000000" w:sz="2" w:space="0"/>
            </w:tcBorders>
            <w:vAlign w:val="top"/>
          </w:tcPr>
          <w:p w14:paraId="204630CE">
            <w:pPr>
              <w:rPr>
                <w:rFonts w:ascii="Arial"/>
                <w:sz w:val="21"/>
              </w:rPr>
            </w:pPr>
          </w:p>
        </w:tc>
        <w:tc>
          <w:tcPr>
            <w:tcW w:w="558" w:type="dxa"/>
            <w:tcBorders>
              <w:left w:val="single" w:color="000000" w:sz="2" w:space="0"/>
            </w:tcBorders>
            <w:vAlign w:val="top"/>
          </w:tcPr>
          <w:p w14:paraId="73A53AF3">
            <w:pPr>
              <w:spacing w:before="133" w:line="195" w:lineRule="auto"/>
              <w:ind w:left="23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2389" w:type="dxa"/>
            <w:gridSpan w:val="2"/>
            <w:vAlign w:val="top"/>
          </w:tcPr>
          <w:p w14:paraId="0CC727BC">
            <w:pPr>
              <w:pStyle w:val="6"/>
              <w:spacing w:before="97" w:line="228" w:lineRule="auto"/>
              <w:ind w:left="596"/>
              <w:rPr>
                <w:sz w:val="20"/>
                <w:szCs w:val="20"/>
              </w:rPr>
            </w:pPr>
            <w:r>
              <w:rPr>
                <w:spacing w:val="2"/>
                <w:sz w:val="20"/>
                <w:szCs w:val="20"/>
              </w:rPr>
              <w:t>自动点火装置</w:t>
            </w:r>
          </w:p>
        </w:tc>
        <w:tc>
          <w:tcPr>
            <w:tcW w:w="1981" w:type="dxa"/>
            <w:vAlign w:val="top"/>
          </w:tcPr>
          <w:p w14:paraId="1952BD34">
            <w:pPr>
              <w:rPr>
                <w:rFonts w:ascii="Arial"/>
                <w:sz w:val="21"/>
              </w:rPr>
            </w:pPr>
          </w:p>
        </w:tc>
        <w:tc>
          <w:tcPr>
            <w:tcW w:w="848" w:type="dxa"/>
            <w:vAlign w:val="top"/>
          </w:tcPr>
          <w:p w14:paraId="114D5F55">
            <w:pPr>
              <w:spacing w:before="133" w:line="195" w:lineRule="auto"/>
              <w:ind w:left="39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09" w:type="dxa"/>
            <w:vAlign w:val="top"/>
          </w:tcPr>
          <w:p w14:paraId="16FF2821">
            <w:pPr>
              <w:pStyle w:val="6"/>
              <w:spacing w:before="98" w:line="228" w:lineRule="auto"/>
              <w:ind w:left="258"/>
              <w:rPr>
                <w:sz w:val="20"/>
                <w:szCs w:val="20"/>
              </w:rPr>
            </w:pPr>
            <w:r>
              <w:rPr>
                <w:sz w:val="20"/>
                <w:szCs w:val="20"/>
              </w:rPr>
              <w:t>套</w:t>
            </w:r>
          </w:p>
        </w:tc>
        <w:tc>
          <w:tcPr>
            <w:tcW w:w="1964" w:type="dxa"/>
            <w:tcBorders>
              <w:right w:val="single" w:color="000000" w:sz="6" w:space="0"/>
            </w:tcBorders>
            <w:vAlign w:val="top"/>
          </w:tcPr>
          <w:p w14:paraId="6BDC40D9">
            <w:pPr>
              <w:rPr>
                <w:rFonts w:ascii="Arial"/>
                <w:sz w:val="21"/>
              </w:rPr>
            </w:pPr>
          </w:p>
        </w:tc>
      </w:tr>
      <w:tr w14:paraId="4A3F1C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466" w:type="dxa"/>
            <w:vMerge w:val="continue"/>
            <w:tcBorders>
              <w:top w:val="nil"/>
              <w:left w:val="single" w:color="000000" w:sz="6" w:space="0"/>
              <w:bottom w:val="nil"/>
              <w:right w:val="single" w:color="000000" w:sz="2" w:space="0"/>
            </w:tcBorders>
            <w:vAlign w:val="top"/>
          </w:tcPr>
          <w:p w14:paraId="17E75DF3">
            <w:pPr>
              <w:rPr>
                <w:rFonts w:ascii="Arial"/>
                <w:sz w:val="21"/>
              </w:rPr>
            </w:pPr>
          </w:p>
        </w:tc>
        <w:tc>
          <w:tcPr>
            <w:tcW w:w="558" w:type="dxa"/>
            <w:tcBorders>
              <w:left w:val="single" w:color="000000" w:sz="2" w:space="0"/>
            </w:tcBorders>
            <w:vAlign w:val="top"/>
          </w:tcPr>
          <w:p w14:paraId="4594B114">
            <w:pPr>
              <w:spacing w:before="134" w:line="195" w:lineRule="auto"/>
              <w:ind w:left="23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2389" w:type="dxa"/>
            <w:gridSpan w:val="2"/>
            <w:vAlign w:val="top"/>
          </w:tcPr>
          <w:p w14:paraId="049860F2">
            <w:pPr>
              <w:pStyle w:val="6"/>
              <w:spacing w:before="98" w:line="228" w:lineRule="auto"/>
              <w:ind w:left="879"/>
              <w:rPr>
                <w:sz w:val="20"/>
                <w:szCs w:val="20"/>
              </w:rPr>
            </w:pPr>
            <w:r>
              <w:rPr>
                <w:spacing w:val="6"/>
                <w:sz w:val="20"/>
                <w:szCs w:val="20"/>
              </w:rPr>
              <w:t>柴油罐</w:t>
            </w:r>
          </w:p>
        </w:tc>
        <w:tc>
          <w:tcPr>
            <w:tcW w:w="1981" w:type="dxa"/>
            <w:vAlign w:val="top"/>
          </w:tcPr>
          <w:p w14:paraId="007D1586">
            <w:pPr>
              <w:spacing w:before="114" w:line="216" w:lineRule="auto"/>
              <w:ind w:left="767"/>
              <w:rPr>
                <w:rFonts w:ascii="Times New Roman" w:hAnsi="Times New Roman" w:eastAsia="Times New Roman" w:cs="Times New Roman"/>
                <w:sz w:val="13"/>
                <w:szCs w:val="13"/>
              </w:rPr>
            </w:pPr>
            <w:r>
              <w:rPr>
                <w:rFonts w:ascii="Times New Roman" w:hAnsi="Times New Roman" w:eastAsia="Times New Roman" w:cs="Times New Roman"/>
                <w:spacing w:val="4"/>
                <w:position w:val="-1"/>
                <w:sz w:val="20"/>
                <w:szCs w:val="20"/>
              </w:rPr>
              <w:t>40m</w:t>
            </w:r>
            <w:r>
              <w:rPr>
                <w:rFonts w:ascii="Times New Roman" w:hAnsi="Times New Roman" w:eastAsia="Times New Roman" w:cs="Times New Roman"/>
                <w:spacing w:val="4"/>
                <w:position w:val="5"/>
                <w:sz w:val="13"/>
                <w:szCs w:val="13"/>
              </w:rPr>
              <w:t>3</w:t>
            </w:r>
          </w:p>
        </w:tc>
        <w:tc>
          <w:tcPr>
            <w:tcW w:w="848" w:type="dxa"/>
            <w:vAlign w:val="top"/>
          </w:tcPr>
          <w:p w14:paraId="7BF395B5">
            <w:pPr>
              <w:spacing w:before="134" w:line="195" w:lineRule="auto"/>
              <w:ind w:left="39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09" w:type="dxa"/>
            <w:vAlign w:val="top"/>
          </w:tcPr>
          <w:p w14:paraId="283551B8">
            <w:pPr>
              <w:pStyle w:val="6"/>
              <w:spacing w:before="98" w:line="230" w:lineRule="auto"/>
              <w:ind w:left="258"/>
              <w:rPr>
                <w:sz w:val="20"/>
                <w:szCs w:val="20"/>
              </w:rPr>
            </w:pPr>
            <w:r>
              <w:rPr>
                <w:sz w:val="20"/>
                <w:szCs w:val="20"/>
              </w:rPr>
              <w:t>座</w:t>
            </w:r>
          </w:p>
        </w:tc>
        <w:tc>
          <w:tcPr>
            <w:tcW w:w="1964" w:type="dxa"/>
            <w:tcBorders>
              <w:right w:val="single" w:color="000000" w:sz="6" w:space="0"/>
            </w:tcBorders>
            <w:vAlign w:val="top"/>
          </w:tcPr>
          <w:p w14:paraId="638E6DB9">
            <w:pPr>
              <w:rPr>
                <w:rFonts w:ascii="Arial"/>
                <w:sz w:val="21"/>
              </w:rPr>
            </w:pPr>
          </w:p>
        </w:tc>
      </w:tr>
      <w:tr w14:paraId="1AD64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466" w:type="dxa"/>
            <w:vMerge w:val="continue"/>
            <w:tcBorders>
              <w:top w:val="nil"/>
              <w:left w:val="single" w:color="000000" w:sz="6" w:space="0"/>
              <w:bottom w:val="nil"/>
              <w:right w:val="single" w:color="000000" w:sz="2" w:space="0"/>
            </w:tcBorders>
            <w:vAlign w:val="top"/>
          </w:tcPr>
          <w:p w14:paraId="11F69F73">
            <w:pPr>
              <w:rPr>
                <w:rFonts w:ascii="Arial"/>
                <w:sz w:val="21"/>
              </w:rPr>
            </w:pPr>
          </w:p>
        </w:tc>
        <w:tc>
          <w:tcPr>
            <w:tcW w:w="558" w:type="dxa"/>
            <w:tcBorders>
              <w:left w:val="single" w:color="000000" w:sz="2" w:space="0"/>
              <w:bottom w:val="single" w:color="000000" w:sz="10" w:space="0"/>
            </w:tcBorders>
            <w:vAlign w:val="top"/>
          </w:tcPr>
          <w:p w14:paraId="1855750C">
            <w:pPr>
              <w:spacing w:before="135" w:line="195" w:lineRule="auto"/>
              <w:ind w:left="23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2389" w:type="dxa"/>
            <w:gridSpan w:val="2"/>
            <w:tcBorders>
              <w:bottom w:val="single" w:color="000000" w:sz="10" w:space="0"/>
            </w:tcBorders>
            <w:vAlign w:val="top"/>
          </w:tcPr>
          <w:p w14:paraId="601B087B">
            <w:pPr>
              <w:pStyle w:val="6"/>
              <w:spacing w:before="98" w:line="228" w:lineRule="auto"/>
              <w:ind w:left="564"/>
              <w:rPr>
                <w:sz w:val="20"/>
                <w:szCs w:val="20"/>
              </w:rPr>
            </w:pPr>
            <w:r>
              <w:rPr>
                <w:spacing w:val="7"/>
                <w:sz w:val="20"/>
                <w:szCs w:val="20"/>
              </w:rPr>
              <w:t>可移动废水罐</w:t>
            </w:r>
          </w:p>
        </w:tc>
        <w:tc>
          <w:tcPr>
            <w:tcW w:w="1981" w:type="dxa"/>
            <w:tcBorders>
              <w:bottom w:val="single" w:color="000000" w:sz="10" w:space="0"/>
            </w:tcBorders>
            <w:vAlign w:val="top"/>
          </w:tcPr>
          <w:p w14:paraId="150333B5">
            <w:pPr>
              <w:spacing w:before="115" w:line="216" w:lineRule="auto"/>
              <w:ind w:left="773"/>
              <w:rPr>
                <w:rFonts w:ascii="Times New Roman" w:hAnsi="Times New Roman" w:eastAsia="Times New Roman" w:cs="Times New Roman"/>
                <w:sz w:val="13"/>
                <w:szCs w:val="13"/>
              </w:rPr>
            </w:pPr>
            <w:r>
              <w:rPr>
                <w:rFonts w:ascii="Times New Roman" w:hAnsi="Times New Roman" w:eastAsia="Times New Roman" w:cs="Times New Roman"/>
                <w:spacing w:val="2"/>
                <w:position w:val="-1"/>
                <w:sz w:val="20"/>
                <w:szCs w:val="20"/>
              </w:rPr>
              <w:t>30m</w:t>
            </w:r>
            <w:r>
              <w:rPr>
                <w:rFonts w:ascii="Times New Roman" w:hAnsi="Times New Roman" w:eastAsia="Times New Roman" w:cs="Times New Roman"/>
                <w:spacing w:val="2"/>
                <w:position w:val="5"/>
                <w:sz w:val="13"/>
                <w:szCs w:val="13"/>
              </w:rPr>
              <w:t>3</w:t>
            </w:r>
          </w:p>
        </w:tc>
        <w:tc>
          <w:tcPr>
            <w:tcW w:w="848" w:type="dxa"/>
            <w:tcBorders>
              <w:bottom w:val="single" w:color="000000" w:sz="10" w:space="0"/>
            </w:tcBorders>
            <w:vAlign w:val="top"/>
          </w:tcPr>
          <w:p w14:paraId="1C9AE7EC">
            <w:pPr>
              <w:spacing w:before="135" w:line="195" w:lineRule="auto"/>
              <w:ind w:left="37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709" w:type="dxa"/>
            <w:tcBorders>
              <w:bottom w:val="single" w:color="000000" w:sz="10" w:space="0"/>
            </w:tcBorders>
            <w:vAlign w:val="top"/>
          </w:tcPr>
          <w:p w14:paraId="51F7F845">
            <w:pPr>
              <w:pStyle w:val="6"/>
              <w:spacing w:before="99" w:line="230" w:lineRule="auto"/>
              <w:ind w:left="258"/>
              <w:rPr>
                <w:sz w:val="20"/>
                <w:szCs w:val="20"/>
              </w:rPr>
            </w:pPr>
            <w:r>
              <w:rPr>
                <w:sz w:val="20"/>
                <w:szCs w:val="20"/>
              </w:rPr>
              <w:t>座</w:t>
            </w:r>
          </w:p>
        </w:tc>
        <w:tc>
          <w:tcPr>
            <w:tcW w:w="1964" w:type="dxa"/>
            <w:tcBorders>
              <w:bottom w:val="single" w:color="000000" w:sz="10" w:space="0"/>
              <w:right w:val="single" w:color="000000" w:sz="6" w:space="0"/>
            </w:tcBorders>
            <w:vAlign w:val="top"/>
          </w:tcPr>
          <w:p w14:paraId="3D9E87A4">
            <w:pPr>
              <w:rPr>
                <w:rFonts w:ascii="Arial"/>
                <w:sz w:val="21"/>
              </w:rPr>
            </w:pPr>
          </w:p>
        </w:tc>
      </w:tr>
      <w:tr w14:paraId="421409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3" w:hRule="atLeast"/>
        </w:trPr>
        <w:tc>
          <w:tcPr>
            <w:tcW w:w="466" w:type="dxa"/>
            <w:vMerge w:val="continue"/>
            <w:tcBorders>
              <w:top w:val="nil"/>
              <w:left w:val="single" w:color="000000" w:sz="6" w:space="0"/>
              <w:bottom w:val="single" w:color="000000" w:sz="6" w:space="0"/>
              <w:right w:val="single" w:color="000000" w:sz="2" w:space="0"/>
            </w:tcBorders>
            <w:vAlign w:val="top"/>
          </w:tcPr>
          <w:p w14:paraId="77172BC5">
            <w:pPr>
              <w:rPr>
                <w:rFonts w:ascii="Arial"/>
                <w:sz w:val="21"/>
              </w:rPr>
            </w:pPr>
          </w:p>
        </w:tc>
        <w:tc>
          <w:tcPr>
            <w:tcW w:w="8449" w:type="dxa"/>
            <w:gridSpan w:val="7"/>
            <w:tcBorders>
              <w:top w:val="single" w:color="000000" w:sz="10" w:space="0"/>
              <w:left w:val="single" w:color="000000" w:sz="2" w:space="0"/>
              <w:bottom w:val="single" w:color="000000" w:sz="6" w:space="0"/>
              <w:right w:val="single" w:color="000000" w:sz="6" w:space="0"/>
            </w:tcBorders>
            <w:vAlign w:val="top"/>
          </w:tcPr>
          <w:p w14:paraId="647915A8">
            <w:pPr>
              <w:pStyle w:val="6"/>
              <w:spacing w:before="34" w:line="220" w:lineRule="auto"/>
              <w:ind w:left="600"/>
            </w:pPr>
            <w:r>
              <w:rPr>
                <w:spacing w:val="-3"/>
              </w:rPr>
              <w:t>（</w:t>
            </w:r>
            <w:r>
              <w:rPr>
                <w:rFonts w:ascii="Times New Roman" w:hAnsi="Times New Roman" w:eastAsia="Times New Roman" w:cs="Times New Roman"/>
                <w:spacing w:val="-3"/>
              </w:rPr>
              <w:t>2</w:t>
            </w:r>
            <w:r>
              <w:rPr>
                <w:spacing w:val="-3"/>
              </w:rPr>
              <w:t>）录井设备</w:t>
            </w:r>
          </w:p>
          <w:p w14:paraId="4A64499A">
            <w:pPr>
              <w:pStyle w:val="6"/>
              <w:spacing w:before="181" w:line="359" w:lineRule="auto"/>
              <w:ind w:left="112" w:right="22" w:firstLine="477"/>
            </w:pPr>
            <w:r>
              <w:rPr>
                <w:spacing w:val="2"/>
              </w:rPr>
              <w:t>录井是利用肉眼、综合录井仪，观察、采集、收集、记录、分析随钻过程</w:t>
            </w:r>
            <w:r>
              <w:rPr>
                <w:spacing w:val="-3"/>
              </w:rPr>
              <w:t>中由井筒返出的固体、液体、气体等井筒返出物信息，以此建立录井地质剖面、</w:t>
            </w:r>
            <w:r>
              <w:rPr>
                <w:spacing w:val="-1"/>
              </w:rPr>
              <w:t>发现油气显示，并为钻井提供信息服务。录井主要设备：综合录井仪。</w:t>
            </w:r>
          </w:p>
          <w:p w14:paraId="78D23C5D">
            <w:pPr>
              <w:pStyle w:val="6"/>
              <w:spacing w:line="220" w:lineRule="auto"/>
              <w:ind w:left="600"/>
            </w:pPr>
            <w:r>
              <w:rPr>
                <w:spacing w:val="-3"/>
              </w:rPr>
              <w:t>（</w:t>
            </w:r>
            <w:r>
              <w:rPr>
                <w:rFonts w:ascii="Times New Roman" w:hAnsi="Times New Roman" w:eastAsia="Times New Roman" w:cs="Times New Roman"/>
                <w:spacing w:val="-3"/>
              </w:rPr>
              <w:t>3</w:t>
            </w:r>
            <w:r>
              <w:rPr>
                <w:spacing w:val="-3"/>
              </w:rPr>
              <w:t>）测井设备</w:t>
            </w:r>
          </w:p>
          <w:p w14:paraId="51B00F3F">
            <w:pPr>
              <w:pStyle w:val="6"/>
              <w:spacing w:before="175" w:line="359" w:lineRule="auto"/>
              <w:ind w:left="104" w:right="102" w:firstLine="485"/>
            </w:pPr>
            <w:r>
              <w:rPr>
                <w:spacing w:val="2"/>
              </w:rPr>
              <w:t>测井是利用专用仪器设备测量岩层的电化学特性、导电特性、声学特性、放射性等地球物理特性，以获取岩层的孔隙度、渗透率以及含油气情况等地层</w:t>
            </w:r>
            <w:r>
              <w:rPr>
                <w:spacing w:val="8"/>
              </w:rPr>
              <w:t>信息</w:t>
            </w:r>
            <w:r>
              <w:rPr>
                <w:spacing w:val="-68"/>
              </w:rPr>
              <w:t xml:space="preserve"> </w:t>
            </w:r>
            <w:r>
              <w:rPr>
                <w:spacing w:val="8"/>
              </w:rPr>
              <w:t>。项</w:t>
            </w:r>
            <w:r>
              <w:rPr>
                <w:spacing w:val="-46"/>
              </w:rPr>
              <w:t xml:space="preserve"> </w:t>
            </w:r>
            <w:r>
              <w:rPr>
                <w:spacing w:val="8"/>
              </w:rPr>
              <w:t>目采用</w:t>
            </w:r>
            <w:r>
              <w:rPr>
                <w:spacing w:val="-36"/>
              </w:rPr>
              <w:t xml:space="preserve"> </w:t>
            </w:r>
            <w:r>
              <w:rPr>
                <w:rFonts w:ascii="Times New Roman" w:hAnsi="Times New Roman" w:eastAsia="Times New Roman" w:cs="Times New Roman"/>
              </w:rPr>
              <w:t>Eclips</w:t>
            </w:r>
            <w:r>
              <w:rPr>
                <w:rFonts w:ascii="Times New Roman" w:hAnsi="Times New Roman" w:eastAsia="Times New Roman" w:cs="Times New Roman"/>
                <w:spacing w:val="8"/>
              </w:rPr>
              <w:t>5700</w:t>
            </w:r>
            <w:r>
              <w:rPr>
                <w:rFonts w:ascii="Times New Roman" w:hAnsi="Times New Roman" w:eastAsia="Times New Roman" w:cs="Times New Roman"/>
                <w:spacing w:val="56"/>
                <w:w w:val="101"/>
              </w:rPr>
              <w:t xml:space="preserve"> </w:t>
            </w:r>
            <w:r>
              <w:rPr>
                <w:spacing w:val="8"/>
              </w:rPr>
              <w:t>以上组合测井系列</w:t>
            </w:r>
            <w:r>
              <w:rPr>
                <w:spacing w:val="-70"/>
              </w:rPr>
              <w:t xml:space="preserve"> </w:t>
            </w:r>
            <w:r>
              <w:rPr>
                <w:spacing w:val="8"/>
              </w:rPr>
              <w:t>，对全井段进行</w:t>
            </w:r>
            <w:r>
              <w:rPr>
                <w:spacing w:val="7"/>
              </w:rPr>
              <w:t>电传测井</w:t>
            </w:r>
            <w:r>
              <w:rPr>
                <w:spacing w:val="-69"/>
              </w:rPr>
              <w:t xml:space="preserve"> </w:t>
            </w:r>
            <w:r>
              <w:rPr>
                <w:spacing w:val="7"/>
              </w:rPr>
              <w:t>，</w:t>
            </w:r>
            <w:r>
              <w:t xml:space="preserve"> </w:t>
            </w:r>
            <w:r>
              <w:rPr>
                <w:rFonts w:ascii="Times New Roman" w:hAnsi="Times New Roman" w:eastAsia="Times New Roman" w:cs="Times New Roman"/>
                <w:spacing w:val="-3"/>
              </w:rPr>
              <w:t xml:space="preserve">Eclips5700 </w:t>
            </w:r>
            <w:r>
              <w:rPr>
                <w:spacing w:val="-3"/>
              </w:rPr>
              <w:t>测井属电传型号成像测井系统，分为地面装备（井下电传信号收集设</w:t>
            </w:r>
            <w:r>
              <w:rPr>
                <w:spacing w:val="1"/>
              </w:rPr>
              <w:t>备、计算机分析终端组成）、电缆（</w:t>
            </w:r>
            <w:r>
              <w:rPr>
                <w:rFonts w:ascii="Times New Roman" w:hAnsi="Times New Roman" w:eastAsia="Times New Roman" w:cs="Times New Roman"/>
                <w:spacing w:val="1"/>
              </w:rPr>
              <w:t>500</w:t>
            </w:r>
            <w:r>
              <w:rPr>
                <w:rFonts w:ascii="Times New Roman" w:hAnsi="Times New Roman" w:eastAsia="Times New Roman" w:cs="Times New Roman"/>
              </w:rPr>
              <w:t>kb</w:t>
            </w:r>
            <w:r>
              <w:rPr>
                <w:rFonts w:ascii="Times New Roman" w:hAnsi="Times New Roman" w:eastAsia="Times New Roman" w:cs="Times New Roman"/>
                <w:spacing w:val="1"/>
              </w:rPr>
              <w:t>/s</w:t>
            </w:r>
            <w:r>
              <w:rPr>
                <w:spacing w:val="1"/>
              </w:rPr>
              <w:t>传输速率电缆）、井</w:t>
            </w:r>
            <w:r>
              <w:t>下仪器（地层</w:t>
            </w:r>
            <w:r>
              <w:rPr>
                <w:spacing w:val="2"/>
              </w:rPr>
              <w:t>微电阻率扫描、偶极横波声波、超声波成像仪、地层动态检测仪、方位电阻率</w:t>
            </w:r>
            <w:r>
              <w:rPr>
                <w:spacing w:val="-2"/>
              </w:rPr>
              <w:t>成像、核孔隙度岩性仪、</w:t>
            </w:r>
            <w:r>
              <w:rPr>
                <w:spacing w:val="-72"/>
              </w:rPr>
              <w:t xml:space="preserve"> </w:t>
            </w:r>
            <w:r>
              <w:rPr>
                <w:spacing w:val="-2"/>
              </w:rPr>
              <w:t>自然伽马测井、阵列</w:t>
            </w:r>
            <w:r>
              <w:rPr>
                <w:spacing w:val="-3"/>
              </w:rPr>
              <w:t>声波等）。</w:t>
            </w:r>
          </w:p>
          <w:p w14:paraId="0D6D296A">
            <w:pPr>
              <w:pStyle w:val="6"/>
              <w:spacing w:before="5" w:line="359" w:lineRule="auto"/>
              <w:ind w:left="112" w:right="102" w:firstLine="478"/>
            </w:pPr>
            <w:r>
              <w:rPr>
                <w:spacing w:val="2"/>
              </w:rPr>
              <w:t>涉及放射源石油测井项目，应根据国家有关规定，另行办理放射源项测井</w:t>
            </w:r>
            <w:r>
              <w:rPr>
                <w:spacing w:val="-2"/>
              </w:rPr>
              <w:t>项目环评手续。</w:t>
            </w:r>
          </w:p>
          <w:p w14:paraId="1984725B">
            <w:pPr>
              <w:pStyle w:val="6"/>
              <w:spacing w:before="1" w:line="220" w:lineRule="auto"/>
              <w:ind w:left="600"/>
            </w:pPr>
            <w:r>
              <w:rPr>
                <w:spacing w:val="-3"/>
              </w:rPr>
              <w:t>（</w:t>
            </w:r>
            <w:r>
              <w:rPr>
                <w:rFonts w:ascii="Times New Roman" w:hAnsi="Times New Roman" w:eastAsia="Times New Roman" w:cs="Times New Roman"/>
                <w:spacing w:val="-3"/>
              </w:rPr>
              <w:t>4</w:t>
            </w:r>
            <w:r>
              <w:rPr>
                <w:spacing w:val="-3"/>
              </w:rPr>
              <w:t>）试油设备</w:t>
            </w:r>
          </w:p>
        </w:tc>
      </w:tr>
    </w:tbl>
    <w:p w14:paraId="3AE19739">
      <w:pPr>
        <w:rPr>
          <w:rFonts w:ascii="Arial"/>
          <w:sz w:val="21"/>
        </w:rPr>
      </w:pPr>
    </w:p>
    <w:p w14:paraId="1F35C766">
      <w:pPr>
        <w:rPr>
          <w:rFonts w:ascii="Arial" w:hAnsi="Arial" w:eastAsia="Arial" w:cs="Arial"/>
          <w:sz w:val="21"/>
          <w:szCs w:val="21"/>
        </w:rPr>
        <w:sectPr>
          <w:footerReference r:id="rId33" w:type="default"/>
          <w:pgSz w:w="11906" w:h="16839"/>
          <w:pgMar w:top="400" w:right="1403" w:bottom="1240" w:left="1572" w:header="0" w:footer="1078" w:gutter="0"/>
          <w:cols w:space="720" w:num="1"/>
        </w:sectPr>
      </w:pPr>
    </w:p>
    <w:p w14:paraId="7B6C0092">
      <w:pPr>
        <w:spacing w:before="56"/>
      </w:pPr>
    </w:p>
    <w:p w14:paraId="39B9581B">
      <w:pPr>
        <w:spacing w:before="56"/>
      </w:pPr>
    </w:p>
    <w:p w14:paraId="600F988D">
      <w:pPr>
        <w:spacing w:before="55"/>
      </w:pPr>
    </w:p>
    <w:p w14:paraId="6EFCCF43">
      <w:pPr>
        <w:spacing w:before="55"/>
      </w:pPr>
    </w:p>
    <w:tbl>
      <w:tblPr>
        <w:tblStyle w:val="5"/>
        <w:tblW w:w="8915"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6"/>
        <w:gridCol w:w="1175"/>
        <w:gridCol w:w="618"/>
        <w:gridCol w:w="20"/>
        <w:gridCol w:w="559"/>
        <w:gridCol w:w="796"/>
        <w:gridCol w:w="544"/>
        <w:gridCol w:w="639"/>
        <w:gridCol w:w="1519"/>
        <w:gridCol w:w="1237"/>
        <w:gridCol w:w="1342"/>
      </w:tblGrid>
      <w:tr w14:paraId="2C5F8B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3" w:hRule="atLeast"/>
        </w:trPr>
        <w:tc>
          <w:tcPr>
            <w:tcW w:w="466" w:type="dxa"/>
            <w:vMerge w:val="restart"/>
            <w:tcBorders>
              <w:top w:val="single" w:color="000000" w:sz="6" w:space="0"/>
              <w:left w:val="single" w:color="000000" w:sz="6" w:space="0"/>
              <w:bottom w:val="nil"/>
              <w:right w:val="single" w:color="000000" w:sz="2" w:space="0"/>
            </w:tcBorders>
            <w:vAlign w:val="top"/>
          </w:tcPr>
          <w:p w14:paraId="6DE850BF">
            <w:pPr>
              <w:rPr>
                <w:rFonts w:ascii="Arial"/>
                <w:sz w:val="21"/>
              </w:rPr>
            </w:pPr>
          </w:p>
        </w:tc>
        <w:tc>
          <w:tcPr>
            <w:tcW w:w="8449" w:type="dxa"/>
            <w:gridSpan w:val="10"/>
            <w:tcBorders>
              <w:top w:val="single" w:color="000000" w:sz="6" w:space="0"/>
              <w:left w:val="single" w:color="000000" w:sz="2" w:space="0"/>
              <w:bottom w:val="single" w:color="000000" w:sz="10" w:space="0"/>
              <w:right w:val="single" w:color="000000" w:sz="6" w:space="0"/>
            </w:tcBorders>
            <w:vAlign w:val="top"/>
          </w:tcPr>
          <w:p w14:paraId="36667AF7">
            <w:pPr>
              <w:pStyle w:val="6"/>
              <w:spacing w:before="30" w:line="359" w:lineRule="auto"/>
              <w:ind w:left="110" w:right="102" w:firstLine="478"/>
            </w:pPr>
            <w:r>
              <w:rPr>
                <w:spacing w:val="2"/>
              </w:rPr>
              <w:t>根据钻井及测井结果进行试油，主要设备有：抽油机、两相分离器、储液</w:t>
            </w:r>
            <w:r>
              <w:rPr>
                <w:spacing w:val="-4"/>
              </w:rPr>
              <w:t>罐等。</w:t>
            </w:r>
          </w:p>
          <w:p w14:paraId="5832E1E3">
            <w:pPr>
              <w:spacing w:line="214" w:lineRule="auto"/>
              <w:ind w:left="2541"/>
              <w:rPr>
                <w:rFonts w:ascii="黑体" w:hAnsi="黑体" w:eastAsia="黑体" w:cs="黑体"/>
                <w:sz w:val="24"/>
                <w:szCs w:val="24"/>
              </w:rPr>
            </w:pPr>
            <w:r>
              <w:rPr>
                <w:rFonts w:ascii="黑体" w:hAnsi="黑体" w:eastAsia="黑体" w:cs="黑体"/>
                <w:spacing w:val="-2"/>
                <w:sz w:val="24"/>
                <w:szCs w:val="24"/>
              </w:rPr>
              <w:t>表</w:t>
            </w:r>
            <w:r>
              <w:rPr>
                <w:rFonts w:ascii="黑体" w:hAnsi="黑体" w:eastAsia="黑体" w:cs="黑体"/>
                <w:spacing w:val="-41"/>
                <w:sz w:val="24"/>
                <w:szCs w:val="24"/>
              </w:rPr>
              <w:t xml:space="preserve"> </w:t>
            </w:r>
            <w:r>
              <w:rPr>
                <w:rFonts w:ascii="Times New Roman" w:hAnsi="Times New Roman" w:eastAsia="Times New Roman" w:cs="Times New Roman"/>
                <w:spacing w:val="-2"/>
                <w:sz w:val="24"/>
                <w:szCs w:val="24"/>
              </w:rPr>
              <w:t xml:space="preserve">2-3  </w:t>
            </w:r>
            <w:r>
              <w:rPr>
                <w:rFonts w:ascii="黑体" w:hAnsi="黑体" w:eastAsia="黑体" w:cs="黑体"/>
                <w:spacing w:val="-2"/>
                <w:sz w:val="24"/>
                <w:szCs w:val="24"/>
              </w:rPr>
              <w:t>试油阶段主要设备一览表</w:t>
            </w:r>
          </w:p>
        </w:tc>
      </w:tr>
      <w:tr w14:paraId="533FC0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466" w:type="dxa"/>
            <w:vMerge w:val="continue"/>
            <w:tcBorders>
              <w:top w:val="nil"/>
              <w:left w:val="single" w:color="000000" w:sz="6" w:space="0"/>
              <w:bottom w:val="nil"/>
              <w:right w:val="single" w:color="000000" w:sz="2" w:space="0"/>
            </w:tcBorders>
            <w:vAlign w:val="top"/>
          </w:tcPr>
          <w:p w14:paraId="7D39DB16">
            <w:pPr>
              <w:rPr>
                <w:rFonts w:ascii="Arial"/>
                <w:sz w:val="21"/>
              </w:rPr>
            </w:pPr>
          </w:p>
        </w:tc>
        <w:tc>
          <w:tcPr>
            <w:tcW w:w="1793" w:type="dxa"/>
            <w:gridSpan w:val="2"/>
            <w:tcBorders>
              <w:top w:val="single" w:color="000000" w:sz="10" w:space="0"/>
              <w:left w:val="single" w:color="000000" w:sz="2" w:space="0"/>
            </w:tcBorders>
            <w:vAlign w:val="top"/>
          </w:tcPr>
          <w:p w14:paraId="1E353BC9">
            <w:pPr>
              <w:pStyle w:val="6"/>
              <w:spacing w:before="55" w:line="229" w:lineRule="auto"/>
              <w:ind w:left="747"/>
              <w:rPr>
                <w:sz w:val="20"/>
                <w:szCs w:val="20"/>
              </w:rPr>
            </w:pPr>
            <w:r>
              <w:rPr>
                <w:b/>
                <w:bCs/>
                <w:spacing w:val="4"/>
                <w:sz w:val="20"/>
                <w:szCs w:val="20"/>
              </w:rPr>
              <w:t>序号</w:t>
            </w:r>
          </w:p>
        </w:tc>
        <w:tc>
          <w:tcPr>
            <w:tcW w:w="2558" w:type="dxa"/>
            <w:gridSpan w:val="5"/>
            <w:tcBorders>
              <w:top w:val="single" w:color="000000" w:sz="10" w:space="0"/>
            </w:tcBorders>
            <w:vAlign w:val="top"/>
          </w:tcPr>
          <w:p w14:paraId="35D39FCC">
            <w:pPr>
              <w:pStyle w:val="6"/>
              <w:spacing w:before="56" w:line="228" w:lineRule="auto"/>
              <w:ind w:left="865"/>
              <w:rPr>
                <w:sz w:val="20"/>
                <w:szCs w:val="20"/>
              </w:rPr>
            </w:pPr>
            <w:r>
              <w:rPr>
                <w:b/>
                <w:bCs/>
                <w:spacing w:val="6"/>
                <w:sz w:val="20"/>
                <w:szCs w:val="20"/>
              </w:rPr>
              <w:t>试油工程</w:t>
            </w:r>
          </w:p>
        </w:tc>
        <w:tc>
          <w:tcPr>
            <w:tcW w:w="2756" w:type="dxa"/>
            <w:gridSpan w:val="2"/>
            <w:tcBorders>
              <w:top w:val="single" w:color="000000" w:sz="10" w:space="0"/>
            </w:tcBorders>
            <w:vAlign w:val="top"/>
          </w:tcPr>
          <w:p w14:paraId="4060A54D">
            <w:pPr>
              <w:pStyle w:val="6"/>
              <w:spacing w:before="55" w:line="228" w:lineRule="auto"/>
              <w:ind w:left="1171"/>
              <w:rPr>
                <w:sz w:val="20"/>
                <w:szCs w:val="20"/>
              </w:rPr>
            </w:pPr>
            <w:r>
              <w:rPr>
                <w:b/>
                <w:bCs/>
                <w:spacing w:val="3"/>
                <w:sz w:val="20"/>
                <w:szCs w:val="20"/>
              </w:rPr>
              <w:t>规格</w:t>
            </w:r>
          </w:p>
        </w:tc>
        <w:tc>
          <w:tcPr>
            <w:tcW w:w="1342" w:type="dxa"/>
            <w:tcBorders>
              <w:top w:val="single" w:color="000000" w:sz="10" w:space="0"/>
              <w:right w:val="single" w:color="000000" w:sz="6" w:space="0"/>
            </w:tcBorders>
            <w:vAlign w:val="top"/>
          </w:tcPr>
          <w:p w14:paraId="4B9ABEAB">
            <w:pPr>
              <w:pStyle w:val="6"/>
              <w:spacing w:before="55" w:line="228" w:lineRule="auto"/>
              <w:ind w:left="411"/>
              <w:rPr>
                <w:sz w:val="20"/>
                <w:szCs w:val="20"/>
              </w:rPr>
            </w:pPr>
            <w:r>
              <w:rPr>
                <w:b/>
                <w:bCs/>
                <w:spacing w:val="3"/>
                <w:sz w:val="20"/>
                <w:szCs w:val="20"/>
              </w:rPr>
              <w:t>数量</w:t>
            </w:r>
          </w:p>
        </w:tc>
      </w:tr>
      <w:tr w14:paraId="689D13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466" w:type="dxa"/>
            <w:vMerge w:val="continue"/>
            <w:tcBorders>
              <w:top w:val="nil"/>
              <w:left w:val="single" w:color="000000" w:sz="6" w:space="0"/>
              <w:bottom w:val="nil"/>
              <w:right w:val="single" w:color="000000" w:sz="2" w:space="0"/>
            </w:tcBorders>
            <w:vAlign w:val="top"/>
          </w:tcPr>
          <w:p w14:paraId="57700372">
            <w:pPr>
              <w:rPr>
                <w:rFonts w:ascii="Arial"/>
                <w:sz w:val="21"/>
              </w:rPr>
            </w:pPr>
          </w:p>
        </w:tc>
        <w:tc>
          <w:tcPr>
            <w:tcW w:w="1793" w:type="dxa"/>
            <w:gridSpan w:val="2"/>
            <w:tcBorders>
              <w:left w:val="single" w:color="000000" w:sz="2" w:space="0"/>
            </w:tcBorders>
            <w:vAlign w:val="top"/>
          </w:tcPr>
          <w:p w14:paraId="34D220E3">
            <w:pPr>
              <w:spacing w:before="102" w:line="195" w:lineRule="auto"/>
              <w:ind w:left="92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558" w:type="dxa"/>
            <w:gridSpan w:val="5"/>
            <w:vAlign w:val="top"/>
          </w:tcPr>
          <w:p w14:paraId="3C9B2A94">
            <w:pPr>
              <w:pStyle w:val="6"/>
              <w:spacing w:before="63" w:line="227" w:lineRule="auto"/>
              <w:ind w:left="973"/>
              <w:rPr>
                <w:sz w:val="20"/>
                <w:szCs w:val="20"/>
              </w:rPr>
            </w:pPr>
            <w:r>
              <w:rPr>
                <w:spacing w:val="7"/>
                <w:sz w:val="20"/>
                <w:szCs w:val="20"/>
              </w:rPr>
              <w:t>抽油机</w:t>
            </w:r>
          </w:p>
        </w:tc>
        <w:tc>
          <w:tcPr>
            <w:tcW w:w="2756" w:type="dxa"/>
            <w:gridSpan w:val="2"/>
            <w:vAlign w:val="top"/>
          </w:tcPr>
          <w:p w14:paraId="1F4FB809">
            <w:pPr>
              <w:rPr>
                <w:rFonts w:ascii="Arial"/>
                <w:sz w:val="21"/>
              </w:rPr>
            </w:pPr>
          </w:p>
        </w:tc>
        <w:tc>
          <w:tcPr>
            <w:tcW w:w="1342" w:type="dxa"/>
            <w:tcBorders>
              <w:right w:val="single" w:color="000000" w:sz="6" w:space="0"/>
            </w:tcBorders>
            <w:vAlign w:val="top"/>
          </w:tcPr>
          <w:p w14:paraId="6E2EBDE8">
            <w:pPr>
              <w:spacing w:before="102" w:line="195" w:lineRule="auto"/>
              <w:ind w:left="58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0B594D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466" w:type="dxa"/>
            <w:vMerge w:val="continue"/>
            <w:tcBorders>
              <w:top w:val="nil"/>
              <w:left w:val="single" w:color="000000" w:sz="6" w:space="0"/>
              <w:bottom w:val="nil"/>
              <w:right w:val="single" w:color="000000" w:sz="2" w:space="0"/>
            </w:tcBorders>
            <w:vAlign w:val="top"/>
          </w:tcPr>
          <w:p w14:paraId="115FB187">
            <w:pPr>
              <w:rPr>
                <w:rFonts w:ascii="Arial"/>
                <w:sz w:val="21"/>
              </w:rPr>
            </w:pPr>
          </w:p>
        </w:tc>
        <w:tc>
          <w:tcPr>
            <w:tcW w:w="1793" w:type="dxa"/>
            <w:gridSpan w:val="2"/>
            <w:tcBorders>
              <w:left w:val="single" w:color="000000" w:sz="2" w:space="0"/>
            </w:tcBorders>
            <w:vAlign w:val="top"/>
          </w:tcPr>
          <w:p w14:paraId="7592E256">
            <w:pPr>
              <w:spacing w:before="102" w:line="195" w:lineRule="auto"/>
              <w:ind w:left="90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558" w:type="dxa"/>
            <w:gridSpan w:val="5"/>
            <w:vAlign w:val="top"/>
          </w:tcPr>
          <w:p w14:paraId="32332902">
            <w:pPr>
              <w:pStyle w:val="6"/>
              <w:spacing w:before="64" w:line="228" w:lineRule="auto"/>
              <w:ind w:left="763"/>
              <w:rPr>
                <w:sz w:val="20"/>
                <w:szCs w:val="20"/>
              </w:rPr>
            </w:pPr>
            <w:r>
              <w:rPr>
                <w:spacing w:val="7"/>
                <w:sz w:val="20"/>
                <w:szCs w:val="20"/>
              </w:rPr>
              <w:t>两相分离器</w:t>
            </w:r>
          </w:p>
        </w:tc>
        <w:tc>
          <w:tcPr>
            <w:tcW w:w="2756" w:type="dxa"/>
            <w:gridSpan w:val="2"/>
            <w:vAlign w:val="top"/>
          </w:tcPr>
          <w:p w14:paraId="2744E574">
            <w:pPr>
              <w:rPr>
                <w:rFonts w:ascii="Arial"/>
                <w:sz w:val="21"/>
              </w:rPr>
            </w:pPr>
          </w:p>
        </w:tc>
        <w:tc>
          <w:tcPr>
            <w:tcW w:w="1342" w:type="dxa"/>
            <w:tcBorders>
              <w:right w:val="single" w:color="000000" w:sz="6" w:space="0"/>
            </w:tcBorders>
            <w:vAlign w:val="top"/>
          </w:tcPr>
          <w:p w14:paraId="27B86893">
            <w:pPr>
              <w:spacing w:before="102" w:line="195" w:lineRule="auto"/>
              <w:ind w:left="58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06B42E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466" w:type="dxa"/>
            <w:vMerge w:val="continue"/>
            <w:tcBorders>
              <w:top w:val="nil"/>
              <w:left w:val="single" w:color="000000" w:sz="6" w:space="0"/>
              <w:bottom w:val="nil"/>
              <w:right w:val="single" w:color="000000" w:sz="2" w:space="0"/>
            </w:tcBorders>
            <w:vAlign w:val="top"/>
          </w:tcPr>
          <w:p w14:paraId="529934D1">
            <w:pPr>
              <w:rPr>
                <w:rFonts w:ascii="Arial"/>
                <w:sz w:val="21"/>
              </w:rPr>
            </w:pPr>
          </w:p>
        </w:tc>
        <w:tc>
          <w:tcPr>
            <w:tcW w:w="1793" w:type="dxa"/>
            <w:gridSpan w:val="2"/>
            <w:tcBorders>
              <w:left w:val="single" w:color="000000" w:sz="2" w:space="0"/>
            </w:tcBorders>
            <w:vAlign w:val="top"/>
          </w:tcPr>
          <w:p w14:paraId="56537A90">
            <w:pPr>
              <w:spacing w:before="100" w:line="195" w:lineRule="auto"/>
              <w:ind w:left="904"/>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558" w:type="dxa"/>
            <w:gridSpan w:val="5"/>
            <w:vAlign w:val="top"/>
          </w:tcPr>
          <w:p w14:paraId="3AF2F505">
            <w:pPr>
              <w:pStyle w:val="6"/>
              <w:spacing w:before="63" w:line="228" w:lineRule="auto"/>
              <w:ind w:left="973"/>
              <w:rPr>
                <w:sz w:val="20"/>
                <w:szCs w:val="20"/>
              </w:rPr>
            </w:pPr>
            <w:r>
              <w:rPr>
                <w:spacing w:val="7"/>
                <w:sz w:val="20"/>
                <w:szCs w:val="20"/>
              </w:rPr>
              <w:t>储液罐</w:t>
            </w:r>
          </w:p>
        </w:tc>
        <w:tc>
          <w:tcPr>
            <w:tcW w:w="2756" w:type="dxa"/>
            <w:gridSpan w:val="2"/>
            <w:vAlign w:val="top"/>
          </w:tcPr>
          <w:p w14:paraId="7181DE57">
            <w:pPr>
              <w:spacing w:before="82" w:line="213" w:lineRule="auto"/>
              <w:ind w:left="1159"/>
              <w:rPr>
                <w:rFonts w:ascii="Times New Roman" w:hAnsi="Times New Roman" w:eastAsia="Times New Roman" w:cs="Times New Roman"/>
                <w:sz w:val="13"/>
                <w:szCs w:val="13"/>
              </w:rPr>
            </w:pPr>
            <w:r>
              <w:rPr>
                <w:rFonts w:ascii="Times New Roman" w:hAnsi="Times New Roman" w:eastAsia="Times New Roman" w:cs="Times New Roman"/>
                <w:spacing w:val="4"/>
                <w:position w:val="-1"/>
                <w:sz w:val="20"/>
                <w:szCs w:val="20"/>
              </w:rPr>
              <w:t>40m</w:t>
            </w:r>
            <w:r>
              <w:rPr>
                <w:rFonts w:ascii="Times New Roman" w:hAnsi="Times New Roman" w:eastAsia="Times New Roman" w:cs="Times New Roman"/>
                <w:spacing w:val="4"/>
                <w:position w:val="5"/>
                <w:sz w:val="13"/>
                <w:szCs w:val="13"/>
              </w:rPr>
              <w:t>3</w:t>
            </w:r>
          </w:p>
        </w:tc>
        <w:tc>
          <w:tcPr>
            <w:tcW w:w="1342" w:type="dxa"/>
            <w:tcBorders>
              <w:right w:val="single" w:color="000000" w:sz="6" w:space="0"/>
            </w:tcBorders>
            <w:vAlign w:val="top"/>
          </w:tcPr>
          <w:p w14:paraId="2FBC9199">
            <w:pPr>
              <w:spacing w:before="100" w:line="195" w:lineRule="auto"/>
              <w:ind w:left="56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14:paraId="512B3C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466" w:type="dxa"/>
            <w:vMerge w:val="continue"/>
            <w:tcBorders>
              <w:top w:val="nil"/>
              <w:left w:val="single" w:color="000000" w:sz="6" w:space="0"/>
              <w:bottom w:val="nil"/>
              <w:right w:val="single" w:color="000000" w:sz="2" w:space="0"/>
            </w:tcBorders>
            <w:vAlign w:val="top"/>
          </w:tcPr>
          <w:p w14:paraId="66FA82E7">
            <w:pPr>
              <w:rPr>
                <w:rFonts w:ascii="Arial"/>
                <w:sz w:val="21"/>
              </w:rPr>
            </w:pPr>
          </w:p>
        </w:tc>
        <w:tc>
          <w:tcPr>
            <w:tcW w:w="1793" w:type="dxa"/>
            <w:gridSpan w:val="2"/>
            <w:tcBorders>
              <w:left w:val="single" w:color="000000" w:sz="2" w:space="0"/>
              <w:bottom w:val="single" w:color="000000" w:sz="10" w:space="0"/>
            </w:tcBorders>
            <w:vAlign w:val="top"/>
          </w:tcPr>
          <w:p w14:paraId="373DA454">
            <w:pPr>
              <w:spacing w:before="100" w:line="195" w:lineRule="auto"/>
              <w:ind w:left="89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558" w:type="dxa"/>
            <w:gridSpan w:val="5"/>
            <w:tcBorders>
              <w:bottom w:val="single" w:color="000000" w:sz="10" w:space="0"/>
            </w:tcBorders>
            <w:vAlign w:val="top"/>
          </w:tcPr>
          <w:p w14:paraId="041751D8">
            <w:pPr>
              <w:pStyle w:val="6"/>
              <w:spacing w:before="64" w:line="228" w:lineRule="auto"/>
              <w:ind w:left="868"/>
              <w:rPr>
                <w:sz w:val="20"/>
                <w:szCs w:val="20"/>
              </w:rPr>
            </w:pPr>
            <w:r>
              <w:rPr>
                <w:spacing w:val="7"/>
                <w:sz w:val="20"/>
                <w:szCs w:val="20"/>
              </w:rPr>
              <w:t>放喷系统</w:t>
            </w:r>
          </w:p>
        </w:tc>
        <w:tc>
          <w:tcPr>
            <w:tcW w:w="2756" w:type="dxa"/>
            <w:gridSpan w:val="2"/>
            <w:tcBorders>
              <w:bottom w:val="single" w:color="000000" w:sz="10" w:space="0"/>
            </w:tcBorders>
            <w:vAlign w:val="top"/>
          </w:tcPr>
          <w:p w14:paraId="3A9C51A3">
            <w:pPr>
              <w:pStyle w:val="6"/>
              <w:spacing w:before="64" w:line="228" w:lineRule="auto"/>
              <w:ind w:left="122"/>
              <w:rPr>
                <w:sz w:val="20"/>
                <w:szCs w:val="20"/>
              </w:rPr>
            </w:pPr>
            <w:r>
              <w:rPr>
                <w:spacing w:val="4"/>
                <w:sz w:val="20"/>
                <w:szCs w:val="20"/>
              </w:rPr>
              <w:t>含放喷管线，</w:t>
            </w:r>
            <w:r>
              <w:rPr>
                <w:spacing w:val="-40"/>
                <w:sz w:val="20"/>
                <w:szCs w:val="20"/>
              </w:rPr>
              <w:t xml:space="preserve"> </w:t>
            </w:r>
            <w:r>
              <w:rPr>
                <w:spacing w:val="4"/>
                <w:sz w:val="20"/>
                <w:szCs w:val="20"/>
              </w:rPr>
              <w:t>自动点火装置</w:t>
            </w:r>
          </w:p>
        </w:tc>
        <w:tc>
          <w:tcPr>
            <w:tcW w:w="1342" w:type="dxa"/>
            <w:tcBorders>
              <w:bottom w:val="single" w:color="000000" w:sz="10" w:space="0"/>
              <w:right w:val="single" w:color="000000" w:sz="6" w:space="0"/>
            </w:tcBorders>
            <w:vAlign w:val="top"/>
          </w:tcPr>
          <w:p w14:paraId="3EF31F1D">
            <w:pPr>
              <w:spacing w:before="100" w:line="195" w:lineRule="auto"/>
              <w:ind w:left="58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6E3A33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79" w:hRule="atLeast"/>
        </w:trPr>
        <w:tc>
          <w:tcPr>
            <w:tcW w:w="466" w:type="dxa"/>
            <w:vMerge w:val="continue"/>
            <w:tcBorders>
              <w:top w:val="nil"/>
              <w:left w:val="single" w:color="000000" w:sz="6" w:space="0"/>
              <w:bottom w:val="nil"/>
              <w:right w:val="single" w:color="000000" w:sz="2" w:space="0"/>
            </w:tcBorders>
            <w:vAlign w:val="top"/>
          </w:tcPr>
          <w:p w14:paraId="4EE176DE">
            <w:pPr>
              <w:rPr>
                <w:rFonts w:ascii="Arial"/>
                <w:sz w:val="21"/>
              </w:rPr>
            </w:pPr>
          </w:p>
        </w:tc>
        <w:tc>
          <w:tcPr>
            <w:tcW w:w="8449" w:type="dxa"/>
            <w:gridSpan w:val="10"/>
            <w:tcBorders>
              <w:top w:val="single" w:color="000000" w:sz="10" w:space="0"/>
              <w:left w:val="single" w:color="000000" w:sz="2" w:space="0"/>
              <w:bottom w:val="single" w:color="000000" w:sz="10" w:space="0"/>
              <w:right w:val="single" w:color="000000" w:sz="6" w:space="0"/>
            </w:tcBorders>
            <w:vAlign w:val="top"/>
          </w:tcPr>
          <w:p w14:paraId="7DAD5A71">
            <w:pPr>
              <w:pStyle w:val="6"/>
              <w:spacing w:before="28" w:line="359" w:lineRule="auto"/>
              <w:ind w:left="109" w:right="102" w:firstLine="479"/>
              <w:jc w:val="both"/>
            </w:pPr>
            <w:r>
              <w:rPr>
                <w:spacing w:val="2"/>
              </w:rPr>
              <w:t>根据油田前期勘探及项目周围勘探井试油结果分析，本勘探区域地层主要生产原油，伴生气含量较小，试油期间两相分离器分离出的采出液进入</w:t>
            </w:r>
            <w:r>
              <w:rPr>
                <w:spacing w:val="1"/>
              </w:rPr>
              <w:t>储液罐</w:t>
            </w:r>
            <w:r>
              <w:rPr>
                <w:spacing w:val="2"/>
              </w:rPr>
              <w:t>内，两相分离器分离的少量伴生气进入放喷装置。分离器入口管线使用</w:t>
            </w:r>
            <w:r>
              <w:rPr>
                <w:spacing w:val="1"/>
              </w:rPr>
              <w:t>内径不</w:t>
            </w:r>
            <w:r>
              <w:t>小于</w:t>
            </w:r>
            <w:r>
              <w:rPr>
                <w:spacing w:val="-41"/>
              </w:rPr>
              <w:t xml:space="preserve"> </w:t>
            </w:r>
            <w:r>
              <w:rPr>
                <w:rFonts w:ascii="Times New Roman" w:hAnsi="Times New Roman" w:eastAsia="Times New Roman" w:cs="Times New Roman"/>
              </w:rPr>
              <w:t>78mm</w:t>
            </w:r>
            <w:r>
              <w:rPr>
                <w:rFonts w:ascii="Times New Roman" w:hAnsi="Times New Roman" w:eastAsia="Times New Roman" w:cs="Times New Roman"/>
                <w:spacing w:val="30"/>
              </w:rPr>
              <w:t xml:space="preserve"> </w:t>
            </w:r>
            <w:r>
              <w:t>的高压耐火软管线，并用基墩固定。进出口管线、排气管线应采用</w:t>
            </w:r>
            <w:r>
              <w:rPr>
                <w:spacing w:val="-5"/>
              </w:rPr>
              <w:t>法兰连接，排气管线内径不小于</w:t>
            </w:r>
            <w:r>
              <w:rPr>
                <w:spacing w:val="-17"/>
              </w:rPr>
              <w:t xml:space="preserve"> </w:t>
            </w:r>
            <w:r>
              <w:rPr>
                <w:rFonts w:ascii="Times New Roman" w:hAnsi="Times New Roman" w:eastAsia="Times New Roman" w:cs="Times New Roman"/>
                <w:spacing w:val="-5"/>
              </w:rPr>
              <w:t>150mm</w:t>
            </w:r>
            <w:r>
              <w:rPr>
                <w:rFonts w:ascii="Times New Roman" w:hAnsi="Times New Roman" w:eastAsia="Times New Roman" w:cs="Times New Roman"/>
                <w:spacing w:val="-33"/>
              </w:rPr>
              <w:t xml:space="preserve"> </w:t>
            </w:r>
            <w:r>
              <w:rPr>
                <w:spacing w:val="-5"/>
              </w:rPr>
              <w:t>，接出井口</w:t>
            </w:r>
            <w:r>
              <w:rPr>
                <w:spacing w:val="-48"/>
              </w:rPr>
              <w:t xml:space="preserve"> </w:t>
            </w:r>
            <w:r>
              <w:rPr>
                <w:rFonts w:ascii="Times New Roman" w:hAnsi="Times New Roman" w:eastAsia="Times New Roman" w:cs="Times New Roman"/>
                <w:spacing w:val="-5"/>
              </w:rPr>
              <w:t xml:space="preserve">50m </w:t>
            </w:r>
            <w:r>
              <w:rPr>
                <w:spacing w:val="-5"/>
              </w:rPr>
              <w:t>远，每</w:t>
            </w:r>
            <w:r>
              <w:rPr>
                <w:spacing w:val="-32"/>
              </w:rPr>
              <w:t xml:space="preserve"> </w:t>
            </w:r>
            <w:r>
              <w:rPr>
                <w:rFonts w:ascii="Times New Roman" w:hAnsi="Times New Roman" w:eastAsia="Times New Roman" w:cs="Times New Roman"/>
                <w:spacing w:val="-5"/>
              </w:rPr>
              <w:t>10~</w:t>
            </w:r>
            <w:r>
              <w:rPr>
                <w:rFonts w:ascii="Times New Roman" w:hAnsi="Times New Roman" w:eastAsia="Times New Roman" w:cs="Times New Roman"/>
                <w:spacing w:val="-32"/>
              </w:rPr>
              <w:t xml:space="preserve"> </w:t>
            </w:r>
            <w:r>
              <w:rPr>
                <w:rFonts w:ascii="Times New Roman" w:hAnsi="Times New Roman" w:eastAsia="Times New Roman" w:cs="Times New Roman"/>
                <w:spacing w:val="-5"/>
              </w:rPr>
              <w:t>15m</w:t>
            </w:r>
            <w:r>
              <w:rPr>
                <w:rFonts w:ascii="Times New Roman" w:hAnsi="Times New Roman" w:eastAsia="Times New Roman" w:cs="Times New Roman"/>
                <w:spacing w:val="30"/>
                <w:w w:val="101"/>
              </w:rPr>
              <w:t xml:space="preserve"> </w:t>
            </w:r>
            <w:r>
              <w:rPr>
                <w:spacing w:val="-5"/>
              </w:rPr>
              <w:t>固定牢</w:t>
            </w:r>
            <w:r>
              <w:rPr>
                <w:spacing w:val="-1"/>
              </w:rPr>
              <w:t>靠，并安装立式点火装置，配套防回火与自动点火装置。</w:t>
            </w:r>
          </w:p>
          <w:p w14:paraId="63834134">
            <w:pPr>
              <w:pStyle w:val="6"/>
              <w:spacing w:line="220" w:lineRule="auto"/>
              <w:ind w:left="600"/>
            </w:pPr>
            <w:r>
              <w:rPr>
                <w:spacing w:val="-5"/>
              </w:rPr>
              <w:t>（</w:t>
            </w:r>
            <w:r>
              <w:rPr>
                <w:rFonts w:ascii="Times New Roman" w:hAnsi="Times New Roman" w:eastAsia="Times New Roman" w:cs="Times New Roman"/>
                <w:spacing w:val="-5"/>
              </w:rPr>
              <w:t>5</w:t>
            </w:r>
            <w:r>
              <w:rPr>
                <w:spacing w:val="-5"/>
              </w:rPr>
              <w:t>）其他</w:t>
            </w:r>
          </w:p>
          <w:p w14:paraId="4BB8B78E">
            <w:pPr>
              <w:pStyle w:val="6"/>
              <w:spacing w:before="182" w:line="359" w:lineRule="auto"/>
              <w:ind w:left="110" w:right="102" w:firstLine="479"/>
            </w:pPr>
            <w:r>
              <w:rPr>
                <w:spacing w:val="2"/>
              </w:rPr>
              <w:t>此外，钻前工程所用设备主要为挖掘机、推土机、压路机等相关设备，所</w:t>
            </w:r>
            <w:r>
              <w:rPr>
                <w:spacing w:val="-1"/>
              </w:rPr>
              <w:t>用设备及数量根据实际情况进行调整。</w:t>
            </w:r>
          </w:p>
          <w:p w14:paraId="6B35695B">
            <w:pPr>
              <w:pStyle w:val="6"/>
              <w:spacing w:line="219" w:lineRule="auto"/>
              <w:ind w:left="584"/>
            </w:pPr>
            <w:r>
              <w:rPr>
                <w:rFonts w:ascii="Times New Roman" w:hAnsi="Times New Roman" w:eastAsia="Times New Roman" w:cs="Times New Roman"/>
                <w:spacing w:val="-6"/>
              </w:rPr>
              <w:t>2</w:t>
            </w:r>
            <w:r>
              <w:rPr>
                <w:rFonts w:ascii="Times New Roman" w:hAnsi="Times New Roman" w:eastAsia="Times New Roman" w:cs="Times New Roman"/>
                <w:spacing w:val="-31"/>
              </w:rPr>
              <w:t xml:space="preserve"> </w:t>
            </w:r>
            <w:r>
              <w:rPr>
                <w:spacing w:val="-6"/>
              </w:rPr>
              <w:t>、物料消耗</w:t>
            </w:r>
          </w:p>
          <w:p w14:paraId="1E25280C">
            <w:pPr>
              <w:pStyle w:val="6"/>
              <w:spacing w:before="180" w:line="219" w:lineRule="auto"/>
              <w:ind w:left="600"/>
            </w:pPr>
            <w:r>
              <w:rPr>
                <w:spacing w:val="-3"/>
              </w:rPr>
              <w:t>（</w:t>
            </w:r>
            <w:r>
              <w:rPr>
                <w:rFonts w:ascii="Times New Roman" w:hAnsi="Times New Roman" w:eastAsia="Times New Roman" w:cs="Times New Roman"/>
                <w:spacing w:val="-3"/>
              </w:rPr>
              <w:t>1</w:t>
            </w:r>
            <w:r>
              <w:rPr>
                <w:spacing w:val="-3"/>
              </w:rPr>
              <w:t>）钻井泥浆</w:t>
            </w:r>
          </w:p>
          <w:p w14:paraId="57CA37F0">
            <w:pPr>
              <w:pStyle w:val="6"/>
              <w:spacing w:before="183" w:line="359" w:lineRule="auto"/>
              <w:ind w:left="114" w:right="102" w:firstLine="478"/>
            </w:pPr>
            <w:r>
              <w:rPr>
                <w:spacing w:val="2"/>
              </w:rPr>
              <w:t>项目钻井泥浆采用水基泥浆，不是以矿物油为连续相，属于环保型。</w:t>
            </w:r>
            <w:r>
              <w:rPr>
                <w:spacing w:val="1"/>
              </w:rPr>
              <w:t>根据</w:t>
            </w:r>
            <w:r>
              <w:rPr>
                <w:spacing w:val="-1"/>
              </w:rPr>
              <w:t>实际施工经验，钻井泥浆单井用量、成分及贮存方式见下表。</w:t>
            </w:r>
          </w:p>
          <w:p w14:paraId="3CE4D65D">
            <w:pPr>
              <w:spacing w:before="1" w:line="208" w:lineRule="auto"/>
              <w:ind w:left="2421"/>
              <w:rPr>
                <w:rFonts w:ascii="黑体" w:hAnsi="黑体" w:eastAsia="黑体" w:cs="黑体"/>
                <w:sz w:val="24"/>
                <w:szCs w:val="24"/>
              </w:rPr>
            </w:pPr>
            <w:r>
              <w:rPr>
                <w:rFonts w:ascii="黑体" w:hAnsi="黑体" w:eastAsia="黑体" w:cs="黑体"/>
                <w:spacing w:val="-2"/>
                <w:sz w:val="24"/>
                <w:szCs w:val="24"/>
              </w:rPr>
              <w:t>表</w:t>
            </w:r>
            <w:r>
              <w:rPr>
                <w:rFonts w:ascii="黑体" w:hAnsi="黑体" w:eastAsia="黑体" w:cs="黑体"/>
                <w:spacing w:val="-39"/>
                <w:sz w:val="24"/>
                <w:szCs w:val="24"/>
              </w:rPr>
              <w:t xml:space="preserve"> </w:t>
            </w:r>
            <w:r>
              <w:rPr>
                <w:rFonts w:ascii="Times New Roman" w:hAnsi="Times New Roman" w:eastAsia="Times New Roman" w:cs="Times New Roman"/>
                <w:spacing w:val="-2"/>
                <w:sz w:val="24"/>
                <w:szCs w:val="24"/>
              </w:rPr>
              <w:t xml:space="preserve">2-4  </w:t>
            </w:r>
            <w:r>
              <w:rPr>
                <w:rFonts w:ascii="黑体" w:hAnsi="黑体" w:eastAsia="黑体" w:cs="黑体"/>
                <w:spacing w:val="-2"/>
                <w:sz w:val="24"/>
                <w:szCs w:val="24"/>
              </w:rPr>
              <w:t>单口井钻井泥浆用量及成分</w:t>
            </w:r>
          </w:p>
        </w:tc>
      </w:tr>
      <w:tr w14:paraId="63C39A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466" w:type="dxa"/>
            <w:vMerge w:val="continue"/>
            <w:tcBorders>
              <w:top w:val="nil"/>
              <w:left w:val="single" w:color="000000" w:sz="6" w:space="0"/>
              <w:bottom w:val="nil"/>
              <w:right w:val="single" w:color="000000" w:sz="2" w:space="0"/>
            </w:tcBorders>
            <w:vAlign w:val="top"/>
          </w:tcPr>
          <w:p w14:paraId="714B6AE9">
            <w:pPr>
              <w:rPr>
                <w:rFonts w:ascii="Arial"/>
                <w:sz w:val="21"/>
              </w:rPr>
            </w:pPr>
          </w:p>
        </w:tc>
        <w:tc>
          <w:tcPr>
            <w:tcW w:w="1175" w:type="dxa"/>
            <w:tcBorders>
              <w:top w:val="single" w:color="000000" w:sz="10" w:space="0"/>
              <w:left w:val="single" w:color="000000" w:sz="2" w:space="0"/>
            </w:tcBorders>
            <w:vAlign w:val="top"/>
          </w:tcPr>
          <w:p w14:paraId="20E20D1D">
            <w:pPr>
              <w:pStyle w:val="6"/>
              <w:spacing w:before="164" w:line="230" w:lineRule="auto"/>
              <w:ind w:left="429"/>
              <w:rPr>
                <w:sz w:val="20"/>
                <w:szCs w:val="20"/>
              </w:rPr>
            </w:pPr>
            <w:r>
              <w:rPr>
                <w:spacing w:val="3"/>
                <w:sz w:val="20"/>
                <w:szCs w:val="20"/>
              </w:rPr>
              <w:t>名称</w:t>
            </w:r>
          </w:p>
        </w:tc>
        <w:tc>
          <w:tcPr>
            <w:tcW w:w="638" w:type="dxa"/>
            <w:gridSpan w:val="2"/>
            <w:tcBorders>
              <w:top w:val="single" w:color="000000" w:sz="10" w:space="0"/>
            </w:tcBorders>
            <w:vAlign w:val="top"/>
          </w:tcPr>
          <w:p w14:paraId="4F7E4FF3">
            <w:pPr>
              <w:pStyle w:val="6"/>
              <w:spacing w:before="30" w:line="231" w:lineRule="auto"/>
              <w:ind w:left="52" w:right="53" w:firstLine="55"/>
              <w:rPr>
                <w:rFonts w:ascii="Times New Roman" w:hAnsi="Times New Roman" w:eastAsia="Times New Roman" w:cs="Times New Roman"/>
                <w:sz w:val="20"/>
                <w:szCs w:val="20"/>
              </w:rPr>
            </w:pPr>
            <w:r>
              <w:rPr>
                <w:spacing w:val="3"/>
                <w:sz w:val="20"/>
                <w:szCs w:val="20"/>
              </w:rPr>
              <w:t>单井</w:t>
            </w:r>
            <w:r>
              <w:rPr>
                <w:spacing w:val="2"/>
                <w:sz w:val="20"/>
                <w:szCs w:val="20"/>
              </w:rPr>
              <w:t>用量</w:t>
            </w:r>
            <w:r>
              <w:rPr>
                <w:spacing w:val="-42"/>
                <w:sz w:val="20"/>
                <w:szCs w:val="20"/>
              </w:rPr>
              <w:t xml:space="preserve"> </w:t>
            </w:r>
            <w:r>
              <w:rPr>
                <w:rFonts w:ascii="Times New Roman" w:hAnsi="Times New Roman" w:eastAsia="Times New Roman" w:cs="Times New Roman"/>
                <w:spacing w:val="2"/>
                <w:sz w:val="20"/>
                <w:szCs w:val="20"/>
              </w:rPr>
              <w:t>t</w:t>
            </w:r>
          </w:p>
        </w:tc>
        <w:tc>
          <w:tcPr>
            <w:tcW w:w="559" w:type="dxa"/>
            <w:tcBorders>
              <w:top w:val="single" w:color="000000" w:sz="10" w:space="0"/>
            </w:tcBorders>
            <w:vAlign w:val="top"/>
          </w:tcPr>
          <w:p w14:paraId="61903558">
            <w:pPr>
              <w:pStyle w:val="6"/>
              <w:spacing w:before="164" w:line="228" w:lineRule="auto"/>
              <w:ind w:left="12"/>
              <w:rPr>
                <w:rFonts w:ascii="Times New Roman" w:hAnsi="Times New Roman" w:eastAsia="Times New Roman" w:cs="Times New Roman"/>
                <w:sz w:val="20"/>
                <w:szCs w:val="20"/>
              </w:rPr>
            </w:pPr>
            <w:r>
              <w:rPr>
                <w:spacing w:val="3"/>
                <w:sz w:val="20"/>
                <w:szCs w:val="20"/>
              </w:rPr>
              <w:t>储量</w:t>
            </w:r>
            <w:r>
              <w:rPr>
                <w:spacing w:val="-42"/>
                <w:sz w:val="20"/>
                <w:szCs w:val="20"/>
              </w:rPr>
              <w:t xml:space="preserve"> </w:t>
            </w:r>
            <w:r>
              <w:rPr>
                <w:rFonts w:ascii="Times New Roman" w:hAnsi="Times New Roman" w:eastAsia="Times New Roman" w:cs="Times New Roman"/>
                <w:spacing w:val="3"/>
                <w:sz w:val="20"/>
                <w:szCs w:val="20"/>
              </w:rPr>
              <w:t>t</w:t>
            </w:r>
          </w:p>
        </w:tc>
        <w:tc>
          <w:tcPr>
            <w:tcW w:w="796" w:type="dxa"/>
            <w:tcBorders>
              <w:top w:val="single" w:color="000000" w:sz="10" w:space="0"/>
            </w:tcBorders>
            <w:vAlign w:val="top"/>
          </w:tcPr>
          <w:p w14:paraId="111B986C">
            <w:pPr>
              <w:pStyle w:val="6"/>
              <w:spacing w:before="30" w:line="231" w:lineRule="auto"/>
              <w:ind w:left="298" w:right="82" w:hanging="216"/>
              <w:rPr>
                <w:sz w:val="20"/>
                <w:szCs w:val="20"/>
              </w:rPr>
            </w:pPr>
            <w:r>
              <w:rPr>
                <w:spacing w:val="7"/>
                <w:sz w:val="20"/>
                <w:szCs w:val="20"/>
              </w:rPr>
              <w:t>存储方</w:t>
            </w:r>
            <w:r>
              <w:rPr>
                <w:sz w:val="20"/>
                <w:szCs w:val="20"/>
              </w:rPr>
              <w:t>式</w:t>
            </w:r>
          </w:p>
        </w:tc>
        <w:tc>
          <w:tcPr>
            <w:tcW w:w="544" w:type="dxa"/>
            <w:tcBorders>
              <w:top w:val="single" w:color="000000" w:sz="10" w:space="0"/>
            </w:tcBorders>
            <w:vAlign w:val="top"/>
          </w:tcPr>
          <w:p w14:paraId="7B066AD1">
            <w:pPr>
              <w:pStyle w:val="6"/>
              <w:spacing w:before="29" w:line="228" w:lineRule="auto"/>
              <w:ind w:left="61"/>
              <w:rPr>
                <w:sz w:val="20"/>
                <w:szCs w:val="20"/>
              </w:rPr>
            </w:pPr>
            <w:r>
              <w:rPr>
                <w:spacing w:val="5"/>
                <w:sz w:val="20"/>
                <w:szCs w:val="20"/>
              </w:rPr>
              <w:t>储存</w:t>
            </w:r>
          </w:p>
          <w:p w14:paraId="019E254D">
            <w:pPr>
              <w:pStyle w:val="6"/>
              <w:spacing w:before="27" w:line="210" w:lineRule="auto"/>
              <w:ind w:left="62"/>
              <w:rPr>
                <w:sz w:val="20"/>
                <w:szCs w:val="20"/>
              </w:rPr>
            </w:pPr>
            <w:r>
              <w:rPr>
                <w:spacing w:val="4"/>
                <w:sz w:val="20"/>
                <w:szCs w:val="20"/>
              </w:rPr>
              <w:t>位置</w:t>
            </w:r>
          </w:p>
        </w:tc>
        <w:tc>
          <w:tcPr>
            <w:tcW w:w="2158" w:type="dxa"/>
            <w:gridSpan w:val="2"/>
            <w:tcBorders>
              <w:top w:val="single" w:color="000000" w:sz="10" w:space="0"/>
            </w:tcBorders>
            <w:vAlign w:val="top"/>
          </w:tcPr>
          <w:p w14:paraId="18759569">
            <w:pPr>
              <w:pStyle w:val="6"/>
              <w:spacing w:before="163" w:line="228" w:lineRule="auto"/>
              <w:ind w:left="665"/>
              <w:rPr>
                <w:sz w:val="20"/>
                <w:szCs w:val="20"/>
              </w:rPr>
            </w:pPr>
            <w:r>
              <w:rPr>
                <w:spacing w:val="6"/>
                <w:sz w:val="20"/>
                <w:szCs w:val="20"/>
              </w:rPr>
              <w:t>理化特性</w:t>
            </w:r>
          </w:p>
        </w:tc>
        <w:tc>
          <w:tcPr>
            <w:tcW w:w="2579" w:type="dxa"/>
            <w:gridSpan w:val="2"/>
            <w:tcBorders>
              <w:top w:val="single" w:color="000000" w:sz="10" w:space="0"/>
              <w:right w:val="single" w:color="000000" w:sz="6" w:space="0"/>
            </w:tcBorders>
            <w:vAlign w:val="top"/>
          </w:tcPr>
          <w:p w14:paraId="61094F5B">
            <w:pPr>
              <w:pStyle w:val="6"/>
              <w:spacing w:before="164" w:line="229" w:lineRule="auto"/>
              <w:ind w:left="1034"/>
              <w:rPr>
                <w:sz w:val="20"/>
                <w:szCs w:val="20"/>
              </w:rPr>
            </w:pPr>
            <w:r>
              <w:rPr>
                <w:spacing w:val="3"/>
                <w:sz w:val="20"/>
                <w:szCs w:val="20"/>
              </w:rPr>
              <w:t>备注</w:t>
            </w:r>
          </w:p>
        </w:tc>
      </w:tr>
      <w:tr w14:paraId="5E7E0B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9" w:hRule="atLeast"/>
        </w:trPr>
        <w:tc>
          <w:tcPr>
            <w:tcW w:w="466" w:type="dxa"/>
            <w:vMerge w:val="continue"/>
            <w:tcBorders>
              <w:top w:val="nil"/>
              <w:left w:val="single" w:color="000000" w:sz="6" w:space="0"/>
              <w:bottom w:val="nil"/>
              <w:right w:val="single" w:color="000000" w:sz="2" w:space="0"/>
            </w:tcBorders>
            <w:vAlign w:val="top"/>
          </w:tcPr>
          <w:p w14:paraId="44E1D6D3">
            <w:pPr>
              <w:rPr>
                <w:rFonts w:ascii="Arial"/>
                <w:sz w:val="21"/>
              </w:rPr>
            </w:pPr>
          </w:p>
        </w:tc>
        <w:tc>
          <w:tcPr>
            <w:tcW w:w="1175" w:type="dxa"/>
            <w:tcBorders>
              <w:left w:val="single" w:color="000000" w:sz="2" w:space="0"/>
            </w:tcBorders>
            <w:vAlign w:val="top"/>
          </w:tcPr>
          <w:p w14:paraId="6F2FC172">
            <w:pPr>
              <w:spacing w:line="279" w:lineRule="auto"/>
              <w:rPr>
                <w:rFonts w:ascii="Arial"/>
                <w:sz w:val="21"/>
              </w:rPr>
            </w:pPr>
          </w:p>
          <w:p w14:paraId="1E059E6F">
            <w:pPr>
              <w:spacing w:line="279" w:lineRule="auto"/>
              <w:rPr>
                <w:rFonts w:ascii="Arial"/>
                <w:sz w:val="21"/>
              </w:rPr>
            </w:pPr>
          </w:p>
          <w:p w14:paraId="3D2F7F05">
            <w:pPr>
              <w:pStyle w:val="6"/>
              <w:spacing w:before="65" w:line="228" w:lineRule="auto"/>
              <w:ind w:left="323"/>
              <w:rPr>
                <w:sz w:val="20"/>
                <w:szCs w:val="20"/>
              </w:rPr>
            </w:pPr>
            <w:r>
              <w:rPr>
                <w:spacing w:val="6"/>
                <w:sz w:val="20"/>
                <w:szCs w:val="20"/>
              </w:rPr>
              <w:t>膨润土</w:t>
            </w:r>
          </w:p>
        </w:tc>
        <w:tc>
          <w:tcPr>
            <w:tcW w:w="638" w:type="dxa"/>
            <w:gridSpan w:val="2"/>
            <w:vAlign w:val="top"/>
          </w:tcPr>
          <w:p w14:paraId="388F5A65">
            <w:pPr>
              <w:spacing w:line="300" w:lineRule="auto"/>
              <w:rPr>
                <w:rFonts w:ascii="Arial"/>
                <w:sz w:val="21"/>
              </w:rPr>
            </w:pPr>
          </w:p>
          <w:p w14:paraId="18C030A7">
            <w:pPr>
              <w:spacing w:line="300" w:lineRule="auto"/>
              <w:rPr>
                <w:rFonts w:ascii="Arial"/>
                <w:sz w:val="21"/>
              </w:rPr>
            </w:pPr>
          </w:p>
          <w:p w14:paraId="12F1521D">
            <w:pPr>
              <w:spacing w:before="58"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88</w:t>
            </w:r>
          </w:p>
        </w:tc>
        <w:tc>
          <w:tcPr>
            <w:tcW w:w="559" w:type="dxa"/>
            <w:vAlign w:val="top"/>
          </w:tcPr>
          <w:p w14:paraId="3875C485">
            <w:pPr>
              <w:spacing w:line="300" w:lineRule="auto"/>
              <w:rPr>
                <w:rFonts w:ascii="Arial"/>
                <w:sz w:val="21"/>
              </w:rPr>
            </w:pPr>
          </w:p>
          <w:p w14:paraId="69F87B9B">
            <w:pPr>
              <w:spacing w:line="300" w:lineRule="auto"/>
              <w:rPr>
                <w:rFonts w:ascii="Arial"/>
                <w:sz w:val="21"/>
              </w:rPr>
            </w:pPr>
          </w:p>
          <w:p w14:paraId="3EE3ADD3">
            <w:pPr>
              <w:spacing w:before="58" w:line="195" w:lineRule="auto"/>
              <w:ind w:left="19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796" w:type="dxa"/>
            <w:vAlign w:val="top"/>
          </w:tcPr>
          <w:p w14:paraId="774F542C">
            <w:pPr>
              <w:spacing w:line="421" w:lineRule="auto"/>
              <w:rPr>
                <w:rFonts w:ascii="Arial"/>
                <w:sz w:val="21"/>
              </w:rPr>
            </w:pPr>
          </w:p>
          <w:p w14:paraId="3320A7E9">
            <w:pPr>
              <w:pStyle w:val="6"/>
              <w:spacing w:before="65" w:line="247" w:lineRule="auto"/>
              <w:ind w:left="50" w:right="53" w:firstLine="32"/>
              <w:rPr>
                <w:sz w:val="20"/>
                <w:szCs w:val="20"/>
              </w:rPr>
            </w:pPr>
            <w:r>
              <w:rPr>
                <w:spacing w:val="12"/>
                <w:sz w:val="20"/>
                <w:szCs w:val="20"/>
              </w:rPr>
              <w:t>袋装，</w:t>
            </w:r>
            <w:r>
              <w:rPr>
                <w:sz w:val="20"/>
                <w:szCs w:val="20"/>
              </w:rPr>
              <w:t xml:space="preserve"> </w:t>
            </w:r>
            <w:r>
              <w:rPr>
                <w:rFonts w:ascii="Times New Roman" w:hAnsi="Times New Roman" w:eastAsia="Times New Roman" w:cs="Times New Roman"/>
                <w:spacing w:val="6"/>
                <w:sz w:val="20"/>
                <w:szCs w:val="20"/>
              </w:rPr>
              <w:t>25</w:t>
            </w: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w:t>
            </w:r>
            <w:r>
              <w:rPr>
                <w:spacing w:val="6"/>
                <w:sz w:val="20"/>
                <w:szCs w:val="20"/>
              </w:rPr>
              <w:t>袋</w:t>
            </w:r>
          </w:p>
        </w:tc>
        <w:tc>
          <w:tcPr>
            <w:tcW w:w="544" w:type="dxa"/>
            <w:vAlign w:val="top"/>
          </w:tcPr>
          <w:p w14:paraId="38C8B407">
            <w:pPr>
              <w:spacing w:line="421" w:lineRule="auto"/>
              <w:rPr>
                <w:rFonts w:ascii="Arial"/>
                <w:sz w:val="21"/>
              </w:rPr>
            </w:pPr>
          </w:p>
          <w:p w14:paraId="4C773516">
            <w:pPr>
              <w:pStyle w:val="6"/>
              <w:spacing w:before="65" w:line="252" w:lineRule="auto"/>
              <w:ind w:left="62" w:right="62"/>
              <w:rPr>
                <w:sz w:val="20"/>
                <w:szCs w:val="20"/>
              </w:rPr>
            </w:pPr>
            <w:r>
              <w:rPr>
                <w:spacing w:val="4"/>
                <w:sz w:val="20"/>
                <w:szCs w:val="20"/>
              </w:rPr>
              <w:t>材料堆场</w:t>
            </w:r>
          </w:p>
        </w:tc>
        <w:tc>
          <w:tcPr>
            <w:tcW w:w="2158" w:type="dxa"/>
            <w:gridSpan w:val="2"/>
            <w:vAlign w:val="top"/>
          </w:tcPr>
          <w:p w14:paraId="2EF044E4">
            <w:pPr>
              <w:pStyle w:val="6"/>
              <w:spacing w:before="80" w:line="228" w:lineRule="auto"/>
              <w:ind w:left="57"/>
              <w:rPr>
                <w:sz w:val="20"/>
                <w:szCs w:val="20"/>
              </w:rPr>
            </w:pPr>
            <w:r>
              <w:rPr>
                <w:spacing w:val="6"/>
                <w:sz w:val="20"/>
                <w:szCs w:val="20"/>
              </w:rPr>
              <w:t>以蒙脱石为主的含水黏</w:t>
            </w:r>
          </w:p>
          <w:p w14:paraId="7567B9BD">
            <w:pPr>
              <w:pStyle w:val="6"/>
              <w:spacing w:before="24" w:line="228" w:lineRule="auto"/>
              <w:jc w:val="right"/>
              <w:rPr>
                <w:sz w:val="20"/>
                <w:szCs w:val="20"/>
              </w:rPr>
            </w:pPr>
            <w:r>
              <w:rPr>
                <w:spacing w:val="-6"/>
                <w:sz w:val="20"/>
                <w:szCs w:val="20"/>
              </w:rPr>
              <w:t>土矿，无毒、不溶于水、</w:t>
            </w:r>
          </w:p>
          <w:p w14:paraId="295F38D7">
            <w:pPr>
              <w:pStyle w:val="6"/>
              <w:spacing w:before="26" w:line="228" w:lineRule="auto"/>
              <w:ind w:left="52"/>
              <w:rPr>
                <w:sz w:val="20"/>
                <w:szCs w:val="20"/>
              </w:rPr>
            </w:pPr>
            <w:r>
              <w:rPr>
                <w:spacing w:val="7"/>
                <w:sz w:val="20"/>
                <w:szCs w:val="20"/>
              </w:rPr>
              <w:t>固体粉末；有很好的吸</w:t>
            </w:r>
          </w:p>
          <w:p w14:paraId="0550C793">
            <w:pPr>
              <w:pStyle w:val="6"/>
              <w:spacing w:before="24" w:line="228" w:lineRule="auto"/>
              <w:ind w:left="36"/>
              <w:rPr>
                <w:sz w:val="20"/>
                <w:szCs w:val="20"/>
              </w:rPr>
            </w:pPr>
            <w:r>
              <w:rPr>
                <w:spacing w:val="8"/>
                <w:sz w:val="20"/>
                <w:szCs w:val="20"/>
              </w:rPr>
              <w:t>水膨胀性能、分散和悬</w:t>
            </w:r>
          </w:p>
          <w:p w14:paraId="6B007B36">
            <w:pPr>
              <w:pStyle w:val="6"/>
              <w:spacing w:before="26" w:line="228" w:lineRule="auto"/>
              <w:ind w:left="558"/>
              <w:rPr>
                <w:sz w:val="20"/>
                <w:szCs w:val="20"/>
              </w:rPr>
            </w:pPr>
            <w:r>
              <w:rPr>
                <w:spacing w:val="7"/>
                <w:sz w:val="20"/>
                <w:szCs w:val="20"/>
              </w:rPr>
              <w:t>浮及造浆性</w:t>
            </w:r>
          </w:p>
        </w:tc>
        <w:tc>
          <w:tcPr>
            <w:tcW w:w="2579" w:type="dxa"/>
            <w:gridSpan w:val="2"/>
            <w:tcBorders>
              <w:right w:val="single" w:color="000000" w:sz="6" w:space="0"/>
            </w:tcBorders>
            <w:vAlign w:val="top"/>
          </w:tcPr>
          <w:p w14:paraId="0D7BDB34">
            <w:pPr>
              <w:spacing w:line="422" w:lineRule="auto"/>
              <w:rPr>
                <w:rFonts w:ascii="Arial"/>
                <w:sz w:val="21"/>
              </w:rPr>
            </w:pPr>
          </w:p>
          <w:p w14:paraId="3C6731AE">
            <w:pPr>
              <w:pStyle w:val="6"/>
              <w:spacing w:before="65" w:line="251" w:lineRule="auto"/>
              <w:ind w:left="12" w:right="102"/>
              <w:rPr>
                <w:sz w:val="20"/>
                <w:szCs w:val="20"/>
              </w:rPr>
            </w:pPr>
            <w:r>
              <w:rPr>
                <w:spacing w:val="4"/>
                <w:sz w:val="20"/>
                <w:szCs w:val="20"/>
              </w:rPr>
              <w:t>基础配浆材料，不含放射性和重金属材料，不属于危废</w:t>
            </w:r>
          </w:p>
        </w:tc>
      </w:tr>
      <w:tr w14:paraId="72D9B8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8" w:hRule="atLeast"/>
        </w:trPr>
        <w:tc>
          <w:tcPr>
            <w:tcW w:w="466" w:type="dxa"/>
            <w:vMerge w:val="continue"/>
            <w:tcBorders>
              <w:top w:val="nil"/>
              <w:left w:val="single" w:color="000000" w:sz="6" w:space="0"/>
              <w:bottom w:val="single" w:color="000000" w:sz="6" w:space="0"/>
              <w:right w:val="single" w:color="000000" w:sz="2" w:space="0"/>
            </w:tcBorders>
            <w:vAlign w:val="top"/>
          </w:tcPr>
          <w:p w14:paraId="26338574">
            <w:pPr>
              <w:rPr>
                <w:rFonts w:ascii="Arial"/>
                <w:sz w:val="21"/>
              </w:rPr>
            </w:pPr>
          </w:p>
        </w:tc>
        <w:tc>
          <w:tcPr>
            <w:tcW w:w="1175" w:type="dxa"/>
            <w:tcBorders>
              <w:left w:val="single" w:color="000000" w:sz="2" w:space="0"/>
              <w:bottom w:val="single" w:color="000000" w:sz="6" w:space="0"/>
            </w:tcBorders>
            <w:vAlign w:val="top"/>
          </w:tcPr>
          <w:p w14:paraId="618726EB">
            <w:pPr>
              <w:spacing w:line="250" w:lineRule="auto"/>
              <w:rPr>
                <w:rFonts w:ascii="Arial"/>
                <w:sz w:val="21"/>
              </w:rPr>
            </w:pPr>
          </w:p>
          <w:p w14:paraId="7D0B4E23">
            <w:pPr>
              <w:spacing w:line="250" w:lineRule="auto"/>
              <w:rPr>
                <w:rFonts w:ascii="Arial"/>
                <w:sz w:val="21"/>
              </w:rPr>
            </w:pPr>
          </w:p>
          <w:p w14:paraId="1C7BD640">
            <w:pPr>
              <w:spacing w:line="250" w:lineRule="auto"/>
              <w:rPr>
                <w:rFonts w:ascii="Arial"/>
                <w:sz w:val="21"/>
              </w:rPr>
            </w:pPr>
          </w:p>
          <w:p w14:paraId="7D7FB296">
            <w:pPr>
              <w:spacing w:line="251" w:lineRule="auto"/>
              <w:rPr>
                <w:rFonts w:ascii="Arial"/>
                <w:sz w:val="21"/>
              </w:rPr>
            </w:pPr>
          </w:p>
          <w:p w14:paraId="27EDA2E3">
            <w:pPr>
              <w:spacing w:before="58" w:line="195" w:lineRule="auto"/>
              <w:ind w:left="353"/>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NaOH</w:t>
            </w:r>
          </w:p>
        </w:tc>
        <w:tc>
          <w:tcPr>
            <w:tcW w:w="638" w:type="dxa"/>
            <w:gridSpan w:val="2"/>
            <w:tcBorders>
              <w:bottom w:val="single" w:color="000000" w:sz="6" w:space="0"/>
            </w:tcBorders>
            <w:vAlign w:val="top"/>
          </w:tcPr>
          <w:p w14:paraId="59D258A3">
            <w:pPr>
              <w:spacing w:line="250" w:lineRule="auto"/>
              <w:rPr>
                <w:rFonts w:ascii="Arial"/>
                <w:sz w:val="21"/>
              </w:rPr>
            </w:pPr>
          </w:p>
          <w:p w14:paraId="1C08B44E">
            <w:pPr>
              <w:spacing w:line="250" w:lineRule="auto"/>
              <w:rPr>
                <w:rFonts w:ascii="Arial"/>
                <w:sz w:val="21"/>
              </w:rPr>
            </w:pPr>
          </w:p>
          <w:p w14:paraId="3DFAD42A">
            <w:pPr>
              <w:spacing w:line="250" w:lineRule="auto"/>
              <w:rPr>
                <w:rFonts w:ascii="Arial"/>
                <w:sz w:val="21"/>
              </w:rPr>
            </w:pPr>
          </w:p>
          <w:p w14:paraId="3B504420">
            <w:pPr>
              <w:spacing w:line="251" w:lineRule="auto"/>
              <w:rPr>
                <w:rFonts w:ascii="Arial"/>
                <w:sz w:val="21"/>
              </w:rPr>
            </w:pPr>
          </w:p>
          <w:p w14:paraId="26B2DB9B">
            <w:pPr>
              <w:spacing w:before="58"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559" w:type="dxa"/>
            <w:tcBorders>
              <w:bottom w:val="single" w:color="000000" w:sz="6" w:space="0"/>
            </w:tcBorders>
            <w:vAlign w:val="top"/>
          </w:tcPr>
          <w:p w14:paraId="1AD72A8C">
            <w:pPr>
              <w:spacing w:line="250" w:lineRule="auto"/>
              <w:rPr>
                <w:rFonts w:ascii="Arial"/>
                <w:sz w:val="21"/>
              </w:rPr>
            </w:pPr>
          </w:p>
          <w:p w14:paraId="55D4DFA5">
            <w:pPr>
              <w:spacing w:line="250" w:lineRule="auto"/>
              <w:rPr>
                <w:rFonts w:ascii="Arial"/>
                <w:sz w:val="21"/>
              </w:rPr>
            </w:pPr>
          </w:p>
          <w:p w14:paraId="70C92A8B">
            <w:pPr>
              <w:spacing w:line="250" w:lineRule="auto"/>
              <w:rPr>
                <w:rFonts w:ascii="Arial"/>
                <w:sz w:val="21"/>
              </w:rPr>
            </w:pPr>
          </w:p>
          <w:p w14:paraId="4AC49238">
            <w:pPr>
              <w:spacing w:line="251" w:lineRule="auto"/>
              <w:rPr>
                <w:rFonts w:ascii="Arial"/>
                <w:sz w:val="21"/>
              </w:rPr>
            </w:pPr>
          </w:p>
          <w:p w14:paraId="4F2091C3">
            <w:pPr>
              <w:spacing w:before="58" w:line="195" w:lineRule="auto"/>
              <w:ind w:left="24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96" w:type="dxa"/>
            <w:tcBorders>
              <w:bottom w:val="single" w:color="000000" w:sz="6" w:space="0"/>
            </w:tcBorders>
            <w:vAlign w:val="top"/>
          </w:tcPr>
          <w:p w14:paraId="3553DEDC">
            <w:pPr>
              <w:spacing w:line="273" w:lineRule="auto"/>
              <w:rPr>
                <w:rFonts w:ascii="Arial"/>
                <w:sz w:val="21"/>
              </w:rPr>
            </w:pPr>
          </w:p>
          <w:p w14:paraId="4D874AC7">
            <w:pPr>
              <w:spacing w:line="273" w:lineRule="auto"/>
              <w:rPr>
                <w:rFonts w:ascii="Arial"/>
                <w:sz w:val="21"/>
              </w:rPr>
            </w:pPr>
          </w:p>
          <w:p w14:paraId="10ED3582">
            <w:pPr>
              <w:spacing w:line="274" w:lineRule="auto"/>
              <w:rPr>
                <w:rFonts w:ascii="Arial"/>
                <w:sz w:val="21"/>
              </w:rPr>
            </w:pPr>
          </w:p>
          <w:p w14:paraId="700949EC">
            <w:pPr>
              <w:pStyle w:val="6"/>
              <w:spacing w:before="65" w:line="249" w:lineRule="auto"/>
              <w:ind w:left="50" w:right="53" w:firstLine="32"/>
              <w:rPr>
                <w:sz w:val="20"/>
                <w:szCs w:val="20"/>
              </w:rPr>
            </w:pPr>
            <w:r>
              <w:rPr>
                <w:spacing w:val="12"/>
                <w:sz w:val="20"/>
                <w:szCs w:val="20"/>
              </w:rPr>
              <w:t>袋装，</w:t>
            </w:r>
            <w:r>
              <w:rPr>
                <w:sz w:val="20"/>
                <w:szCs w:val="20"/>
              </w:rPr>
              <w:t xml:space="preserve"> </w:t>
            </w:r>
            <w:r>
              <w:rPr>
                <w:rFonts w:ascii="Times New Roman" w:hAnsi="Times New Roman" w:eastAsia="Times New Roman" w:cs="Times New Roman"/>
                <w:spacing w:val="6"/>
                <w:sz w:val="20"/>
                <w:szCs w:val="20"/>
              </w:rPr>
              <w:t>25</w:t>
            </w: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w:t>
            </w:r>
            <w:r>
              <w:rPr>
                <w:spacing w:val="6"/>
                <w:sz w:val="20"/>
                <w:szCs w:val="20"/>
              </w:rPr>
              <w:t>袋</w:t>
            </w:r>
          </w:p>
        </w:tc>
        <w:tc>
          <w:tcPr>
            <w:tcW w:w="544" w:type="dxa"/>
            <w:tcBorders>
              <w:bottom w:val="single" w:color="000000" w:sz="6" w:space="0"/>
            </w:tcBorders>
            <w:vAlign w:val="top"/>
          </w:tcPr>
          <w:p w14:paraId="491AAA1D">
            <w:pPr>
              <w:spacing w:line="273" w:lineRule="auto"/>
              <w:rPr>
                <w:rFonts w:ascii="Arial"/>
                <w:sz w:val="21"/>
              </w:rPr>
            </w:pPr>
          </w:p>
          <w:p w14:paraId="613B218F">
            <w:pPr>
              <w:spacing w:line="273" w:lineRule="auto"/>
              <w:rPr>
                <w:rFonts w:ascii="Arial"/>
                <w:sz w:val="21"/>
              </w:rPr>
            </w:pPr>
          </w:p>
          <w:p w14:paraId="60EABBB1">
            <w:pPr>
              <w:spacing w:line="274" w:lineRule="auto"/>
              <w:rPr>
                <w:rFonts w:ascii="Arial"/>
                <w:sz w:val="21"/>
              </w:rPr>
            </w:pPr>
          </w:p>
          <w:p w14:paraId="08618D5B">
            <w:pPr>
              <w:pStyle w:val="6"/>
              <w:spacing w:before="65" w:line="254" w:lineRule="auto"/>
              <w:ind w:left="62" w:right="62"/>
              <w:rPr>
                <w:sz w:val="20"/>
                <w:szCs w:val="20"/>
              </w:rPr>
            </w:pPr>
            <w:r>
              <w:rPr>
                <w:spacing w:val="4"/>
                <w:sz w:val="20"/>
                <w:szCs w:val="20"/>
              </w:rPr>
              <w:t>材料堆场</w:t>
            </w:r>
          </w:p>
        </w:tc>
        <w:tc>
          <w:tcPr>
            <w:tcW w:w="2158" w:type="dxa"/>
            <w:gridSpan w:val="2"/>
            <w:tcBorders>
              <w:bottom w:val="single" w:color="000000" w:sz="6" w:space="0"/>
            </w:tcBorders>
            <w:vAlign w:val="top"/>
          </w:tcPr>
          <w:p w14:paraId="077E76EB">
            <w:pPr>
              <w:pStyle w:val="6"/>
              <w:spacing w:before="73" w:line="228" w:lineRule="auto"/>
              <w:ind w:left="34"/>
              <w:rPr>
                <w:sz w:val="20"/>
                <w:szCs w:val="20"/>
              </w:rPr>
            </w:pPr>
            <w:r>
              <w:rPr>
                <w:spacing w:val="4"/>
                <w:sz w:val="20"/>
                <w:szCs w:val="20"/>
              </w:rPr>
              <w:t>腐蚀性、</w:t>
            </w:r>
            <w:r>
              <w:rPr>
                <w:spacing w:val="-52"/>
                <w:sz w:val="20"/>
                <w:szCs w:val="20"/>
              </w:rPr>
              <w:t xml:space="preserve"> </w:t>
            </w:r>
            <w:r>
              <w:rPr>
                <w:spacing w:val="4"/>
                <w:sz w:val="20"/>
                <w:szCs w:val="20"/>
              </w:rPr>
              <w:t>白色半透明片</w:t>
            </w:r>
          </w:p>
          <w:p w14:paraId="18CD048A">
            <w:pPr>
              <w:pStyle w:val="6"/>
              <w:spacing w:before="24" w:line="228" w:lineRule="auto"/>
              <w:ind w:left="34"/>
              <w:rPr>
                <w:sz w:val="20"/>
                <w:szCs w:val="20"/>
              </w:rPr>
            </w:pPr>
            <w:r>
              <w:rPr>
                <w:spacing w:val="8"/>
                <w:sz w:val="20"/>
                <w:szCs w:val="20"/>
              </w:rPr>
              <w:t>状固体；纯品为无色透</w:t>
            </w:r>
          </w:p>
          <w:p w14:paraId="0AC35E11">
            <w:pPr>
              <w:pStyle w:val="6"/>
              <w:spacing w:before="27" w:line="221" w:lineRule="auto"/>
              <w:jc w:val="right"/>
              <w:rPr>
                <w:sz w:val="20"/>
                <w:szCs w:val="20"/>
              </w:rPr>
            </w:pPr>
            <w:r>
              <w:rPr>
                <w:spacing w:val="-5"/>
                <w:sz w:val="20"/>
                <w:szCs w:val="20"/>
              </w:rPr>
              <w:t>明晶体，密度</w:t>
            </w:r>
            <w:r>
              <w:rPr>
                <w:rFonts w:ascii="Times New Roman" w:hAnsi="Times New Roman" w:eastAsia="Times New Roman" w:cs="Times New Roman"/>
                <w:spacing w:val="-5"/>
                <w:sz w:val="20"/>
                <w:szCs w:val="20"/>
              </w:rPr>
              <w:t>2.</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5"/>
                <w:sz w:val="20"/>
                <w:szCs w:val="20"/>
              </w:rPr>
              <w:t>13g/cm</w:t>
            </w:r>
            <w:r>
              <w:rPr>
                <w:rFonts w:ascii="Times New Roman" w:hAnsi="Times New Roman" w:eastAsia="Times New Roman" w:cs="Times New Roman"/>
                <w:spacing w:val="-5"/>
                <w:position w:val="6"/>
                <w:sz w:val="13"/>
                <w:szCs w:val="13"/>
              </w:rPr>
              <w:t>3</w:t>
            </w:r>
            <w:r>
              <w:rPr>
                <w:spacing w:val="-47"/>
                <w:sz w:val="20"/>
                <w:szCs w:val="20"/>
              </w:rPr>
              <w:t>，</w:t>
            </w:r>
          </w:p>
          <w:p w14:paraId="6C3E0FF8">
            <w:pPr>
              <w:pStyle w:val="6"/>
              <w:spacing w:before="31" w:line="225" w:lineRule="auto"/>
              <w:ind w:left="188"/>
              <w:rPr>
                <w:sz w:val="20"/>
                <w:szCs w:val="20"/>
              </w:rPr>
            </w:pPr>
            <w:r>
              <w:rPr>
                <w:spacing w:val="-3"/>
                <w:sz w:val="20"/>
                <w:szCs w:val="20"/>
              </w:rPr>
              <w:t>熔点</w:t>
            </w:r>
            <w:r>
              <w:rPr>
                <w:spacing w:val="-29"/>
                <w:sz w:val="20"/>
                <w:szCs w:val="20"/>
              </w:rPr>
              <w:t xml:space="preserve"> </w:t>
            </w:r>
            <w:r>
              <w:rPr>
                <w:rFonts w:ascii="Times New Roman" w:hAnsi="Times New Roman" w:eastAsia="Times New Roman" w:cs="Times New Roman"/>
                <w:spacing w:val="-3"/>
                <w:sz w:val="20"/>
                <w:szCs w:val="20"/>
              </w:rPr>
              <w:t>318.4℃</w:t>
            </w:r>
            <w:r>
              <w:rPr>
                <w:rFonts w:ascii="Times New Roman" w:hAnsi="Times New Roman" w:eastAsia="Times New Roman" w:cs="Times New Roman"/>
                <w:spacing w:val="-23"/>
                <w:sz w:val="20"/>
                <w:szCs w:val="20"/>
              </w:rPr>
              <w:t xml:space="preserve"> </w:t>
            </w:r>
            <w:r>
              <w:rPr>
                <w:spacing w:val="-3"/>
                <w:sz w:val="20"/>
                <w:szCs w:val="20"/>
              </w:rPr>
              <w:t>,</w:t>
            </w:r>
            <w:r>
              <w:rPr>
                <w:spacing w:val="60"/>
                <w:sz w:val="20"/>
                <w:szCs w:val="20"/>
              </w:rPr>
              <w:t xml:space="preserve"> </w:t>
            </w:r>
            <w:r>
              <w:rPr>
                <w:spacing w:val="-3"/>
                <w:sz w:val="20"/>
                <w:szCs w:val="20"/>
              </w:rPr>
              <w:t>沸点</w:t>
            </w:r>
          </w:p>
          <w:p w14:paraId="7F900027">
            <w:pPr>
              <w:pStyle w:val="6"/>
              <w:spacing w:before="30" w:line="227" w:lineRule="auto"/>
              <w:ind w:left="45"/>
              <w:rPr>
                <w:sz w:val="20"/>
                <w:szCs w:val="20"/>
              </w:rPr>
            </w:pPr>
            <w:r>
              <w:rPr>
                <w:rFonts w:ascii="Times New Roman" w:hAnsi="Times New Roman" w:eastAsia="Times New Roman" w:cs="Times New Roman"/>
                <w:spacing w:val="6"/>
                <w:sz w:val="20"/>
                <w:szCs w:val="20"/>
              </w:rPr>
              <w:t>1390℃</w:t>
            </w:r>
            <w:r>
              <w:rPr>
                <w:spacing w:val="6"/>
                <w:sz w:val="20"/>
                <w:szCs w:val="20"/>
              </w:rPr>
              <w:t>；固体烧碱有很</w:t>
            </w:r>
          </w:p>
          <w:p w14:paraId="1BD37815">
            <w:pPr>
              <w:pStyle w:val="6"/>
              <w:spacing w:before="25" w:line="228" w:lineRule="auto"/>
              <w:jc w:val="right"/>
              <w:rPr>
                <w:sz w:val="20"/>
                <w:szCs w:val="20"/>
              </w:rPr>
            </w:pPr>
            <w:r>
              <w:rPr>
                <w:spacing w:val="-7"/>
                <w:sz w:val="20"/>
                <w:szCs w:val="20"/>
              </w:rPr>
              <w:t>强的吸湿性，易溶于水，</w:t>
            </w:r>
          </w:p>
          <w:p w14:paraId="5DF0A29E">
            <w:pPr>
              <w:pStyle w:val="6"/>
              <w:spacing w:before="26" w:line="228" w:lineRule="auto"/>
              <w:ind w:left="36"/>
              <w:rPr>
                <w:sz w:val="20"/>
                <w:szCs w:val="20"/>
              </w:rPr>
            </w:pPr>
            <w:r>
              <w:rPr>
                <w:spacing w:val="8"/>
                <w:sz w:val="20"/>
                <w:szCs w:val="20"/>
              </w:rPr>
              <w:t>溶解时放热，水溶液呈</w:t>
            </w:r>
          </w:p>
          <w:p w14:paraId="67576E54">
            <w:pPr>
              <w:pStyle w:val="6"/>
              <w:spacing w:before="24" w:line="229" w:lineRule="auto"/>
              <w:ind w:left="872"/>
              <w:rPr>
                <w:sz w:val="20"/>
                <w:szCs w:val="20"/>
              </w:rPr>
            </w:pPr>
            <w:r>
              <w:rPr>
                <w:spacing w:val="5"/>
                <w:sz w:val="20"/>
                <w:szCs w:val="20"/>
              </w:rPr>
              <w:t>碱性</w:t>
            </w:r>
          </w:p>
        </w:tc>
        <w:tc>
          <w:tcPr>
            <w:tcW w:w="2579" w:type="dxa"/>
            <w:gridSpan w:val="2"/>
            <w:tcBorders>
              <w:bottom w:val="single" w:color="000000" w:sz="6" w:space="0"/>
              <w:right w:val="single" w:color="000000" w:sz="6" w:space="0"/>
            </w:tcBorders>
            <w:vAlign w:val="top"/>
          </w:tcPr>
          <w:p w14:paraId="6A3F552A">
            <w:pPr>
              <w:spacing w:line="342" w:lineRule="auto"/>
              <w:rPr>
                <w:rFonts w:ascii="Arial"/>
                <w:sz w:val="21"/>
              </w:rPr>
            </w:pPr>
          </w:p>
          <w:p w14:paraId="69B0A6E8">
            <w:pPr>
              <w:spacing w:line="343" w:lineRule="auto"/>
              <w:rPr>
                <w:rFonts w:ascii="Arial"/>
                <w:sz w:val="21"/>
              </w:rPr>
            </w:pPr>
          </w:p>
          <w:p w14:paraId="348AB280">
            <w:pPr>
              <w:pStyle w:val="6"/>
              <w:spacing w:before="65" w:line="250" w:lineRule="auto"/>
              <w:ind w:left="85" w:right="102" w:hanging="72"/>
              <w:jc w:val="both"/>
              <w:rPr>
                <w:sz w:val="20"/>
                <w:szCs w:val="20"/>
              </w:rPr>
            </w:pPr>
            <w:r>
              <w:rPr>
                <w:spacing w:val="9"/>
                <w:sz w:val="20"/>
                <w:szCs w:val="20"/>
              </w:rPr>
              <w:t>调节钻井泥浆的</w:t>
            </w:r>
            <w:r>
              <w:rPr>
                <w:spacing w:val="-45"/>
                <w:sz w:val="20"/>
                <w:szCs w:val="20"/>
              </w:rPr>
              <w:t xml:space="preserve"> </w:t>
            </w:r>
            <w:r>
              <w:rPr>
                <w:rFonts w:ascii="Times New Roman" w:hAnsi="Times New Roman" w:eastAsia="Times New Roman" w:cs="Times New Roman"/>
                <w:sz w:val="20"/>
                <w:szCs w:val="20"/>
              </w:rPr>
              <w:t>pH</w:t>
            </w:r>
            <w:r>
              <w:rPr>
                <w:rFonts w:ascii="Times New Roman" w:hAnsi="Times New Roman" w:eastAsia="Times New Roman" w:cs="Times New Roman"/>
                <w:spacing w:val="9"/>
                <w:sz w:val="20"/>
                <w:szCs w:val="20"/>
              </w:rPr>
              <w:t xml:space="preserve"> </w:t>
            </w:r>
            <w:r>
              <w:rPr>
                <w:spacing w:val="9"/>
                <w:sz w:val="20"/>
                <w:szCs w:val="20"/>
              </w:rPr>
              <w:t>值，减少钻具腐蚀和防止钻井泥</w:t>
            </w:r>
            <w:r>
              <w:rPr>
                <w:spacing w:val="4"/>
                <w:sz w:val="20"/>
                <w:szCs w:val="20"/>
              </w:rPr>
              <w:t>浆发酵，</w:t>
            </w:r>
            <w:r>
              <w:rPr>
                <w:spacing w:val="-56"/>
                <w:sz w:val="20"/>
                <w:szCs w:val="20"/>
              </w:rPr>
              <w:t xml:space="preserve"> </w:t>
            </w:r>
            <w:r>
              <w:rPr>
                <w:spacing w:val="4"/>
                <w:sz w:val="20"/>
                <w:szCs w:val="20"/>
              </w:rPr>
              <w:t>以及稳定地层。</w:t>
            </w:r>
          </w:p>
        </w:tc>
      </w:tr>
    </w:tbl>
    <w:p w14:paraId="725B625D">
      <w:pPr>
        <w:spacing w:line="230" w:lineRule="exact"/>
        <w:rPr>
          <w:rFonts w:ascii="Arial"/>
          <w:sz w:val="20"/>
        </w:rPr>
      </w:pPr>
    </w:p>
    <w:p w14:paraId="0D0EE929">
      <w:pPr>
        <w:spacing w:line="230" w:lineRule="exact"/>
        <w:rPr>
          <w:rFonts w:ascii="Arial" w:hAnsi="Arial" w:eastAsia="Arial" w:cs="Arial"/>
          <w:sz w:val="20"/>
          <w:szCs w:val="20"/>
        </w:rPr>
        <w:sectPr>
          <w:footerReference r:id="rId34" w:type="default"/>
          <w:pgSz w:w="11906" w:h="16839"/>
          <w:pgMar w:top="400" w:right="1403" w:bottom="1240" w:left="1572" w:header="0" w:footer="1078" w:gutter="0"/>
          <w:cols w:space="720" w:num="1"/>
        </w:sectPr>
      </w:pPr>
    </w:p>
    <w:p w14:paraId="525408C7">
      <w:pPr>
        <w:spacing w:before="56"/>
      </w:pPr>
    </w:p>
    <w:p w14:paraId="2D74E021">
      <w:pPr>
        <w:spacing w:before="56"/>
      </w:pPr>
    </w:p>
    <w:p w14:paraId="08ABF1F3">
      <w:pPr>
        <w:spacing w:before="55"/>
      </w:pPr>
    </w:p>
    <w:p w14:paraId="1CAC9FEA">
      <w:pPr>
        <w:spacing w:before="55"/>
      </w:pPr>
    </w:p>
    <w:tbl>
      <w:tblPr>
        <w:tblStyle w:val="5"/>
        <w:tblW w:w="8915"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6"/>
        <w:gridCol w:w="1175"/>
        <w:gridCol w:w="638"/>
        <w:gridCol w:w="559"/>
        <w:gridCol w:w="796"/>
        <w:gridCol w:w="544"/>
        <w:gridCol w:w="2158"/>
        <w:gridCol w:w="2579"/>
      </w:tblGrid>
      <w:tr w14:paraId="00E62A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4" w:hRule="atLeast"/>
        </w:trPr>
        <w:tc>
          <w:tcPr>
            <w:tcW w:w="466" w:type="dxa"/>
            <w:vMerge w:val="restart"/>
            <w:tcBorders>
              <w:top w:val="single" w:color="000000" w:sz="6" w:space="0"/>
              <w:left w:val="single" w:color="000000" w:sz="6" w:space="0"/>
              <w:bottom w:val="nil"/>
              <w:right w:val="single" w:color="000000" w:sz="2" w:space="0"/>
            </w:tcBorders>
            <w:vAlign w:val="top"/>
          </w:tcPr>
          <w:p w14:paraId="12AA4805">
            <w:pPr>
              <w:rPr>
                <w:rFonts w:ascii="Arial"/>
                <w:sz w:val="21"/>
              </w:rPr>
            </w:pPr>
          </w:p>
        </w:tc>
        <w:tc>
          <w:tcPr>
            <w:tcW w:w="1175" w:type="dxa"/>
            <w:tcBorders>
              <w:top w:val="single" w:color="000000" w:sz="6" w:space="0"/>
              <w:left w:val="single" w:color="000000" w:sz="2" w:space="0"/>
            </w:tcBorders>
            <w:vAlign w:val="top"/>
          </w:tcPr>
          <w:p w14:paraId="3BE8952D">
            <w:pPr>
              <w:spacing w:line="300" w:lineRule="auto"/>
              <w:rPr>
                <w:rFonts w:ascii="Arial"/>
                <w:sz w:val="21"/>
              </w:rPr>
            </w:pPr>
          </w:p>
          <w:p w14:paraId="2C1B8387">
            <w:pPr>
              <w:spacing w:line="300" w:lineRule="auto"/>
              <w:rPr>
                <w:rFonts w:ascii="Arial"/>
                <w:sz w:val="21"/>
              </w:rPr>
            </w:pPr>
          </w:p>
          <w:p w14:paraId="57948788">
            <w:pPr>
              <w:spacing w:before="57" w:line="202" w:lineRule="auto"/>
              <w:ind w:left="289"/>
              <w:rPr>
                <w:rFonts w:ascii="Times New Roman" w:hAnsi="Times New Roman" w:eastAsia="Times New Roman" w:cs="Times New Roman"/>
                <w:sz w:val="13"/>
                <w:szCs w:val="13"/>
              </w:rPr>
            </w:pPr>
            <w:r>
              <w:rPr>
                <w:rFonts w:ascii="Times New Roman" w:hAnsi="Times New Roman" w:eastAsia="Times New Roman" w:cs="Times New Roman"/>
                <w:sz w:val="20"/>
                <w:szCs w:val="20"/>
              </w:rPr>
              <w:t>Na</w:t>
            </w:r>
            <w:r>
              <w:rPr>
                <w:rFonts w:ascii="Times New Roman" w:hAnsi="Times New Roman" w:eastAsia="Times New Roman" w:cs="Times New Roman"/>
                <w:spacing w:val="17"/>
                <w:position w:val="-1"/>
                <w:sz w:val="13"/>
                <w:szCs w:val="13"/>
              </w:rPr>
              <w:t>2</w:t>
            </w:r>
            <w:r>
              <w:rPr>
                <w:rFonts w:ascii="Times New Roman" w:hAnsi="Times New Roman" w:eastAsia="Times New Roman" w:cs="Times New Roman"/>
                <w:sz w:val="20"/>
                <w:szCs w:val="20"/>
              </w:rPr>
              <w:t>CO</w:t>
            </w:r>
            <w:r>
              <w:rPr>
                <w:rFonts w:ascii="Times New Roman" w:hAnsi="Times New Roman" w:eastAsia="Times New Roman" w:cs="Times New Roman"/>
                <w:spacing w:val="17"/>
                <w:position w:val="-1"/>
                <w:sz w:val="13"/>
                <w:szCs w:val="13"/>
              </w:rPr>
              <w:t>3</w:t>
            </w:r>
          </w:p>
        </w:tc>
        <w:tc>
          <w:tcPr>
            <w:tcW w:w="638" w:type="dxa"/>
            <w:tcBorders>
              <w:top w:val="single" w:color="000000" w:sz="6" w:space="0"/>
            </w:tcBorders>
            <w:vAlign w:val="top"/>
          </w:tcPr>
          <w:p w14:paraId="4EAD20F9">
            <w:pPr>
              <w:spacing w:line="300" w:lineRule="auto"/>
              <w:rPr>
                <w:rFonts w:ascii="Arial"/>
                <w:sz w:val="21"/>
              </w:rPr>
            </w:pPr>
          </w:p>
          <w:p w14:paraId="38DEFE61">
            <w:pPr>
              <w:spacing w:line="300" w:lineRule="auto"/>
              <w:rPr>
                <w:rFonts w:ascii="Arial"/>
                <w:sz w:val="21"/>
              </w:rPr>
            </w:pPr>
          </w:p>
          <w:p w14:paraId="4469C3FE">
            <w:pPr>
              <w:spacing w:before="57"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559" w:type="dxa"/>
            <w:tcBorders>
              <w:top w:val="single" w:color="000000" w:sz="6" w:space="0"/>
            </w:tcBorders>
            <w:vAlign w:val="top"/>
          </w:tcPr>
          <w:p w14:paraId="438097CE">
            <w:pPr>
              <w:spacing w:line="300" w:lineRule="auto"/>
              <w:rPr>
                <w:rFonts w:ascii="Arial"/>
                <w:sz w:val="21"/>
              </w:rPr>
            </w:pPr>
          </w:p>
          <w:p w14:paraId="3F8B611B">
            <w:pPr>
              <w:spacing w:line="300" w:lineRule="auto"/>
              <w:rPr>
                <w:rFonts w:ascii="Arial"/>
                <w:sz w:val="21"/>
              </w:rPr>
            </w:pPr>
          </w:p>
          <w:p w14:paraId="6E86A1F4">
            <w:pPr>
              <w:spacing w:before="57" w:line="195" w:lineRule="auto"/>
              <w:ind w:left="24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96" w:type="dxa"/>
            <w:tcBorders>
              <w:top w:val="single" w:color="000000" w:sz="6" w:space="0"/>
            </w:tcBorders>
            <w:vAlign w:val="top"/>
          </w:tcPr>
          <w:p w14:paraId="1F42364C">
            <w:pPr>
              <w:spacing w:line="423" w:lineRule="auto"/>
              <w:rPr>
                <w:rFonts w:ascii="Arial"/>
                <w:sz w:val="21"/>
              </w:rPr>
            </w:pPr>
          </w:p>
          <w:p w14:paraId="7B0C9DD8">
            <w:pPr>
              <w:pStyle w:val="6"/>
              <w:spacing w:before="65" w:line="247" w:lineRule="auto"/>
              <w:ind w:left="50" w:right="53" w:firstLine="32"/>
              <w:rPr>
                <w:sz w:val="20"/>
                <w:szCs w:val="20"/>
              </w:rPr>
            </w:pPr>
            <w:r>
              <w:rPr>
                <w:spacing w:val="12"/>
                <w:sz w:val="20"/>
                <w:szCs w:val="20"/>
              </w:rPr>
              <w:t>袋装，</w:t>
            </w:r>
            <w:r>
              <w:rPr>
                <w:sz w:val="20"/>
                <w:szCs w:val="20"/>
              </w:rPr>
              <w:t xml:space="preserve"> </w:t>
            </w:r>
            <w:r>
              <w:rPr>
                <w:rFonts w:ascii="Times New Roman" w:hAnsi="Times New Roman" w:eastAsia="Times New Roman" w:cs="Times New Roman"/>
                <w:spacing w:val="6"/>
                <w:sz w:val="20"/>
                <w:szCs w:val="20"/>
              </w:rPr>
              <w:t>25</w:t>
            </w: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w:t>
            </w:r>
            <w:r>
              <w:rPr>
                <w:spacing w:val="6"/>
                <w:sz w:val="20"/>
                <w:szCs w:val="20"/>
              </w:rPr>
              <w:t>袋</w:t>
            </w:r>
          </w:p>
        </w:tc>
        <w:tc>
          <w:tcPr>
            <w:tcW w:w="544" w:type="dxa"/>
            <w:tcBorders>
              <w:top w:val="single" w:color="000000" w:sz="6" w:space="0"/>
            </w:tcBorders>
            <w:vAlign w:val="top"/>
          </w:tcPr>
          <w:p w14:paraId="67D4E43A">
            <w:pPr>
              <w:spacing w:line="423" w:lineRule="auto"/>
              <w:rPr>
                <w:rFonts w:ascii="Arial"/>
                <w:sz w:val="21"/>
              </w:rPr>
            </w:pPr>
          </w:p>
          <w:p w14:paraId="1D876BC7">
            <w:pPr>
              <w:pStyle w:val="6"/>
              <w:spacing w:before="65" w:line="252" w:lineRule="auto"/>
              <w:ind w:left="62" w:right="62"/>
              <w:rPr>
                <w:sz w:val="20"/>
                <w:szCs w:val="20"/>
              </w:rPr>
            </w:pPr>
            <w:r>
              <w:rPr>
                <w:spacing w:val="4"/>
                <w:sz w:val="20"/>
                <w:szCs w:val="20"/>
              </w:rPr>
              <w:t>材料堆场</w:t>
            </w:r>
          </w:p>
        </w:tc>
        <w:tc>
          <w:tcPr>
            <w:tcW w:w="2158" w:type="dxa"/>
            <w:tcBorders>
              <w:top w:val="single" w:color="000000" w:sz="6" w:space="0"/>
            </w:tcBorders>
            <w:vAlign w:val="top"/>
          </w:tcPr>
          <w:p w14:paraId="1B47F3F4">
            <w:pPr>
              <w:pStyle w:val="6"/>
              <w:tabs>
                <w:tab w:val="left" w:pos="2146"/>
              </w:tabs>
              <w:spacing w:before="82" w:line="248" w:lineRule="auto"/>
              <w:ind w:left="57" w:hanging="17"/>
              <w:jc w:val="both"/>
              <w:rPr>
                <w:sz w:val="20"/>
                <w:szCs w:val="20"/>
              </w:rPr>
            </w:pPr>
            <w:r>
              <w:rPr>
                <w:spacing w:val="-9"/>
                <w:sz w:val="20"/>
                <w:szCs w:val="20"/>
              </w:rPr>
              <w:t>白色溶于水、结晶粉末；</w:t>
            </w:r>
            <w:r>
              <w:rPr>
                <w:spacing w:val="4"/>
                <w:sz w:val="20"/>
                <w:szCs w:val="20"/>
              </w:rPr>
              <w:t>密度</w:t>
            </w:r>
            <w:r>
              <w:rPr>
                <w:spacing w:val="-42"/>
                <w:sz w:val="20"/>
                <w:szCs w:val="20"/>
              </w:rPr>
              <w:t xml:space="preserve"> </w:t>
            </w:r>
            <w:r>
              <w:rPr>
                <w:rFonts w:ascii="Times New Roman" w:hAnsi="Times New Roman" w:eastAsia="Times New Roman" w:cs="Times New Roman"/>
                <w:spacing w:val="4"/>
                <w:sz w:val="20"/>
                <w:szCs w:val="20"/>
              </w:rPr>
              <w:t>2.53g/</w:t>
            </w:r>
            <w:r>
              <w:rPr>
                <w:rFonts w:ascii="Times New Roman" w:hAnsi="Times New Roman" w:eastAsia="Times New Roman" w:cs="Times New Roman"/>
                <w:sz w:val="20"/>
                <w:szCs w:val="20"/>
              </w:rPr>
              <w:t>cm</w:t>
            </w:r>
            <w:r>
              <w:rPr>
                <w:rFonts w:ascii="Times New Roman" w:hAnsi="Times New Roman" w:eastAsia="Times New Roman" w:cs="Times New Roman"/>
                <w:spacing w:val="4"/>
                <w:position w:val="6"/>
                <w:sz w:val="13"/>
                <w:szCs w:val="13"/>
              </w:rPr>
              <w:t>3</w:t>
            </w:r>
            <w:r>
              <w:rPr>
                <w:rFonts w:ascii="Times New Roman" w:hAnsi="Times New Roman" w:eastAsia="Times New Roman" w:cs="Times New Roman"/>
                <w:spacing w:val="-9"/>
                <w:position w:val="6"/>
                <w:sz w:val="13"/>
                <w:szCs w:val="13"/>
              </w:rPr>
              <w:t xml:space="preserve"> </w:t>
            </w:r>
            <w:r>
              <w:rPr>
                <w:spacing w:val="4"/>
                <w:sz w:val="20"/>
                <w:szCs w:val="20"/>
              </w:rPr>
              <w:t>，熔点</w:t>
            </w:r>
            <w:r>
              <w:rPr>
                <w:sz w:val="20"/>
                <w:szCs w:val="20"/>
              </w:rPr>
              <w:tab/>
            </w:r>
            <w:r>
              <w:rPr>
                <w:sz w:val="20"/>
                <w:szCs w:val="20"/>
              </w:rPr>
              <w:t xml:space="preserve"> </w:t>
            </w:r>
            <w:r>
              <w:rPr>
                <w:rFonts w:ascii="Times New Roman" w:hAnsi="Times New Roman" w:eastAsia="Times New Roman" w:cs="Times New Roman"/>
                <w:spacing w:val="-6"/>
                <w:sz w:val="20"/>
                <w:szCs w:val="20"/>
              </w:rPr>
              <w:t>851℃</w:t>
            </w:r>
            <w:r>
              <w:rPr>
                <w:rFonts w:ascii="Times New Roman" w:hAnsi="Times New Roman" w:eastAsia="Times New Roman" w:cs="Times New Roman"/>
                <w:spacing w:val="-25"/>
                <w:sz w:val="20"/>
                <w:szCs w:val="20"/>
              </w:rPr>
              <w:t xml:space="preserve"> </w:t>
            </w:r>
            <w:r>
              <w:rPr>
                <w:spacing w:val="-6"/>
                <w:sz w:val="20"/>
                <w:szCs w:val="20"/>
              </w:rPr>
              <w:t>,</w:t>
            </w:r>
            <w:r>
              <w:rPr>
                <w:spacing w:val="56"/>
                <w:sz w:val="20"/>
                <w:szCs w:val="20"/>
              </w:rPr>
              <w:t xml:space="preserve"> </w:t>
            </w:r>
            <w:r>
              <w:rPr>
                <w:spacing w:val="-6"/>
                <w:sz w:val="20"/>
                <w:szCs w:val="20"/>
              </w:rPr>
              <w:t>沸点</w:t>
            </w:r>
            <w:r>
              <w:rPr>
                <w:spacing w:val="-25"/>
                <w:sz w:val="20"/>
                <w:szCs w:val="20"/>
              </w:rPr>
              <w:t xml:space="preserve"> </w:t>
            </w:r>
            <w:r>
              <w:rPr>
                <w:rFonts w:ascii="Times New Roman" w:hAnsi="Times New Roman" w:eastAsia="Times New Roman" w:cs="Times New Roman"/>
                <w:spacing w:val="-6"/>
                <w:sz w:val="20"/>
                <w:szCs w:val="20"/>
              </w:rPr>
              <w:t>1600℃</w:t>
            </w:r>
            <w:r>
              <w:rPr>
                <w:spacing w:val="-6"/>
                <w:sz w:val="20"/>
                <w:szCs w:val="20"/>
              </w:rPr>
              <w:t>;</w:t>
            </w:r>
          </w:p>
          <w:p w14:paraId="59564B7A">
            <w:pPr>
              <w:pStyle w:val="6"/>
              <w:spacing w:before="10" w:line="247" w:lineRule="auto"/>
              <w:ind w:left="458" w:right="24" w:hanging="424"/>
              <w:jc w:val="both"/>
              <w:rPr>
                <w:sz w:val="20"/>
                <w:szCs w:val="20"/>
              </w:rPr>
            </w:pPr>
            <w:r>
              <w:rPr>
                <w:spacing w:val="8"/>
                <w:sz w:val="20"/>
                <w:szCs w:val="20"/>
              </w:rPr>
              <w:t>稳定性较强，吸湿性很</w:t>
            </w:r>
            <w:r>
              <w:rPr>
                <w:spacing w:val="7"/>
                <w:sz w:val="20"/>
                <w:szCs w:val="20"/>
              </w:rPr>
              <w:t>强，易溶于水</w:t>
            </w:r>
          </w:p>
        </w:tc>
        <w:tc>
          <w:tcPr>
            <w:tcW w:w="2579" w:type="dxa"/>
            <w:tcBorders>
              <w:top w:val="single" w:color="000000" w:sz="6" w:space="0"/>
              <w:right w:val="single" w:color="000000" w:sz="6" w:space="0"/>
            </w:tcBorders>
            <w:vAlign w:val="top"/>
          </w:tcPr>
          <w:p w14:paraId="321DB719">
            <w:pPr>
              <w:spacing w:line="423" w:lineRule="auto"/>
              <w:rPr>
                <w:rFonts w:ascii="Arial"/>
                <w:sz w:val="21"/>
              </w:rPr>
            </w:pPr>
          </w:p>
          <w:p w14:paraId="39C46B80">
            <w:pPr>
              <w:pStyle w:val="6"/>
              <w:spacing w:before="65" w:line="228" w:lineRule="auto"/>
              <w:ind w:left="16"/>
              <w:rPr>
                <w:sz w:val="20"/>
                <w:szCs w:val="20"/>
              </w:rPr>
            </w:pPr>
            <w:r>
              <w:rPr>
                <w:spacing w:val="3"/>
                <w:sz w:val="20"/>
                <w:szCs w:val="20"/>
              </w:rPr>
              <w:t>与膨润土发生水化作用，增</w:t>
            </w:r>
          </w:p>
          <w:p w14:paraId="4F91C39D">
            <w:pPr>
              <w:pStyle w:val="6"/>
              <w:spacing w:before="24" w:line="228" w:lineRule="auto"/>
              <w:ind w:left="926"/>
              <w:rPr>
                <w:sz w:val="20"/>
                <w:szCs w:val="20"/>
              </w:rPr>
            </w:pPr>
            <w:r>
              <w:rPr>
                <w:spacing w:val="6"/>
                <w:sz w:val="20"/>
                <w:szCs w:val="20"/>
              </w:rPr>
              <w:t>加粘性</w:t>
            </w:r>
          </w:p>
        </w:tc>
      </w:tr>
      <w:tr w14:paraId="1B4A37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37" w:hRule="atLeast"/>
        </w:trPr>
        <w:tc>
          <w:tcPr>
            <w:tcW w:w="466" w:type="dxa"/>
            <w:vMerge w:val="continue"/>
            <w:tcBorders>
              <w:top w:val="nil"/>
              <w:left w:val="single" w:color="000000" w:sz="6" w:space="0"/>
              <w:bottom w:val="nil"/>
              <w:right w:val="single" w:color="000000" w:sz="2" w:space="0"/>
            </w:tcBorders>
            <w:vAlign w:val="top"/>
          </w:tcPr>
          <w:p w14:paraId="2656B515">
            <w:pPr>
              <w:rPr>
                <w:rFonts w:ascii="Arial"/>
                <w:sz w:val="21"/>
              </w:rPr>
            </w:pPr>
          </w:p>
        </w:tc>
        <w:tc>
          <w:tcPr>
            <w:tcW w:w="1175" w:type="dxa"/>
            <w:tcBorders>
              <w:left w:val="single" w:color="000000" w:sz="2" w:space="0"/>
            </w:tcBorders>
            <w:vAlign w:val="top"/>
          </w:tcPr>
          <w:p w14:paraId="3FEFFA48">
            <w:pPr>
              <w:spacing w:line="250" w:lineRule="auto"/>
              <w:rPr>
                <w:rFonts w:ascii="Arial"/>
                <w:sz w:val="21"/>
              </w:rPr>
            </w:pPr>
          </w:p>
          <w:p w14:paraId="70753A18">
            <w:pPr>
              <w:spacing w:line="250" w:lineRule="auto"/>
              <w:rPr>
                <w:rFonts w:ascii="Arial"/>
                <w:sz w:val="21"/>
              </w:rPr>
            </w:pPr>
          </w:p>
          <w:p w14:paraId="75E7058B">
            <w:pPr>
              <w:pStyle w:val="6"/>
              <w:spacing w:before="58" w:line="242" w:lineRule="auto"/>
              <w:ind w:left="427" w:right="21" w:hanging="330"/>
              <w:rPr>
                <w:sz w:val="20"/>
                <w:szCs w:val="20"/>
              </w:rPr>
            </w:pPr>
            <w:r>
              <w:rPr>
                <w:rFonts w:ascii="Times New Roman" w:hAnsi="Times New Roman" w:eastAsia="Times New Roman" w:cs="Times New Roman"/>
                <w:spacing w:val="6"/>
                <w:sz w:val="20"/>
                <w:szCs w:val="20"/>
              </w:rPr>
              <w:t>NH</w:t>
            </w:r>
            <w:r>
              <w:rPr>
                <w:rFonts w:ascii="Times New Roman" w:hAnsi="Times New Roman" w:eastAsia="Times New Roman" w:cs="Times New Roman"/>
                <w:spacing w:val="6"/>
                <w:position w:val="-1"/>
                <w:sz w:val="13"/>
                <w:szCs w:val="13"/>
              </w:rPr>
              <w:t>4</w:t>
            </w:r>
            <w:r>
              <w:rPr>
                <w:rFonts w:ascii="Times New Roman" w:hAnsi="Times New Roman" w:eastAsia="Times New Roman" w:cs="Times New Roman"/>
                <w:spacing w:val="6"/>
                <w:sz w:val="20"/>
                <w:szCs w:val="20"/>
              </w:rPr>
              <w:t>–HPAN</w:t>
            </w:r>
            <w:r>
              <w:rPr>
                <w:spacing w:val="4"/>
                <w:sz w:val="20"/>
                <w:szCs w:val="20"/>
              </w:rPr>
              <w:t>铵盐</w:t>
            </w:r>
          </w:p>
        </w:tc>
        <w:tc>
          <w:tcPr>
            <w:tcW w:w="638" w:type="dxa"/>
            <w:vAlign w:val="top"/>
          </w:tcPr>
          <w:p w14:paraId="331C2575">
            <w:pPr>
              <w:spacing w:line="318" w:lineRule="auto"/>
              <w:rPr>
                <w:rFonts w:ascii="Arial"/>
                <w:sz w:val="21"/>
              </w:rPr>
            </w:pPr>
          </w:p>
          <w:p w14:paraId="7B098E76">
            <w:pPr>
              <w:spacing w:line="318" w:lineRule="auto"/>
              <w:rPr>
                <w:rFonts w:ascii="Arial"/>
                <w:sz w:val="21"/>
              </w:rPr>
            </w:pPr>
          </w:p>
          <w:p w14:paraId="69E032C5">
            <w:pPr>
              <w:spacing w:before="58" w:line="195" w:lineRule="auto"/>
              <w:ind w:left="22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559" w:type="dxa"/>
            <w:vAlign w:val="top"/>
          </w:tcPr>
          <w:p w14:paraId="7C3A37DD">
            <w:pPr>
              <w:spacing w:line="318" w:lineRule="auto"/>
              <w:rPr>
                <w:rFonts w:ascii="Arial"/>
                <w:sz w:val="21"/>
              </w:rPr>
            </w:pPr>
          </w:p>
          <w:p w14:paraId="2F013C73">
            <w:pPr>
              <w:spacing w:line="318" w:lineRule="auto"/>
              <w:rPr>
                <w:rFonts w:ascii="Arial"/>
                <w:sz w:val="21"/>
              </w:rPr>
            </w:pPr>
          </w:p>
          <w:p w14:paraId="419CFC4F">
            <w:pPr>
              <w:spacing w:before="58" w:line="195" w:lineRule="auto"/>
              <w:ind w:left="24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96" w:type="dxa"/>
            <w:vAlign w:val="top"/>
          </w:tcPr>
          <w:p w14:paraId="312126A1">
            <w:pPr>
              <w:spacing w:line="457" w:lineRule="auto"/>
              <w:rPr>
                <w:rFonts w:ascii="Arial"/>
                <w:sz w:val="21"/>
              </w:rPr>
            </w:pPr>
          </w:p>
          <w:p w14:paraId="291A665C">
            <w:pPr>
              <w:pStyle w:val="6"/>
              <w:spacing w:before="65" w:line="247" w:lineRule="auto"/>
              <w:ind w:left="50" w:right="53" w:firstLine="32"/>
              <w:rPr>
                <w:sz w:val="20"/>
                <w:szCs w:val="20"/>
              </w:rPr>
            </w:pPr>
            <w:r>
              <w:rPr>
                <w:spacing w:val="12"/>
                <w:sz w:val="20"/>
                <w:szCs w:val="20"/>
              </w:rPr>
              <w:t>袋装，</w:t>
            </w:r>
            <w:r>
              <w:rPr>
                <w:sz w:val="20"/>
                <w:szCs w:val="20"/>
              </w:rPr>
              <w:t xml:space="preserve"> </w:t>
            </w:r>
            <w:r>
              <w:rPr>
                <w:rFonts w:ascii="Times New Roman" w:hAnsi="Times New Roman" w:eastAsia="Times New Roman" w:cs="Times New Roman"/>
                <w:spacing w:val="6"/>
                <w:sz w:val="20"/>
                <w:szCs w:val="20"/>
              </w:rPr>
              <w:t>25</w:t>
            </w: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w:t>
            </w:r>
            <w:r>
              <w:rPr>
                <w:spacing w:val="6"/>
                <w:sz w:val="20"/>
                <w:szCs w:val="20"/>
              </w:rPr>
              <w:t>袋</w:t>
            </w:r>
          </w:p>
        </w:tc>
        <w:tc>
          <w:tcPr>
            <w:tcW w:w="544" w:type="dxa"/>
            <w:vAlign w:val="top"/>
          </w:tcPr>
          <w:p w14:paraId="7C29E681">
            <w:pPr>
              <w:spacing w:line="457" w:lineRule="auto"/>
              <w:rPr>
                <w:rFonts w:ascii="Arial"/>
                <w:sz w:val="21"/>
              </w:rPr>
            </w:pPr>
          </w:p>
          <w:p w14:paraId="4CA1440B">
            <w:pPr>
              <w:pStyle w:val="6"/>
              <w:spacing w:before="65" w:line="252" w:lineRule="auto"/>
              <w:ind w:left="62" w:right="62"/>
              <w:rPr>
                <w:sz w:val="20"/>
                <w:szCs w:val="20"/>
              </w:rPr>
            </w:pPr>
            <w:r>
              <w:rPr>
                <w:spacing w:val="4"/>
                <w:sz w:val="20"/>
                <w:szCs w:val="20"/>
              </w:rPr>
              <w:t>材料堆场</w:t>
            </w:r>
          </w:p>
        </w:tc>
        <w:tc>
          <w:tcPr>
            <w:tcW w:w="2158" w:type="dxa"/>
            <w:vAlign w:val="top"/>
          </w:tcPr>
          <w:p w14:paraId="166A48A5">
            <w:pPr>
              <w:pStyle w:val="6"/>
              <w:spacing w:before="117" w:line="227" w:lineRule="auto"/>
              <w:ind w:left="38"/>
              <w:rPr>
                <w:sz w:val="20"/>
                <w:szCs w:val="20"/>
              </w:rPr>
            </w:pPr>
            <w:r>
              <w:rPr>
                <w:spacing w:val="8"/>
                <w:sz w:val="20"/>
                <w:szCs w:val="20"/>
              </w:rPr>
              <w:t>淡黄色粉末，是一种钻</w:t>
            </w:r>
          </w:p>
          <w:p w14:paraId="11FB1C28">
            <w:pPr>
              <w:pStyle w:val="6"/>
              <w:spacing w:before="25" w:line="227" w:lineRule="auto"/>
              <w:ind w:left="34"/>
              <w:rPr>
                <w:sz w:val="20"/>
                <w:szCs w:val="20"/>
              </w:rPr>
            </w:pPr>
            <w:r>
              <w:rPr>
                <w:spacing w:val="8"/>
                <w:sz w:val="20"/>
                <w:szCs w:val="20"/>
              </w:rPr>
              <w:t>井液用降滤失剂，其主</w:t>
            </w:r>
          </w:p>
          <w:p w14:paraId="3FC86A07">
            <w:pPr>
              <w:pStyle w:val="6"/>
              <w:spacing w:before="24" w:line="228" w:lineRule="auto"/>
              <w:ind w:left="34"/>
              <w:rPr>
                <w:sz w:val="20"/>
                <w:szCs w:val="20"/>
              </w:rPr>
            </w:pPr>
            <w:r>
              <w:rPr>
                <w:spacing w:val="8"/>
                <w:sz w:val="20"/>
                <w:szCs w:val="20"/>
              </w:rPr>
              <w:t>要成分含有羧酸、羧胺</w:t>
            </w:r>
          </w:p>
          <w:p w14:paraId="5DB15F49">
            <w:pPr>
              <w:pStyle w:val="6"/>
              <w:spacing w:before="26" w:line="228" w:lineRule="auto"/>
              <w:jc w:val="right"/>
              <w:rPr>
                <w:sz w:val="20"/>
                <w:szCs w:val="20"/>
              </w:rPr>
            </w:pPr>
            <w:r>
              <w:rPr>
                <w:spacing w:val="-6"/>
                <w:sz w:val="20"/>
                <w:szCs w:val="20"/>
              </w:rPr>
              <w:t>基、酰胺基和亚铵基等，</w:t>
            </w:r>
          </w:p>
          <w:p w14:paraId="3373FBA6">
            <w:pPr>
              <w:pStyle w:val="6"/>
              <w:spacing w:before="25" w:line="228" w:lineRule="auto"/>
              <w:ind w:left="349"/>
              <w:rPr>
                <w:sz w:val="20"/>
                <w:szCs w:val="20"/>
              </w:rPr>
            </w:pPr>
            <w:r>
              <w:rPr>
                <w:spacing w:val="8"/>
                <w:sz w:val="20"/>
                <w:szCs w:val="20"/>
              </w:rPr>
              <w:t>其颗粒不易结块</w:t>
            </w:r>
          </w:p>
        </w:tc>
        <w:tc>
          <w:tcPr>
            <w:tcW w:w="2579" w:type="dxa"/>
            <w:tcBorders>
              <w:right w:val="single" w:color="000000" w:sz="6" w:space="0"/>
            </w:tcBorders>
            <w:vAlign w:val="top"/>
          </w:tcPr>
          <w:p w14:paraId="3D47B5DF">
            <w:pPr>
              <w:pStyle w:val="6"/>
              <w:spacing w:before="251" w:line="228" w:lineRule="auto"/>
              <w:ind w:left="12"/>
              <w:rPr>
                <w:sz w:val="20"/>
                <w:szCs w:val="20"/>
              </w:rPr>
            </w:pPr>
            <w:r>
              <w:rPr>
                <w:spacing w:val="4"/>
                <w:sz w:val="20"/>
                <w:szCs w:val="20"/>
              </w:rPr>
              <w:t>抑制粘土水化分散，是一种</w:t>
            </w:r>
          </w:p>
          <w:p w14:paraId="4A0ADCD6">
            <w:pPr>
              <w:pStyle w:val="6"/>
              <w:spacing w:before="26" w:line="227" w:lineRule="auto"/>
              <w:ind w:left="45"/>
              <w:rPr>
                <w:sz w:val="20"/>
                <w:szCs w:val="20"/>
              </w:rPr>
            </w:pPr>
            <w:r>
              <w:rPr>
                <w:spacing w:val="1"/>
                <w:sz w:val="20"/>
                <w:szCs w:val="20"/>
              </w:rPr>
              <w:t>良好的页岩抑制剂，同时兼</w:t>
            </w:r>
          </w:p>
          <w:p w14:paraId="2F52AFA0">
            <w:pPr>
              <w:pStyle w:val="6"/>
              <w:spacing w:before="24" w:line="228" w:lineRule="auto"/>
              <w:ind w:left="87"/>
              <w:rPr>
                <w:sz w:val="20"/>
                <w:szCs w:val="20"/>
              </w:rPr>
            </w:pPr>
            <w:r>
              <w:rPr>
                <w:spacing w:val="9"/>
                <w:sz w:val="20"/>
                <w:szCs w:val="20"/>
              </w:rPr>
              <w:t>有降低钻井泥浆粘度和降</w:t>
            </w:r>
          </w:p>
          <w:p w14:paraId="7102A6D9">
            <w:pPr>
              <w:pStyle w:val="6"/>
              <w:spacing w:before="27" w:line="228" w:lineRule="auto"/>
              <w:ind w:left="716"/>
              <w:rPr>
                <w:sz w:val="20"/>
                <w:szCs w:val="20"/>
              </w:rPr>
            </w:pPr>
            <w:r>
              <w:rPr>
                <w:spacing w:val="8"/>
                <w:sz w:val="20"/>
                <w:szCs w:val="20"/>
              </w:rPr>
              <w:t>低滤失作用</w:t>
            </w:r>
          </w:p>
        </w:tc>
      </w:tr>
      <w:tr w14:paraId="2F7DC2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2" w:hRule="atLeast"/>
        </w:trPr>
        <w:tc>
          <w:tcPr>
            <w:tcW w:w="466" w:type="dxa"/>
            <w:vMerge w:val="continue"/>
            <w:tcBorders>
              <w:top w:val="nil"/>
              <w:left w:val="single" w:color="000000" w:sz="6" w:space="0"/>
              <w:bottom w:val="nil"/>
              <w:right w:val="single" w:color="000000" w:sz="2" w:space="0"/>
            </w:tcBorders>
            <w:vAlign w:val="top"/>
          </w:tcPr>
          <w:p w14:paraId="29E54218">
            <w:pPr>
              <w:rPr>
                <w:rFonts w:ascii="Arial"/>
                <w:sz w:val="21"/>
              </w:rPr>
            </w:pPr>
          </w:p>
        </w:tc>
        <w:tc>
          <w:tcPr>
            <w:tcW w:w="1175" w:type="dxa"/>
            <w:tcBorders>
              <w:left w:val="single" w:color="000000" w:sz="2" w:space="0"/>
            </w:tcBorders>
            <w:vAlign w:val="top"/>
          </w:tcPr>
          <w:p w14:paraId="2927DEF0">
            <w:pPr>
              <w:spacing w:line="323" w:lineRule="auto"/>
              <w:rPr>
                <w:rFonts w:ascii="Arial"/>
                <w:sz w:val="21"/>
              </w:rPr>
            </w:pPr>
          </w:p>
          <w:p w14:paraId="6ED51BAA">
            <w:pPr>
              <w:pStyle w:val="6"/>
              <w:spacing w:before="65" w:line="251" w:lineRule="auto"/>
              <w:ind w:left="447" w:right="14" w:hanging="333"/>
              <w:rPr>
                <w:sz w:val="20"/>
                <w:szCs w:val="20"/>
              </w:rPr>
            </w:pPr>
            <w:r>
              <w:rPr>
                <w:spacing w:val="7"/>
                <w:sz w:val="20"/>
                <w:szCs w:val="20"/>
              </w:rPr>
              <w:t>单项压力封</w:t>
            </w:r>
            <w:r>
              <w:rPr>
                <w:spacing w:val="-6"/>
                <w:sz w:val="20"/>
                <w:szCs w:val="20"/>
              </w:rPr>
              <w:t>闭剂</w:t>
            </w:r>
          </w:p>
        </w:tc>
        <w:tc>
          <w:tcPr>
            <w:tcW w:w="638" w:type="dxa"/>
            <w:vAlign w:val="top"/>
          </w:tcPr>
          <w:p w14:paraId="5DBE672A">
            <w:pPr>
              <w:spacing w:line="250" w:lineRule="auto"/>
              <w:rPr>
                <w:rFonts w:ascii="Arial"/>
                <w:sz w:val="21"/>
              </w:rPr>
            </w:pPr>
          </w:p>
          <w:p w14:paraId="6F192494">
            <w:pPr>
              <w:spacing w:line="251" w:lineRule="auto"/>
              <w:rPr>
                <w:rFonts w:ascii="Arial"/>
                <w:sz w:val="21"/>
              </w:rPr>
            </w:pPr>
          </w:p>
          <w:p w14:paraId="3415970F">
            <w:pPr>
              <w:spacing w:before="58" w:line="195" w:lineRule="auto"/>
              <w:ind w:left="22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559" w:type="dxa"/>
            <w:vAlign w:val="top"/>
          </w:tcPr>
          <w:p w14:paraId="10F975AC">
            <w:pPr>
              <w:spacing w:line="250" w:lineRule="auto"/>
              <w:rPr>
                <w:rFonts w:ascii="Arial"/>
                <w:sz w:val="21"/>
              </w:rPr>
            </w:pPr>
          </w:p>
          <w:p w14:paraId="29BE0C91">
            <w:pPr>
              <w:spacing w:line="251" w:lineRule="auto"/>
              <w:rPr>
                <w:rFonts w:ascii="Arial"/>
                <w:sz w:val="21"/>
              </w:rPr>
            </w:pPr>
          </w:p>
          <w:p w14:paraId="11B51156">
            <w:pPr>
              <w:spacing w:before="58" w:line="195" w:lineRule="auto"/>
              <w:ind w:left="24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96" w:type="dxa"/>
            <w:vAlign w:val="top"/>
          </w:tcPr>
          <w:p w14:paraId="133229D8">
            <w:pPr>
              <w:spacing w:line="322" w:lineRule="auto"/>
              <w:rPr>
                <w:rFonts w:ascii="Arial"/>
                <w:sz w:val="21"/>
              </w:rPr>
            </w:pPr>
          </w:p>
          <w:p w14:paraId="29988589">
            <w:pPr>
              <w:pStyle w:val="6"/>
              <w:spacing w:before="65" w:line="247" w:lineRule="auto"/>
              <w:ind w:left="50" w:right="53" w:firstLine="32"/>
              <w:rPr>
                <w:sz w:val="20"/>
                <w:szCs w:val="20"/>
              </w:rPr>
            </w:pPr>
            <w:r>
              <w:rPr>
                <w:spacing w:val="12"/>
                <w:sz w:val="20"/>
                <w:szCs w:val="20"/>
              </w:rPr>
              <w:t>袋装，</w:t>
            </w:r>
            <w:r>
              <w:rPr>
                <w:sz w:val="20"/>
                <w:szCs w:val="20"/>
              </w:rPr>
              <w:t xml:space="preserve"> </w:t>
            </w:r>
            <w:r>
              <w:rPr>
                <w:rFonts w:ascii="Times New Roman" w:hAnsi="Times New Roman" w:eastAsia="Times New Roman" w:cs="Times New Roman"/>
                <w:spacing w:val="6"/>
                <w:sz w:val="20"/>
                <w:szCs w:val="20"/>
              </w:rPr>
              <w:t>25</w:t>
            </w: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w:t>
            </w:r>
            <w:r>
              <w:rPr>
                <w:spacing w:val="6"/>
                <w:sz w:val="20"/>
                <w:szCs w:val="20"/>
              </w:rPr>
              <w:t>袋</w:t>
            </w:r>
          </w:p>
        </w:tc>
        <w:tc>
          <w:tcPr>
            <w:tcW w:w="544" w:type="dxa"/>
            <w:vAlign w:val="top"/>
          </w:tcPr>
          <w:p w14:paraId="2DE547EB">
            <w:pPr>
              <w:spacing w:line="322" w:lineRule="auto"/>
              <w:rPr>
                <w:rFonts w:ascii="Arial"/>
                <w:sz w:val="21"/>
              </w:rPr>
            </w:pPr>
          </w:p>
          <w:p w14:paraId="7D2824CC">
            <w:pPr>
              <w:pStyle w:val="6"/>
              <w:spacing w:before="65" w:line="252" w:lineRule="auto"/>
              <w:ind w:left="62" w:right="62"/>
              <w:rPr>
                <w:sz w:val="20"/>
                <w:szCs w:val="20"/>
              </w:rPr>
            </w:pPr>
            <w:r>
              <w:rPr>
                <w:spacing w:val="4"/>
                <w:sz w:val="20"/>
                <w:szCs w:val="20"/>
              </w:rPr>
              <w:t>材料堆场</w:t>
            </w:r>
          </w:p>
        </w:tc>
        <w:tc>
          <w:tcPr>
            <w:tcW w:w="2158" w:type="dxa"/>
            <w:vAlign w:val="top"/>
          </w:tcPr>
          <w:p w14:paraId="7845B55A">
            <w:pPr>
              <w:pStyle w:val="6"/>
              <w:spacing w:before="115" w:line="228" w:lineRule="auto"/>
              <w:ind w:left="35"/>
              <w:rPr>
                <w:sz w:val="20"/>
                <w:szCs w:val="20"/>
              </w:rPr>
            </w:pPr>
            <w:r>
              <w:rPr>
                <w:spacing w:val="8"/>
                <w:sz w:val="20"/>
                <w:szCs w:val="20"/>
              </w:rPr>
              <w:t>经特别工艺处理的多种</w:t>
            </w:r>
          </w:p>
          <w:p w14:paraId="6F490027">
            <w:pPr>
              <w:pStyle w:val="6"/>
              <w:spacing w:before="26" w:line="228" w:lineRule="auto"/>
              <w:ind w:left="38"/>
              <w:rPr>
                <w:sz w:val="20"/>
                <w:szCs w:val="20"/>
              </w:rPr>
            </w:pPr>
            <w:r>
              <w:rPr>
                <w:spacing w:val="8"/>
                <w:sz w:val="20"/>
                <w:szCs w:val="20"/>
              </w:rPr>
              <w:t>天然纤维与填充粒子及</w:t>
            </w:r>
          </w:p>
          <w:p w14:paraId="431C9182">
            <w:pPr>
              <w:pStyle w:val="6"/>
              <w:spacing w:before="24" w:line="227" w:lineRule="auto"/>
              <w:ind w:left="35"/>
              <w:rPr>
                <w:sz w:val="20"/>
                <w:szCs w:val="20"/>
              </w:rPr>
            </w:pPr>
            <w:r>
              <w:rPr>
                <w:spacing w:val="8"/>
                <w:sz w:val="20"/>
                <w:szCs w:val="20"/>
              </w:rPr>
              <w:t>添加剂。无毒、不溶于</w:t>
            </w:r>
          </w:p>
          <w:p w14:paraId="0045FA77">
            <w:pPr>
              <w:pStyle w:val="6"/>
              <w:spacing w:before="27" w:line="227" w:lineRule="auto"/>
              <w:ind w:left="350"/>
              <w:rPr>
                <w:sz w:val="20"/>
                <w:szCs w:val="20"/>
              </w:rPr>
            </w:pPr>
            <w:r>
              <w:rPr>
                <w:spacing w:val="8"/>
                <w:sz w:val="20"/>
                <w:szCs w:val="20"/>
              </w:rPr>
              <w:t>水、淡黄色粉末</w:t>
            </w:r>
          </w:p>
        </w:tc>
        <w:tc>
          <w:tcPr>
            <w:tcW w:w="2579" w:type="dxa"/>
            <w:tcBorders>
              <w:right w:val="single" w:color="000000" w:sz="6" w:space="0"/>
            </w:tcBorders>
            <w:vAlign w:val="top"/>
          </w:tcPr>
          <w:p w14:paraId="6169065B">
            <w:pPr>
              <w:pStyle w:val="6"/>
              <w:spacing w:before="253" w:line="252" w:lineRule="auto"/>
              <w:ind w:left="17" w:right="102" w:firstLine="77"/>
              <w:jc w:val="both"/>
              <w:rPr>
                <w:sz w:val="20"/>
                <w:szCs w:val="20"/>
              </w:rPr>
            </w:pPr>
            <w:r>
              <w:rPr>
                <w:spacing w:val="8"/>
                <w:sz w:val="20"/>
                <w:szCs w:val="20"/>
              </w:rPr>
              <w:t>能显著降低钻井泥浆的滤</w:t>
            </w:r>
            <w:r>
              <w:rPr>
                <w:spacing w:val="3"/>
                <w:sz w:val="20"/>
                <w:szCs w:val="20"/>
              </w:rPr>
              <w:t>失量，又不影响钻井泥浆的</w:t>
            </w:r>
            <w:r>
              <w:rPr>
                <w:spacing w:val="15"/>
                <w:sz w:val="20"/>
                <w:szCs w:val="20"/>
              </w:rPr>
              <w:t>流变性能，耐温性能优良</w:t>
            </w:r>
          </w:p>
        </w:tc>
      </w:tr>
      <w:tr w14:paraId="46F8F7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3" w:hRule="atLeast"/>
        </w:trPr>
        <w:tc>
          <w:tcPr>
            <w:tcW w:w="466" w:type="dxa"/>
            <w:vMerge w:val="continue"/>
            <w:tcBorders>
              <w:top w:val="nil"/>
              <w:left w:val="single" w:color="000000" w:sz="6" w:space="0"/>
              <w:bottom w:val="nil"/>
              <w:right w:val="single" w:color="000000" w:sz="2" w:space="0"/>
            </w:tcBorders>
            <w:vAlign w:val="top"/>
          </w:tcPr>
          <w:p w14:paraId="0AF72F9C">
            <w:pPr>
              <w:rPr>
                <w:rFonts w:ascii="Arial"/>
                <w:sz w:val="21"/>
              </w:rPr>
            </w:pPr>
          </w:p>
        </w:tc>
        <w:tc>
          <w:tcPr>
            <w:tcW w:w="1175" w:type="dxa"/>
            <w:tcBorders>
              <w:left w:val="single" w:color="000000" w:sz="2" w:space="0"/>
            </w:tcBorders>
            <w:vAlign w:val="top"/>
          </w:tcPr>
          <w:p w14:paraId="67D9257A">
            <w:pPr>
              <w:pStyle w:val="6"/>
              <w:spacing w:before="206" w:line="246" w:lineRule="auto"/>
              <w:ind w:left="122" w:right="14" w:firstLine="101"/>
              <w:rPr>
                <w:sz w:val="20"/>
                <w:szCs w:val="20"/>
              </w:rPr>
            </w:pPr>
            <w:r>
              <w:rPr>
                <w:rFonts w:ascii="Times New Roman" w:hAnsi="Times New Roman" w:eastAsia="Times New Roman" w:cs="Times New Roman"/>
                <w:spacing w:val="5"/>
                <w:sz w:val="20"/>
                <w:szCs w:val="20"/>
              </w:rPr>
              <w:t>LV-CMC</w:t>
            </w:r>
            <w:r>
              <w:rPr>
                <w:rFonts w:ascii="Times New Roman" w:hAnsi="Times New Roman" w:eastAsia="Times New Roman" w:cs="Times New Roman"/>
                <w:sz w:val="20"/>
                <w:szCs w:val="20"/>
              </w:rPr>
              <w:t xml:space="preserve"> </w:t>
            </w:r>
            <w:r>
              <w:rPr>
                <w:spacing w:val="6"/>
                <w:sz w:val="20"/>
                <w:szCs w:val="20"/>
              </w:rPr>
              <w:t>（羟甲基纤</w:t>
            </w:r>
            <w:r>
              <w:rPr>
                <w:spacing w:val="29"/>
                <w:sz w:val="20"/>
                <w:szCs w:val="20"/>
              </w:rPr>
              <w:t>维素钠）</w:t>
            </w:r>
          </w:p>
        </w:tc>
        <w:tc>
          <w:tcPr>
            <w:tcW w:w="638" w:type="dxa"/>
            <w:vAlign w:val="top"/>
          </w:tcPr>
          <w:p w14:paraId="70F8D79C">
            <w:pPr>
              <w:spacing w:line="418" w:lineRule="auto"/>
              <w:rPr>
                <w:rFonts w:ascii="Arial"/>
                <w:sz w:val="21"/>
              </w:rPr>
            </w:pPr>
          </w:p>
          <w:p w14:paraId="69D8718A">
            <w:pPr>
              <w:spacing w:before="57" w:line="195" w:lineRule="auto"/>
              <w:ind w:left="22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559" w:type="dxa"/>
            <w:vAlign w:val="top"/>
          </w:tcPr>
          <w:p w14:paraId="19B3BEA2">
            <w:pPr>
              <w:spacing w:line="418" w:lineRule="auto"/>
              <w:rPr>
                <w:rFonts w:ascii="Arial"/>
                <w:sz w:val="21"/>
              </w:rPr>
            </w:pPr>
          </w:p>
          <w:p w14:paraId="3624426D">
            <w:pPr>
              <w:spacing w:before="57" w:line="195" w:lineRule="auto"/>
              <w:ind w:left="24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96" w:type="dxa"/>
            <w:vAlign w:val="top"/>
          </w:tcPr>
          <w:p w14:paraId="630E5C9A">
            <w:pPr>
              <w:pStyle w:val="6"/>
              <w:spacing w:before="305" w:line="247" w:lineRule="auto"/>
              <w:ind w:left="50" w:right="53" w:firstLine="32"/>
              <w:rPr>
                <w:sz w:val="20"/>
                <w:szCs w:val="20"/>
              </w:rPr>
            </w:pPr>
            <w:r>
              <w:rPr>
                <w:spacing w:val="12"/>
                <w:sz w:val="20"/>
                <w:szCs w:val="20"/>
              </w:rPr>
              <w:t>袋装，</w:t>
            </w:r>
            <w:r>
              <w:rPr>
                <w:sz w:val="20"/>
                <w:szCs w:val="20"/>
              </w:rPr>
              <w:t xml:space="preserve"> </w:t>
            </w:r>
            <w:r>
              <w:rPr>
                <w:rFonts w:ascii="Times New Roman" w:hAnsi="Times New Roman" w:eastAsia="Times New Roman" w:cs="Times New Roman"/>
                <w:spacing w:val="6"/>
                <w:sz w:val="20"/>
                <w:szCs w:val="20"/>
              </w:rPr>
              <w:t>25</w:t>
            </w: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w:t>
            </w:r>
            <w:r>
              <w:rPr>
                <w:spacing w:val="6"/>
                <w:sz w:val="20"/>
                <w:szCs w:val="20"/>
              </w:rPr>
              <w:t>袋</w:t>
            </w:r>
          </w:p>
        </w:tc>
        <w:tc>
          <w:tcPr>
            <w:tcW w:w="544" w:type="dxa"/>
            <w:vAlign w:val="top"/>
          </w:tcPr>
          <w:p w14:paraId="66EF838E">
            <w:pPr>
              <w:pStyle w:val="6"/>
              <w:spacing w:before="305" w:line="252" w:lineRule="auto"/>
              <w:ind w:left="62" w:right="62"/>
              <w:rPr>
                <w:sz w:val="20"/>
                <w:szCs w:val="20"/>
              </w:rPr>
            </w:pPr>
            <w:r>
              <w:rPr>
                <w:spacing w:val="4"/>
                <w:sz w:val="20"/>
                <w:szCs w:val="20"/>
              </w:rPr>
              <w:t>材料堆场</w:t>
            </w:r>
          </w:p>
        </w:tc>
        <w:tc>
          <w:tcPr>
            <w:tcW w:w="2158" w:type="dxa"/>
            <w:vAlign w:val="top"/>
          </w:tcPr>
          <w:p w14:paraId="206A058C">
            <w:pPr>
              <w:pStyle w:val="6"/>
              <w:spacing w:before="34" w:line="242" w:lineRule="auto"/>
              <w:ind w:left="33" w:right="24" w:firstLine="31"/>
              <w:rPr>
                <w:sz w:val="20"/>
                <w:szCs w:val="20"/>
              </w:rPr>
            </w:pPr>
            <w:r>
              <w:rPr>
                <w:spacing w:val="5"/>
                <w:sz w:val="20"/>
                <w:szCs w:val="20"/>
              </w:rPr>
              <w:t>白色颗粒，溶于水、碱</w:t>
            </w:r>
            <w:r>
              <w:rPr>
                <w:spacing w:val="9"/>
                <w:sz w:val="20"/>
                <w:szCs w:val="20"/>
              </w:rPr>
              <w:t>水溶液、氨和纤维素溶液，不溶于有机溶液、矿物油的无色无定型物</w:t>
            </w:r>
          </w:p>
        </w:tc>
        <w:tc>
          <w:tcPr>
            <w:tcW w:w="2579" w:type="dxa"/>
            <w:tcBorders>
              <w:right w:val="single" w:color="000000" w:sz="6" w:space="0"/>
            </w:tcBorders>
            <w:vAlign w:val="top"/>
          </w:tcPr>
          <w:p w14:paraId="12CAF6D9">
            <w:pPr>
              <w:spacing w:line="374" w:lineRule="auto"/>
              <w:rPr>
                <w:rFonts w:ascii="Arial"/>
                <w:sz w:val="21"/>
              </w:rPr>
            </w:pPr>
          </w:p>
          <w:p w14:paraId="7AB3D451">
            <w:pPr>
              <w:pStyle w:val="6"/>
              <w:spacing w:before="65" w:line="227" w:lineRule="auto"/>
              <w:ind w:left="508"/>
              <w:rPr>
                <w:sz w:val="20"/>
                <w:szCs w:val="20"/>
              </w:rPr>
            </w:pPr>
            <w:r>
              <w:rPr>
                <w:spacing w:val="8"/>
                <w:sz w:val="20"/>
                <w:szCs w:val="20"/>
              </w:rPr>
              <w:t>主要用作滤失剂</w:t>
            </w:r>
          </w:p>
        </w:tc>
      </w:tr>
      <w:tr w14:paraId="6A5A7E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7" w:hRule="atLeast"/>
        </w:trPr>
        <w:tc>
          <w:tcPr>
            <w:tcW w:w="466" w:type="dxa"/>
            <w:vMerge w:val="continue"/>
            <w:tcBorders>
              <w:top w:val="nil"/>
              <w:left w:val="single" w:color="000000" w:sz="6" w:space="0"/>
              <w:bottom w:val="nil"/>
              <w:right w:val="single" w:color="000000" w:sz="2" w:space="0"/>
            </w:tcBorders>
            <w:vAlign w:val="top"/>
          </w:tcPr>
          <w:p w14:paraId="1A34D485">
            <w:pPr>
              <w:rPr>
                <w:rFonts w:ascii="Arial"/>
                <w:sz w:val="21"/>
              </w:rPr>
            </w:pPr>
          </w:p>
        </w:tc>
        <w:tc>
          <w:tcPr>
            <w:tcW w:w="1175" w:type="dxa"/>
            <w:tcBorders>
              <w:left w:val="single" w:color="000000" w:sz="2" w:space="0"/>
            </w:tcBorders>
            <w:vAlign w:val="top"/>
          </w:tcPr>
          <w:p w14:paraId="2F514B81">
            <w:pPr>
              <w:spacing w:line="376" w:lineRule="auto"/>
              <w:rPr>
                <w:rFonts w:ascii="Arial"/>
                <w:sz w:val="21"/>
              </w:rPr>
            </w:pPr>
          </w:p>
          <w:p w14:paraId="03526142">
            <w:pPr>
              <w:pStyle w:val="6"/>
              <w:spacing w:before="65" w:line="251" w:lineRule="auto"/>
              <w:ind w:left="103" w:right="6" w:firstLine="12"/>
              <w:jc w:val="both"/>
              <w:rPr>
                <w:sz w:val="20"/>
                <w:szCs w:val="20"/>
              </w:rPr>
            </w:pPr>
            <w:r>
              <w:rPr>
                <w:spacing w:val="6"/>
                <w:sz w:val="20"/>
                <w:szCs w:val="20"/>
              </w:rPr>
              <w:t>聚胺抑制剂</w:t>
            </w:r>
            <w:r>
              <w:rPr>
                <w:rFonts w:ascii="Times New Roman" w:hAnsi="Times New Roman" w:eastAsia="Times New Roman" w:cs="Times New Roman"/>
                <w:spacing w:val="3"/>
                <w:sz w:val="20"/>
                <w:szCs w:val="20"/>
              </w:rPr>
              <w:t>K-</w:t>
            </w:r>
            <w:r>
              <w:rPr>
                <w:rFonts w:ascii="Times New Roman" w:hAnsi="Times New Roman" w:eastAsia="Times New Roman" w:cs="Times New Roman"/>
                <w:sz w:val="20"/>
                <w:szCs w:val="20"/>
              </w:rPr>
              <w:t>PAM</w:t>
            </w:r>
            <w:r>
              <w:rPr>
                <w:spacing w:val="3"/>
                <w:sz w:val="20"/>
                <w:szCs w:val="20"/>
              </w:rPr>
              <w:t>（聚</w:t>
            </w:r>
            <w:r>
              <w:rPr>
                <w:spacing w:val="7"/>
                <w:sz w:val="20"/>
                <w:szCs w:val="20"/>
              </w:rPr>
              <w:t>丙烯酰钾）</w:t>
            </w:r>
          </w:p>
        </w:tc>
        <w:tc>
          <w:tcPr>
            <w:tcW w:w="638" w:type="dxa"/>
            <w:vAlign w:val="top"/>
          </w:tcPr>
          <w:p w14:paraId="61E88E76">
            <w:pPr>
              <w:spacing w:line="344" w:lineRule="auto"/>
              <w:rPr>
                <w:rFonts w:ascii="Arial"/>
                <w:sz w:val="21"/>
              </w:rPr>
            </w:pPr>
          </w:p>
          <w:p w14:paraId="0F5B0D01">
            <w:pPr>
              <w:spacing w:line="344" w:lineRule="auto"/>
              <w:rPr>
                <w:rFonts w:ascii="Arial"/>
                <w:sz w:val="21"/>
              </w:rPr>
            </w:pPr>
          </w:p>
          <w:p w14:paraId="28E60CB1">
            <w:pPr>
              <w:spacing w:before="58" w:line="195" w:lineRule="auto"/>
              <w:ind w:left="22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559" w:type="dxa"/>
            <w:vAlign w:val="top"/>
          </w:tcPr>
          <w:p w14:paraId="7942B6D0">
            <w:pPr>
              <w:spacing w:line="344" w:lineRule="auto"/>
              <w:rPr>
                <w:rFonts w:ascii="Arial"/>
                <w:sz w:val="21"/>
              </w:rPr>
            </w:pPr>
          </w:p>
          <w:p w14:paraId="174DC0EC">
            <w:pPr>
              <w:spacing w:line="344" w:lineRule="auto"/>
              <w:rPr>
                <w:rFonts w:ascii="Arial"/>
                <w:sz w:val="21"/>
              </w:rPr>
            </w:pPr>
          </w:p>
          <w:p w14:paraId="2D7DBAB5">
            <w:pPr>
              <w:spacing w:before="58" w:line="195" w:lineRule="auto"/>
              <w:ind w:left="24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96" w:type="dxa"/>
            <w:vAlign w:val="top"/>
          </w:tcPr>
          <w:p w14:paraId="32641FD5">
            <w:pPr>
              <w:spacing w:line="254" w:lineRule="auto"/>
              <w:rPr>
                <w:rFonts w:ascii="Arial"/>
                <w:sz w:val="21"/>
              </w:rPr>
            </w:pPr>
          </w:p>
          <w:p w14:paraId="23D3E42C">
            <w:pPr>
              <w:spacing w:line="255" w:lineRule="auto"/>
              <w:rPr>
                <w:rFonts w:ascii="Arial"/>
                <w:sz w:val="21"/>
              </w:rPr>
            </w:pPr>
          </w:p>
          <w:p w14:paraId="587E774F">
            <w:pPr>
              <w:pStyle w:val="6"/>
              <w:spacing w:before="65" w:line="249" w:lineRule="auto"/>
              <w:ind w:left="50" w:right="53" w:firstLine="32"/>
              <w:rPr>
                <w:sz w:val="20"/>
                <w:szCs w:val="20"/>
              </w:rPr>
            </w:pPr>
            <w:r>
              <w:rPr>
                <w:spacing w:val="12"/>
                <w:sz w:val="20"/>
                <w:szCs w:val="20"/>
              </w:rPr>
              <w:t>袋装，</w:t>
            </w:r>
            <w:r>
              <w:rPr>
                <w:sz w:val="20"/>
                <w:szCs w:val="20"/>
              </w:rPr>
              <w:t xml:space="preserve"> </w:t>
            </w:r>
            <w:r>
              <w:rPr>
                <w:rFonts w:ascii="Times New Roman" w:hAnsi="Times New Roman" w:eastAsia="Times New Roman" w:cs="Times New Roman"/>
                <w:spacing w:val="6"/>
                <w:sz w:val="20"/>
                <w:szCs w:val="20"/>
              </w:rPr>
              <w:t>25</w:t>
            </w: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w:t>
            </w:r>
            <w:r>
              <w:rPr>
                <w:spacing w:val="6"/>
                <w:sz w:val="20"/>
                <w:szCs w:val="20"/>
              </w:rPr>
              <w:t>袋</w:t>
            </w:r>
          </w:p>
        </w:tc>
        <w:tc>
          <w:tcPr>
            <w:tcW w:w="544" w:type="dxa"/>
            <w:vAlign w:val="top"/>
          </w:tcPr>
          <w:p w14:paraId="4A9B8F1E">
            <w:pPr>
              <w:spacing w:line="255" w:lineRule="auto"/>
              <w:rPr>
                <w:rFonts w:ascii="Arial"/>
                <w:sz w:val="21"/>
              </w:rPr>
            </w:pPr>
          </w:p>
          <w:p w14:paraId="3D524744">
            <w:pPr>
              <w:spacing w:line="255" w:lineRule="auto"/>
              <w:rPr>
                <w:rFonts w:ascii="Arial"/>
                <w:sz w:val="21"/>
              </w:rPr>
            </w:pPr>
          </w:p>
          <w:p w14:paraId="5AC83B05">
            <w:pPr>
              <w:pStyle w:val="6"/>
              <w:spacing w:before="65" w:line="254" w:lineRule="auto"/>
              <w:ind w:left="62" w:right="62"/>
              <w:rPr>
                <w:sz w:val="20"/>
                <w:szCs w:val="20"/>
              </w:rPr>
            </w:pPr>
            <w:r>
              <w:rPr>
                <w:spacing w:val="4"/>
                <w:sz w:val="20"/>
                <w:szCs w:val="20"/>
              </w:rPr>
              <w:t>材料堆场</w:t>
            </w:r>
          </w:p>
        </w:tc>
        <w:tc>
          <w:tcPr>
            <w:tcW w:w="2158" w:type="dxa"/>
            <w:vAlign w:val="top"/>
          </w:tcPr>
          <w:p w14:paraId="002BF5CB">
            <w:pPr>
              <w:pStyle w:val="6"/>
              <w:spacing w:before="34" w:line="228" w:lineRule="auto"/>
              <w:jc w:val="right"/>
              <w:rPr>
                <w:sz w:val="20"/>
                <w:szCs w:val="20"/>
              </w:rPr>
            </w:pPr>
            <w:r>
              <w:rPr>
                <w:spacing w:val="-9"/>
                <w:sz w:val="20"/>
                <w:szCs w:val="20"/>
              </w:rPr>
              <w:t>白色溶于水、结晶粉末；</w:t>
            </w:r>
          </w:p>
          <w:p w14:paraId="48A3428C">
            <w:pPr>
              <w:pStyle w:val="6"/>
              <w:spacing w:before="24" w:line="228" w:lineRule="auto"/>
              <w:ind w:left="462"/>
              <w:rPr>
                <w:sz w:val="20"/>
                <w:szCs w:val="20"/>
              </w:rPr>
            </w:pPr>
            <w:r>
              <w:rPr>
                <w:spacing w:val="6"/>
                <w:sz w:val="20"/>
                <w:szCs w:val="20"/>
              </w:rPr>
              <w:t>聚合度可高达</w:t>
            </w:r>
          </w:p>
          <w:p w14:paraId="21DBB3AF">
            <w:pPr>
              <w:pStyle w:val="6"/>
              <w:spacing w:before="24" w:line="228" w:lineRule="auto"/>
              <w:jc w:val="right"/>
              <w:rPr>
                <w:sz w:val="20"/>
                <w:szCs w:val="20"/>
              </w:rPr>
            </w:pPr>
            <w:r>
              <w:rPr>
                <w:rFonts w:ascii="Times New Roman" w:hAnsi="Times New Roman" w:eastAsia="Times New Roman" w:cs="Times New Roman"/>
                <w:sz w:val="20"/>
                <w:szCs w:val="20"/>
              </w:rPr>
              <w:t>10000~90000</w:t>
            </w:r>
            <w:r>
              <w:rPr>
                <w:sz w:val="20"/>
                <w:szCs w:val="20"/>
              </w:rPr>
              <w:t>，相应的分</w:t>
            </w:r>
          </w:p>
          <w:p w14:paraId="0551132D">
            <w:pPr>
              <w:pStyle w:val="6"/>
              <w:spacing w:before="25" w:line="228" w:lineRule="auto"/>
              <w:ind w:left="133"/>
              <w:rPr>
                <w:rFonts w:ascii="Times New Roman" w:hAnsi="Times New Roman" w:eastAsia="Times New Roman" w:cs="Times New Roman"/>
                <w:sz w:val="20"/>
                <w:szCs w:val="20"/>
              </w:rPr>
            </w:pPr>
            <w:r>
              <w:rPr>
                <w:spacing w:val="2"/>
                <w:sz w:val="20"/>
                <w:szCs w:val="20"/>
              </w:rPr>
              <w:t>子量高达</w:t>
            </w:r>
            <w:r>
              <w:rPr>
                <w:spacing w:val="-10"/>
                <w:sz w:val="20"/>
                <w:szCs w:val="20"/>
              </w:rPr>
              <w:t xml:space="preserve"> </w:t>
            </w:r>
            <w:r>
              <w:rPr>
                <w:rFonts w:ascii="Times New Roman" w:hAnsi="Times New Roman" w:eastAsia="Times New Roman" w:cs="Times New Roman"/>
                <w:spacing w:val="2"/>
                <w:sz w:val="20"/>
                <w:szCs w:val="20"/>
              </w:rPr>
              <w:t>150</w:t>
            </w:r>
            <w:r>
              <w:rPr>
                <w:rFonts w:ascii="Times New Roman" w:hAnsi="Times New Roman" w:eastAsia="Times New Roman" w:cs="Times New Roman"/>
                <w:spacing w:val="15"/>
                <w:sz w:val="20"/>
                <w:szCs w:val="20"/>
              </w:rPr>
              <w:t xml:space="preserve"> </w:t>
            </w:r>
            <w:r>
              <w:rPr>
                <w:spacing w:val="2"/>
                <w:sz w:val="20"/>
                <w:szCs w:val="20"/>
              </w:rPr>
              <w:t>万</w:t>
            </w:r>
            <w:r>
              <w:rPr>
                <w:rFonts w:ascii="Times New Roman" w:hAnsi="Times New Roman" w:eastAsia="Times New Roman" w:cs="Times New Roman"/>
                <w:spacing w:val="2"/>
                <w:sz w:val="20"/>
                <w:szCs w:val="20"/>
              </w:rPr>
              <w:t>~600</w:t>
            </w:r>
          </w:p>
          <w:p w14:paraId="3D1785F9">
            <w:pPr>
              <w:pStyle w:val="6"/>
              <w:spacing w:before="25" w:line="227" w:lineRule="auto"/>
              <w:jc w:val="right"/>
              <w:rPr>
                <w:sz w:val="20"/>
                <w:szCs w:val="20"/>
              </w:rPr>
            </w:pPr>
            <w:r>
              <w:rPr>
                <w:spacing w:val="-7"/>
                <w:sz w:val="20"/>
                <w:szCs w:val="20"/>
              </w:rPr>
              <w:t>万，有强烈的吸附作用，</w:t>
            </w:r>
          </w:p>
          <w:p w14:paraId="79D847C0">
            <w:pPr>
              <w:pStyle w:val="6"/>
              <w:spacing w:before="28" w:line="213" w:lineRule="auto"/>
              <w:ind w:left="136"/>
              <w:rPr>
                <w:sz w:val="20"/>
                <w:szCs w:val="20"/>
              </w:rPr>
            </w:pPr>
            <w:r>
              <w:rPr>
                <w:spacing w:val="9"/>
                <w:sz w:val="20"/>
                <w:szCs w:val="20"/>
              </w:rPr>
              <w:t>在胶粒之间形成桥联</w:t>
            </w:r>
          </w:p>
        </w:tc>
        <w:tc>
          <w:tcPr>
            <w:tcW w:w="2579" w:type="dxa"/>
            <w:tcBorders>
              <w:right w:val="single" w:color="000000" w:sz="6" w:space="0"/>
            </w:tcBorders>
            <w:vAlign w:val="top"/>
          </w:tcPr>
          <w:p w14:paraId="22EF6174">
            <w:pPr>
              <w:pStyle w:val="6"/>
              <w:spacing w:before="34" w:line="228" w:lineRule="auto"/>
              <w:ind w:left="20"/>
              <w:rPr>
                <w:sz w:val="20"/>
                <w:szCs w:val="20"/>
              </w:rPr>
            </w:pPr>
            <w:r>
              <w:rPr>
                <w:spacing w:val="3"/>
                <w:sz w:val="20"/>
                <w:szCs w:val="20"/>
              </w:rPr>
              <w:t>能有效包被钻屑、抑制地层</w:t>
            </w:r>
          </w:p>
          <w:p w14:paraId="7B0FA076">
            <w:pPr>
              <w:pStyle w:val="6"/>
              <w:spacing w:before="24" w:line="228" w:lineRule="auto"/>
              <w:ind w:left="11"/>
              <w:rPr>
                <w:sz w:val="20"/>
                <w:szCs w:val="20"/>
              </w:rPr>
            </w:pPr>
            <w:r>
              <w:rPr>
                <w:spacing w:val="4"/>
                <w:sz w:val="20"/>
                <w:szCs w:val="20"/>
              </w:rPr>
              <w:t>造浆，起稳定井壁、防塌降</w:t>
            </w:r>
          </w:p>
          <w:p w14:paraId="48E3050B">
            <w:pPr>
              <w:pStyle w:val="6"/>
              <w:spacing w:before="24" w:line="228" w:lineRule="auto"/>
              <w:ind w:left="11"/>
              <w:rPr>
                <w:sz w:val="20"/>
                <w:szCs w:val="20"/>
              </w:rPr>
            </w:pPr>
            <w:r>
              <w:rPr>
                <w:spacing w:val="4"/>
                <w:sz w:val="20"/>
                <w:szCs w:val="20"/>
              </w:rPr>
              <w:t>低滤失作用，可以有效的抑</w:t>
            </w:r>
          </w:p>
          <w:p w14:paraId="21999A91">
            <w:pPr>
              <w:pStyle w:val="6"/>
              <w:spacing w:before="25" w:line="228" w:lineRule="auto"/>
              <w:ind w:left="87"/>
              <w:rPr>
                <w:sz w:val="20"/>
                <w:szCs w:val="20"/>
              </w:rPr>
            </w:pPr>
            <w:r>
              <w:rPr>
                <w:spacing w:val="9"/>
                <w:sz w:val="20"/>
                <w:szCs w:val="20"/>
              </w:rPr>
              <w:t>制地层造浆并能与多种处</w:t>
            </w:r>
          </w:p>
          <w:p w14:paraId="7FEF8E9A">
            <w:pPr>
              <w:pStyle w:val="6"/>
              <w:spacing w:before="25" w:line="227" w:lineRule="auto"/>
              <w:ind w:left="14"/>
              <w:rPr>
                <w:sz w:val="20"/>
                <w:szCs w:val="20"/>
              </w:rPr>
            </w:pPr>
            <w:r>
              <w:rPr>
                <w:spacing w:val="8"/>
                <w:sz w:val="20"/>
                <w:szCs w:val="20"/>
              </w:rPr>
              <w:t>理剂配伍，是一种应用广、</w:t>
            </w:r>
          </w:p>
          <w:p w14:paraId="0E4F80F1">
            <w:pPr>
              <w:pStyle w:val="6"/>
              <w:spacing w:before="28" w:line="213" w:lineRule="auto"/>
              <w:ind w:left="297"/>
              <w:rPr>
                <w:sz w:val="20"/>
                <w:szCs w:val="20"/>
              </w:rPr>
            </w:pPr>
            <w:r>
              <w:rPr>
                <w:spacing w:val="8"/>
                <w:sz w:val="20"/>
                <w:szCs w:val="20"/>
              </w:rPr>
              <w:t>较理想的井壁稳定剂</w:t>
            </w:r>
          </w:p>
        </w:tc>
      </w:tr>
      <w:tr w14:paraId="1E22B5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4" w:hRule="atLeast"/>
        </w:trPr>
        <w:tc>
          <w:tcPr>
            <w:tcW w:w="466" w:type="dxa"/>
            <w:vMerge w:val="continue"/>
            <w:tcBorders>
              <w:top w:val="nil"/>
              <w:left w:val="single" w:color="000000" w:sz="6" w:space="0"/>
              <w:bottom w:val="nil"/>
              <w:right w:val="single" w:color="000000" w:sz="2" w:space="0"/>
            </w:tcBorders>
            <w:vAlign w:val="top"/>
          </w:tcPr>
          <w:p w14:paraId="35882079">
            <w:pPr>
              <w:rPr>
                <w:rFonts w:ascii="Arial"/>
                <w:sz w:val="21"/>
              </w:rPr>
            </w:pPr>
          </w:p>
        </w:tc>
        <w:tc>
          <w:tcPr>
            <w:tcW w:w="1175" w:type="dxa"/>
            <w:tcBorders>
              <w:left w:val="single" w:color="000000" w:sz="2" w:space="0"/>
            </w:tcBorders>
            <w:vAlign w:val="top"/>
          </w:tcPr>
          <w:p w14:paraId="780061AA">
            <w:pPr>
              <w:spacing w:line="377" w:lineRule="auto"/>
              <w:rPr>
                <w:rFonts w:ascii="Arial"/>
                <w:sz w:val="21"/>
              </w:rPr>
            </w:pPr>
          </w:p>
          <w:p w14:paraId="2C1AAB3E">
            <w:pPr>
              <w:pStyle w:val="6"/>
              <w:spacing w:before="65" w:line="227" w:lineRule="auto"/>
              <w:ind w:left="324"/>
              <w:rPr>
                <w:sz w:val="20"/>
                <w:szCs w:val="20"/>
              </w:rPr>
            </w:pPr>
            <w:r>
              <w:rPr>
                <w:spacing w:val="6"/>
                <w:sz w:val="20"/>
                <w:szCs w:val="20"/>
              </w:rPr>
              <w:t>堵漏剂</w:t>
            </w:r>
          </w:p>
        </w:tc>
        <w:tc>
          <w:tcPr>
            <w:tcW w:w="638" w:type="dxa"/>
            <w:vAlign w:val="top"/>
          </w:tcPr>
          <w:p w14:paraId="7226CD0A">
            <w:pPr>
              <w:spacing w:line="420" w:lineRule="auto"/>
              <w:rPr>
                <w:rFonts w:ascii="Arial"/>
                <w:sz w:val="21"/>
              </w:rPr>
            </w:pPr>
          </w:p>
          <w:p w14:paraId="5E37D038">
            <w:pPr>
              <w:spacing w:before="58" w:line="195" w:lineRule="auto"/>
              <w:ind w:left="22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559" w:type="dxa"/>
            <w:vAlign w:val="top"/>
          </w:tcPr>
          <w:p w14:paraId="77B1537A">
            <w:pPr>
              <w:spacing w:line="420" w:lineRule="auto"/>
              <w:rPr>
                <w:rFonts w:ascii="Arial"/>
                <w:sz w:val="21"/>
              </w:rPr>
            </w:pPr>
          </w:p>
          <w:p w14:paraId="251C84C1">
            <w:pPr>
              <w:spacing w:before="58" w:line="195" w:lineRule="auto"/>
              <w:ind w:left="22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796" w:type="dxa"/>
            <w:vAlign w:val="top"/>
          </w:tcPr>
          <w:p w14:paraId="21160A52">
            <w:pPr>
              <w:spacing w:line="241" w:lineRule="auto"/>
              <w:rPr>
                <w:rFonts w:ascii="Arial"/>
                <w:sz w:val="21"/>
              </w:rPr>
            </w:pPr>
          </w:p>
          <w:p w14:paraId="4B8BFB53">
            <w:pPr>
              <w:pStyle w:val="6"/>
              <w:spacing w:before="65" w:line="247" w:lineRule="auto"/>
              <w:ind w:left="50" w:right="53" w:firstLine="32"/>
              <w:rPr>
                <w:sz w:val="20"/>
                <w:szCs w:val="20"/>
              </w:rPr>
            </w:pPr>
            <w:r>
              <w:rPr>
                <w:spacing w:val="12"/>
                <w:sz w:val="20"/>
                <w:szCs w:val="20"/>
              </w:rPr>
              <w:t>袋装，</w:t>
            </w:r>
            <w:r>
              <w:rPr>
                <w:sz w:val="20"/>
                <w:szCs w:val="20"/>
              </w:rPr>
              <w:t xml:space="preserve"> </w:t>
            </w:r>
            <w:r>
              <w:rPr>
                <w:rFonts w:ascii="Times New Roman" w:hAnsi="Times New Roman" w:eastAsia="Times New Roman" w:cs="Times New Roman"/>
                <w:spacing w:val="6"/>
                <w:sz w:val="20"/>
                <w:szCs w:val="20"/>
              </w:rPr>
              <w:t>25</w:t>
            </w: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w:t>
            </w:r>
            <w:r>
              <w:rPr>
                <w:spacing w:val="6"/>
                <w:sz w:val="20"/>
                <w:szCs w:val="20"/>
              </w:rPr>
              <w:t>袋</w:t>
            </w:r>
          </w:p>
        </w:tc>
        <w:tc>
          <w:tcPr>
            <w:tcW w:w="544" w:type="dxa"/>
            <w:vAlign w:val="top"/>
          </w:tcPr>
          <w:p w14:paraId="3397E4CB">
            <w:pPr>
              <w:spacing w:line="241" w:lineRule="auto"/>
              <w:rPr>
                <w:rFonts w:ascii="Arial"/>
                <w:sz w:val="21"/>
              </w:rPr>
            </w:pPr>
          </w:p>
          <w:p w14:paraId="347FE6E1">
            <w:pPr>
              <w:pStyle w:val="6"/>
              <w:spacing w:before="65" w:line="252" w:lineRule="auto"/>
              <w:ind w:left="62" w:right="62"/>
              <w:rPr>
                <w:sz w:val="20"/>
                <w:szCs w:val="20"/>
              </w:rPr>
            </w:pPr>
            <w:r>
              <w:rPr>
                <w:spacing w:val="4"/>
                <w:sz w:val="20"/>
                <w:szCs w:val="20"/>
              </w:rPr>
              <w:t>材料堆场</w:t>
            </w:r>
          </w:p>
        </w:tc>
        <w:tc>
          <w:tcPr>
            <w:tcW w:w="2158" w:type="dxa"/>
            <w:vAlign w:val="top"/>
          </w:tcPr>
          <w:p w14:paraId="0E00065C">
            <w:pPr>
              <w:pStyle w:val="6"/>
              <w:spacing w:before="37" w:line="251" w:lineRule="auto"/>
              <w:ind w:left="35" w:right="24"/>
              <w:jc w:val="both"/>
              <w:rPr>
                <w:sz w:val="20"/>
                <w:szCs w:val="20"/>
              </w:rPr>
            </w:pPr>
            <w:r>
              <w:rPr>
                <w:spacing w:val="8"/>
                <w:sz w:val="20"/>
                <w:szCs w:val="20"/>
              </w:rPr>
              <w:t>主要由植物硬质果壳，云母和其它植物纤维组</w:t>
            </w:r>
            <w:r>
              <w:rPr>
                <w:spacing w:val="7"/>
                <w:sz w:val="20"/>
                <w:szCs w:val="20"/>
              </w:rPr>
              <w:t>成。无毒、不溶于水、</w:t>
            </w:r>
          </w:p>
          <w:p w14:paraId="2A22510D">
            <w:pPr>
              <w:pStyle w:val="6"/>
              <w:spacing w:line="213" w:lineRule="auto"/>
              <w:ind w:left="680"/>
              <w:rPr>
                <w:sz w:val="20"/>
                <w:szCs w:val="20"/>
              </w:rPr>
            </w:pPr>
            <w:r>
              <w:rPr>
                <w:spacing w:val="2"/>
                <w:sz w:val="20"/>
                <w:szCs w:val="20"/>
              </w:rPr>
              <w:t>固体粉末</w:t>
            </w:r>
          </w:p>
        </w:tc>
        <w:tc>
          <w:tcPr>
            <w:tcW w:w="2579" w:type="dxa"/>
            <w:tcBorders>
              <w:right w:val="single" w:color="000000" w:sz="6" w:space="0"/>
            </w:tcBorders>
            <w:vAlign w:val="top"/>
          </w:tcPr>
          <w:p w14:paraId="46FA788F">
            <w:pPr>
              <w:pStyle w:val="6"/>
              <w:spacing w:before="171" w:line="228" w:lineRule="auto"/>
              <w:ind w:left="12"/>
              <w:rPr>
                <w:sz w:val="20"/>
                <w:szCs w:val="20"/>
              </w:rPr>
            </w:pPr>
            <w:r>
              <w:rPr>
                <w:spacing w:val="4"/>
                <w:sz w:val="20"/>
                <w:szCs w:val="20"/>
              </w:rPr>
              <w:t>适用于钻井裂缝，多孔隙地</w:t>
            </w:r>
          </w:p>
          <w:p w14:paraId="4262485F">
            <w:pPr>
              <w:pStyle w:val="6"/>
              <w:spacing w:before="23" w:line="227" w:lineRule="auto"/>
              <w:ind w:left="12"/>
              <w:rPr>
                <w:sz w:val="20"/>
                <w:szCs w:val="20"/>
              </w:rPr>
            </w:pPr>
            <w:r>
              <w:rPr>
                <w:spacing w:val="4"/>
                <w:sz w:val="20"/>
                <w:szCs w:val="20"/>
              </w:rPr>
              <w:t>层的堵漏，若与其它堵漏材</w:t>
            </w:r>
          </w:p>
          <w:p w14:paraId="6ED379A3">
            <w:pPr>
              <w:pStyle w:val="6"/>
              <w:spacing w:before="27" w:line="227" w:lineRule="auto"/>
              <w:ind w:left="297"/>
              <w:rPr>
                <w:sz w:val="20"/>
                <w:szCs w:val="20"/>
              </w:rPr>
            </w:pPr>
            <w:r>
              <w:rPr>
                <w:spacing w:val="8"/>
                <w:sz w:val="20"/>
                <w:szCs w:val="20"/>
              </w:rPr>
              <w:t>料混合使用效果更佳</w:t>
            </w:r>
          </w:p>
        </w:tc>
      </w:tr>
      <w:tr w14:paraId="4023DB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1" w:hRule="atLeast"/>
        </w:trPr>
        <w:tc>
          <w:tcPr>
            <w:tcW w:w="466" w:type="dxa"/>
            <w:vMerge w:val="continue"/>
            <w:tcBorders>
              <w:top w:val="nil"/>
              <w:left w:val="single" w:color="000000" w:sz="6" w:space="0"/>
              <w:bottom w:val="nil"/>
              <w:right w:val="single" w:color="000000" w:sz="2" w:space="0"/>
            </w:tcBorders>
            <w:vAlign w:val="top"/>
          </w:tcPr>
          <w:p w14:paraId="50582674">
            <w:pPr>
              <w:rPr>
                <w:rFonts w:ascii="Arial"/>
                <w:sz w:val="21"/>
              </w:rPr>
            </w:pPr>
          </w:p>
        </w:tc>
        <w:tc>
          <w:tcPr>
            <w:tcW w:w="1175" w:type="dxa"/>
            <w:tcBorders>
              <w:left w:val="single" w:color="000000" w:sz="2" w:space="0"/>
            </w:tcBorders>
            <w:vAlign w:val="top"/>
          </w:tcPr>
          <w:p w14:paraId="417581A9">
            <w:pPr>
              <w:pStyle w:val="6"/>
              <w:spacing w:before="36" w:line="228" w:lineRule="auto"/>
              <w:ind w:right="14"/>
              <w:jc w:val="right"/>
              <w:rPr>
                <w:sz w:val="20"/>
                <w:szCs w:val="20"/>
              </w:rPr>
            </w:pPr>
            <w:r>
              <w:rPr>
                <w:spacing w:val="8"/>
                <w:sz w:val="20"/>
                <w:szCs w:val="20"/>
              </w:rPr>
              <w:t>低荧光抗盐</w:t>
            </w:r>
          </w:p>
          <w:p w14:paraId="52180174">
            <w:pPr>
              <w:pStyle w:val="6"/>
              <w:spacing w:before="24" w:line="232" w:lineRule="auto"/>
              <w:ind w:left="217" w:right="14" w:hanging="92"/>
              <w:rPr>
                <w:sz w:val="20"/>
                <w:szCs w:val="20"/>
              </w:rPr>
            </w:pPr>
            <w:r>
              <w:rPr>
                <w:spacing w:val="5"/>
                <w:sz w:val="20"/>
                <w:szCs w:val="20"/>
              </w:rPr>
              <w:t>防塌剂改性</w:t>
            </w:r>
            <w:r>
              <w:rPr>
                <w:spacing w:val="7"/>
                <w:sz w:val="20"/>
                <w:szCs w:val="20"/>
              </w:rPr>
              <w:t>褐煤树脂</w:t>
            </w:r>
          </w:p>
        </w:tc>
        <w:tc>
          <w:tcPr>
            <w:tcW w:w="638" w:type="dxa"/>
            <w:vAlign w:val="top"/>
          </w:tcPr>
          <w:p w14:paraId="2C314EBA">
            <w:pPr>
              <w:spacing w:line="284" w:lineRule="auto"/>
              <w:rPr>
                <w:rFonts w:ascii="Arial"/>
                <w:sz w:val="21"/>
              </w:rPr>
            </w:pPr>
          </w:p>
          <w:p w14:paraId="1593214C">
            <w:pPr>
              <w:spacing w:before="58" w:line="195" w:lineRule="auto"/>
              <w:ind w:left="22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559" w:type="dxa"/>
            <w:vAlign w:val="top"/>
          </w:tcPr>
          <w:p w14:paraId="79A21DBB">
            <w:pPr>
              <w:spacing w:line="284" w:lineRule="auto"/>
              <w:rPr>
                <w:rFonts w:ascii="Arial"/>
                <w:sz w:val="21"/>
              </w:rPr>
            </w:pPr>
          </w:p>
          <w:p w14:paraId="2E334D84">
            <w:pPr>
              <w:spacing w:before="58" w:line="195" w:lineRule="auto"/>
              <w:ind w:left="22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796" w:type="dxa"/>
            <w:vAlign w:val="top"/>
          </w:tcPr>
          <w:p w14:paraId="6A4F68D9">
            <w:pPr>
              <w:pStyle w:val="6"/>
              <w:spacing w:before="171" w:line="249" w:lineRule="auto"/>
              <w:ind w:left="50" w:right="53" w:firstLine="32"/>
              <w:rPr>
                <w:sz w:val="20"/>
                <w:szCs w:val="20"/>
              </w:rPr>
            </w:pPr>
            <w:r>
              <w:rPr>
                <w:spacing w:val="12"/>
                <w:sz w:val="20"/>
                <w:szCs w:val="20"/>
              </w:rPr>
              <w:t>袋装，</w:t>
            </w:r>
            <w:r>
              <w:rPr>
                <w:sz w:val="20"/>
                <w:szCs w:val="20"/>
              </w:rPr>
              <w:t xml:space="preserve"> </w:t>
            </w:r>
            <w:r>
              <w:rPr>
                <w:rFonts w:ascii="Times New Roman" w:hAnsi="Times New Roman" w:eastAsia="Times New Roman" w:cs="Times New Roman"/>
                <w:spacing w:val="6"/>
                <w:sz w:val="20"/>
                <w:szCs w:val="20"/>
              </w:rPr>
              <w:t>25</w:t>
            </w: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w:t>
            </w:r>
            <w:r>
              <w:rPr>
                <w:spacing w:val="6"/>
                <w:sz w:val="20"/>
                <w:szCs w:val="20"/>
              </w:rPr>
              <w:t>袋</w:t>
            </w:r>
          </w:p>
        </w:tc>
        <w:tc>
          <w:tcPr>
            <w:tcW w:w="544" w:type="dxa"/>
            <w:vAlign w:val="top"/>
          </w:tcPr>
          <w:p w14:paraId="50B0417C">
            <w:pPr>
              <w:pStyle w:val="6"/>
              <w:spacing w:before="172" w:line="254" w:lineRule="auto"/>
              <w:ind w:left="62" w:right="62"/>
              <w:rPr>
                <w:sz w:val="20"/>
                <w:szCs w:val="20"/>
              </w:rPr>
            </w:pPr>
            <w:r>
              <w:rPr>
                <w:spacing w:val="4"/>
                <w:sz w:val="20"/>
                <w:szCs w:val="20"/>
              </w:rPr>
              <w:t>材料堆场</w:t>
            </w:r>
          </w:p>
        </w:tc>
        <w:tc>
          <w:tcPr>
            <w:tcW w:w="2158" w:type="dxa"/>
            <w:vAlign w:val="top"/>
          </w:tcPr>
          <w:p w14:paraId="4C185B4F">
            <w:pPr>
              <w:pStyle w:val="6"/>
              <w:spacing w:before="36" w:line="227" w:lineRule="auto"/>
              <w:ind w:left="34"/>
              <w:rPr>
                <w:sz w:val="20"/>
                <w:szCs w:val="20"/>
              </w:rPr>
            </w:pPr>
            <w:r>
              <w:rPr>
                <w:spacing w:val="8"/>
                <w:sz w:val="20"/>
                <w:szCs w:val="20"/>
              </w:rPr>
              <w:t>酚醛树脂和腐植酸缩合</w:t>
            </w:r>
          </w:p>
          <w:p w14:paraId="3F7153B0">
            <w:pPr>
              <w:pStyle w:val="6"/>
              <w:spacing w:before="24" w:line="228" w:lineRule="auto"/>
              <w:jc w:val="right"/>
              <w:rPr>
                <w:sz w:val="20"/>
                <w:szCs w:val="20"/>
              </w:rPr>
            </w:pPr>
            <w:r>
              <w:rPr>
                <w:spacing w:val="1"/>
                <w:sz w:val="20"/>
                <w:szCs w:val="20"/>
              </w:rPr>
              <w:t>物</w:t>
            </w:r>
            <w:r>
              <w:rPr>
                <w:spacing w:val="-35"/>
                <w:sz w:val="20"/>
                <w:szCs w:val="20"/>
              </w:rPr>
              <w:t xml:space="preserve"> </w:t>
            </w:r>
            <w:r>
              <w:rPr>
                <w:rFonts w:ascii="Times New Roman" w:hAnsi="Times New Roman" w:eastAsia="Times New Roman" w:cs="Times New Roman"/>
                <w:sz w:val="20"/>
                <w:szCs w:val="20"/>
              </w:rPr>
              <w:t>SMP</w:t>
            </w:r>
            <w:r>
              <w:rPr>
                <w:rFonts w:ascii="Times New Roman" w:hAnsi="Times New Roman" w:eastAsia="Times New Roman" w:cs="Times New Roman"/>
                <w:spacing w:val="13"/>
                <w:sz w:val="20"/>
                <w:szCs w:val="20"/>
              </w:rPr>
              <w:t xml:space="preserve"> </w:t>
            </w:r>
            <w:r>
              <w:rPr>
                <w:spacing w:val="1"/>
                <w:sz w:val="20"/>
                <w:szCs w:val="20"/>
              </w:rPr>
              <w:t>和褐煤、胺基聚</w:t>
            </w:r>
          </w:p>
          <w:p w14:paraId="546F9AC9">
            <w:pPr>
              <w:pStyle w:val="6"/>
              <w:spacing w:before="24" w:line="214" w:lineRule="auto"/>
              <w:ind w:left="352"/>
              <w:rPr>
                <w:sz w:val="20"/>
                <w:szCs w:val="20"/>
              </w:rPr>
            </w:pPr>
            <w:r>
              <w:rPr>
                <w:spacing w:val="8"/>
                <w:sz w:val="20"/>
                <w:szCs w:val="20"/>
              </w:rPr>
              <w:t>丙烯腈共聚而成</w:t>
            </w:r>
          </w:p>
        </w:tc>
        <w:tc>
          <w:tcPr>
            <w:tcW w:w="2579" w:type="dxa"/>
            <w:tcBorders>
              <w:right w:val="single" w:color="000000" w:sz="6" w:space="0"/>
            </w:tcBorders>
            <w:vAlign w:val="top"/>
          </w:tcPr>
          <w:p w14:paraId="203E5C98">
            <w:pPr>
              <w:pStyle w:val="6"/>
              <w:spacing w:before="171" w:line="254" w:lineRule="auto"/>
              <w:ind w:left="403" w:right="104" w:hanging="391"/>
              <w:rPr>
                <w:sz w:val="20"/>
                <w:szCs w:val="20"/>
              </w:rPr>
            </w:pPr>
            <w:r>
              <w:rPr>
                <w:spacing w:val="4"/>
                <w:sz w:val="20"/>
                <w:szCs w:val="20"/>
              </w:rPr>
              <w:t>抗高温抗盐降滤失剂，稍降</w:t>
            </w:r>
            <w:r>
              <w:rPr>
                <w:spacing w:val="8"/>
                <w:sz w:val="20"/>
                <w:szCs w:val="20"/>
              </w:rPr>
              <w:t>粘切改善泥饼质量</w:t>
            </w:r>
          </w:p>
        </w:tc>
      </w:tr>
      <w:tr w14:paraId="48C3A4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7" w:hRule="atLeast"/>
        </w:trPr>
        <w:tc>
          <w:tcPr>
            <w:tcW w:w="466" w:type="dxa"/>
            <w:vMerge w:val="continue"/>
            <w:tcBorders>
              <w:top w:val="nil"/>
              <w:left w:val="single" w:color="000000" w:sz="6" w:space="0"/>
              <w:bottom w:val="nil"/>
              <w:right w:val="single" w:color="000000" w:sz="2" w:space="0"/>
            </w:tcBorders>
            <w:vAlign w:val="top"/>
          </w:tcPr>
          <w:p w14:paraId="21D027C2">
            <w:pPr>
              <w:rPr>
                <w:rFonts w:ascii="Arial"/>
                <w:sz w:val="21"/>
              </w:rPr>
            </w:pPr>
          </w:p>
        </w:tc>
        <w:tc>
          <w:tcPr>
            <w:tcW w:w="1175" w:type="dxa"/>
            <w:tcBorders>
              <w:left w:val="single" w:color="000000" w:sz="2" w:space="0"/>
            </w:tcBorders>
            <w:vAlign w:val="top"/>
          </w:tcPr>
          <w:p w14:paraId="21276D7A">
            <w:pPr>
              <w:spacing w:line="324" w:lineRule="auto"/>
              <w:rPr>
                <w:rFonts w:ascii="Arial"/>
                <w:sz w:val="21"/>
              </w:rPr>
            </w:pPr>
          </w:p>
          <w:p w14:paraId="1A6B70D0">
            <w:pPr>
              <w:spacing w:line="325" w:lineRule="auto"/>
              <w:rPr>
                <w:rFonts w:ascii="Arial"/>
                <w:sz w:val="21"/>
              </w:rPr>
            </w:pPr>
          </w:p>
          <w:p w14:paraId="1406042F">
            <w:pPr>
              <w:pStyle w:val="6"/>
              <w:spacing w:before="65" w:line="228" w:lineRule="auto"/>
              <w:ind w:left="219"/>
              <w:rPr>
                <w:sz w:val="20"/>
                <w:szCs w:val="20"/>
              </w:rPr>
            </w:pPr>
            <w:r>
              <w:rPr>
                <w:spacing w:val="6"/>
                <w:sz w:val="20"/>
                <w:szCs w:val="20"/>
              </w:rPr>
              <w:t>乳化石蜡</w:t>
            </w:r>
          </w:p>
        </w:tc>
        <w:tc>
          <w:tcPr>
            <w:tcW w:w="638" w:type="dxa"/>
            <w:vAlign w:val="top"/>
          </w:tcPr>
          <w:p w14:paraId="3F4C84D3">
            <w:pPr>
              <w:spacing w:line="346" w:lineRule="auto"/>
              <w:rPr>
                <w:rFonts w:ascii="Arial"/>
                <w:sz w:val="21"/>
              </w:rPr>
            </w:pPr>
          </w:p>
          <w:p w14:paraId="0CB9CCF7">
            <w:pPr>
              <w:spacing w:line="346" w:lineRule="auto"/>
              <w:rPr>
                <w:rFonts w:ascii="Arial"/>
                <w:sz w:val="21"/>
              </w:rPr>
            </w:pPr>
          </w:p>
          <w:p w14:paraId="4BBDA4A6">
            <w:pPr>
              <w:spacing w:before="57" w:line="195" w:lineRule="auto"/>
              <w:ind w:left="22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11</w:t>
            </w:r>
          </w:p>
        </w:tc>
        <w:tc>
          <w:tcPr>
            <w:tcW w:w="559" w:type="dxa"/>
            <w:vAlign w:val="top"/>
          </w:tcPr>
          <w:p w14:paraId="218E499C">
            <w:pPr>
              <w:spacing w:line="346" w:lineRule="auto"/>
              <w:rPr>
                <w:rFonts w:ascii="Arial"/>
                <w:sz w:val="21"/>
              </w:rPr>
            </w:pPr>
          </w:p>
          <w:p w14:paraId="47813A0C">
            <w:pPr>
              <w:spacing w:line="346" w:lineRule="auto"/>
              <w:rPr>
                <w:rFonts w:ascii="Arial"/>
                <w:sz w:val="21"/>
              </w:rPr>
            </w:pPr>
          </w:p>
          <w:p w14:paraId="6E2E6B88">
            <w:pPr>
              <w:spacing w:before="57" w:line="195" w:lineRule="auto"/>
              <w:ind w:left="1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w:t>
            </w:r>
          </w:p>
        </w:tc>
        <w:tc>
          <w:tcPr>
            <w:tcW w:w="796" w:type="dxa"/>
            <w:vAlign w:val="top"/>
          </w:tcPr>
          <w:p w14:paraId="280CFA52">
            <w:pPr>
              <w:spacing w:line="256" w:lineRule="auto"/>
              <w:rPr>
                <w:rFonts w:ascii="Arial"/>
                <w:sz w:val="21"/>
              </w:rPr>
            </w:pPr>
          </w:p>
          <w:p w14:paraId="6BCA59ED">
            <w:pPr>
              <w:spacing w:line="256" w:lineRule="auto"/>
              <w:rPr>
                <w:rFonts w:ascii="Arial"/>
                <w:sz w:val="21"/>
              </w:rPr>
            </w:pPr>
          </w:p>
          <w:p w14:paraId="7F1A66C4">
            <w:pPr>
              <w:pStyle w:val="6"/>
              <w:spacing w:before="65" w:line="247" w:lineRule="auto"/>
              <w:ind w:left="50" w:right="53" w:firstLine="34"/>
              <w:rPr>
                <w:sz w:val="20"/>
                <w:szCs w:val="20"/>
              </w:rPr>
            </w:pPr>
            <w:r>
              <w:rPr>
                <w:spacing w:val="11"/>
                <w:sz w:val="20"/>
                <w:szCs w:val="20"/>
              </w:rPr>
              <w:t>桶装，</w:t>
            </w:r>
            <w:r>
              <w:rPr>
                <w:spacing w:val="1"/>
                <w:sz w:val="20"/>
                <w:szCs w:val="20"/>
              </w:rPr>
              <w:t xml:space="preserve"> </w:t>
            </w:r>
            <w:r>
              <w:rPr>
                <w:rFonts w:ascii="Times New Roman" w:hAnsi="Times New Roman" w:eastAsia="Times New Roman" w:cs="Times New Roman"/>
                <w:spacing w:val="6"/>
                <w:sz w:val="20"/>
                <w:szCs w:val="20"/>
              </w:rPr>
              <w:t>25</w:t>
            </w: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w:t>
            </w:r>
            <w:r>
              <w:rPr>
                <w:spacing w:val="6"/>
                <w:sz w:val="20"/>
                <w:szCs w:val="20"/>
              </w:rPr>
              <w:t>桶</w:t>
            </w:r>
          </w:p>
        </w:tc>
        <w:tc>
          <w:tcPr>
            <w:tcW w:w="544" w:type="dxa"/>
            <w:vAlign w:val="top"/>
          </w:tcPr>
          <w:p w14:paraId="032BA402">
            <w:pPr>
              <w:spacing w:line="256" w:lineRule="auto"/>
              <w:rPr>
                <w:rFonts w:ascii="Arial"/>
                <w:sz w:val="21"/>
              </w:rPr>
            </w:pPr>
          </w:p>
          <w:p w14:paraId="26B9CD42">
            <w:pPr>
              <w:spacing w:line="257" w:lineRule="auto"/>
              <w:rPr>
                <w:rFonts w:ascii="Arial"/>
                <w:sz w:val="21"/>
              </w:rPr>
            </w:pPr>
          </w:p>
          <w:p w14:paraId="62A01253">
            <w:pPr>
              <w:pStyle w:val="6"/>
              <w:spacing w:before="65" w:line="252" w:lineRule="auto"/>
              <w:ind w:left="62" w:right="62"/>
              <w:rPr>
                <w:sz w:val="20"/>
                <w:szCs w:val="20"/>
              </w:rPr>
            </w:pPr>
            <w:r>
              <w:rPr>
                <w:spacing w:val="4"/>
                <w:sz w:val="20"/>
                <w:szCs w:val="20"/>
              </w:rPr>
              <w:t>材料堆场</w:t>
            </w:r>
          </w:p>
        </w:tc>
        <w:tc>
          <w:tcPr>
            <w:tcW w:w="2158" w:type="dxa"/>
            <w:vAlign w:val="top"/>
          </w:tcPr>
          <w:p w14:paraId="508396DC">
            <w:pPr>
              <w:pStyle w:val="6"/>
              <w:spacing w:before="36" w:line="228" w:lineRule="auto"/>
              <w:ind w:left="582"/>
              <w:rPr>
                <w:sz w:val="20"/>
                <w:szCs w:val="20"/>
              </w:rPr>
            </w:pPr>
            <w:r>
              <w:rPr>
                <w:spacing w:val="3"/>
                <w:sz w:val="20"/>
                <w:szCs w:val="20"/>
              </w:rPr>
              <w:t>由改性石蜡</w:t>
            </w:r>
          </w:p>
          <w:p w14:paraId="3CCE439D">
            <w:pPr>
              <w:pStyle w:val="6"/>
              <w:spacing w:before="26" w:line="227" w:lineRule="auto"/>
              <w:ind w:left="44"/>
              <w:rPr>
                <w:sz w:val="20"/>
                <w:szCs w:val="20"/>
              </w:rPr>
            </w:pPr>
            <w:r>
              <w:rPr>
                <w:spacing w:val="6"/>
                <w:sz w:val="20"/>
                <w:szCs w:val="20"/>
              </w:rPr>
              <w:t>（</w:t>
            </w:r>
            <w:r>
              <w:rPr>
                <w:rFonts w:ascii="Times New Roman" w:hAnsi="Times New Roman" w:eastAsia="Times New Roman" w:cs="Times New Roman"/>
                <w:spacing w:val="6"/>
                <w:sz w:val="20"/>
                <w:szCs w:val="20"/>
              </w:rPr>
              <w:t>70%-90%</w:t>
            </w:r>
            <w:r>
              <w:rPr>
                <w:spacing w:val="6"/>
                <w:sz w:val="20"/>
                <w:szCs w:val="20"/>
              </w:rPr>
              <w:t>）、乳化剂</w:t>
            </w:r>
          </w:p>
          <w:p w14:paraId="74FA330E">
            <w:pPr>
              <w:pStyle w:val="6"/>
              <w:spacing w:before="25" w:line="228" w:lineRule="auto"/>
              <w:jc w:val="right"/>
              <w:rPr>
                <w:sz w:val="20"/>
                <w:szCs w:val="20"/>
              </w:rPr>
            </w:pPr>
            <w:r>
              <w:rPr>
                <w:spacing w:val="2"/>
                <w:sz w:val="20"/>
                <w:szCs w:val="20"/>
              </w:rPr>
              <w:t>（</w:t>
            </w:r>
            <w:r>
              <w:rPr>
                <w:rFonts w:ascii="Times New Roman" w:hAnsi="Times New Roman" w:eastAsia="Times New Roman" w:cs="Times New Roman"/>
                <w:spacing w:val="2"/>
                <w:sz w:val="20"/>
                <w:szCs w:val="20"/>
              </w:rPr>
              <w:t>5%-20%</w:t>
            </w:r>
            <w:r>
              <w:rPr>
                <w:spacing w:val="2"/>
                <w:sz w:val="20"/>
                <w:szCs w:val="20"/>
              </w:rPr>
              <w:t>）及表面活性</w:t>
            </w:r>
          </w:p>
          <w:p w14:paraId="564CEA61">
            <w:pPr>
              <w:pStyle w:val="6"/>
              <w:spacing w:before="26" w:line="227" w:lineRule="auto"/>
              <w:jc w:val="right"/>
              <w:rPr>
                <w:sz w:val="20"/>
                <w:szCs w:val="20"/>
              </w:rPr>
            </w:pPr>
            <w:r>
              <w:rPr>
                <w:spacing w:val="6"/>
                <w:sz w:val="20"/>
                <w:szCs w:val="20"/>
              </w:rPr>
              <w:t>剂（</w:t>
            </w:r>
            <w:r>
              <w:rPr>
                <w:rFonts w:ascii="Times New Roman" w:hAnsi="Times New Roman" w:eastAsia="Times New Roman" w:cs="Times New Roman"/>
                <w:spacing w:val="6"/>
                <w:sz w:val="20"/>
                <w:szCs w:val="20"/>
              </w:rPr>
              <w:t>1.2%-20%</w:t>
            </w:r>
            <w:r>
              <w:rPr>
                <w:spacing w:val="6"/>
                <w:sz w:val="20"/>
                <w:szCs w:val="20"/>
              </w:rPr>
              <w:t>）经特定</w:t>
            </w:r>
          </w:p>
          <w:p w14:paraId="32C1589D">
            <w:pPr>
              <w:pStyle w:val="6"/>
              <w:spacing w:before="25" w:line="228" w:lineRule="auto"/>
              <w:ind w:left="36"/>
              <w:rPr>
                <w:sz w:val="20"/>
                <w:szCs w:val="20"/>
              </w:rPr>
            </w:pPr>
            <w:r>
              <w:rPr>
                <w:spacing w:val="7"/>
                <w:sz w:val="20"/>
                <w:szCs w:val="20"/>
              </w:rPr>
              <w:t>工艺乳化制成；无毒、</w:t>
            </w:r>
          </w:p>
          <w:p w14:paraId="00345E04">
            <w:pPr>
              <w:pStyle w:val="6"/>
              <w:spacing w:before="24" w:line="212" w:lineRule="auto"/>
              <w:ind w:left="141"/>
              <w:rPr>
                <w:sz w:val="20"/>
                <w:szCs w:val="20"/>
              </w:rPr>
            </w:pPr>
            <w:r>
              <w:rPr>
                <w:spacing w:val="8"/>
                <w:sz w:val="20"/>
                <w:szCs w:val="20"/>
              </w:rPr>
              <w:t>淡黄色至乳白色液体</w:t>
            </w:r>
          </w:p>
        </w:tc>
        <w:tc>
          <w:tcPr>
            <w:tcW w:w="2579" w:type="dxa"/>
            <w:tcBorders>
              <w:right w:val="single" w:color="000000" w:sz="6" w:space="0"/>
            </w:tcBorders>
            <w:vAlign w:val="top"/>
          </w:tcPr>
          <w:p w14:paraId="73FFDCE8">
            <w:pPr>
              <w:spacing w:line="256" w:lineRule="auto"/>
              <w:rPr>
                <w:rFonts w:ascii="Arial"/>
                <w:sz w:val="21"/>
              </w:rPr>
            </w:pPr>
          </w:p>
          <w:p w14:paraId="70334A0D">
            <w:pPr>
              <w:spacing w:line="256" w:lineRule="auto"/>
              <w:rPr>
                <w:rFonts w:ascii="Arial"/>
                <w:sz w:val="21"/>
              </w:rPr>
            </w:pPr>
          </w:p>
          <w:p w14:paraId="19BC4FA5">
            <w:pPr>
              <w:pStyle w:val="6"/>
              <w:spacing w:before="65" w:line="252" w:lineRule="auto"/>
              <w:ind w:left="406" w:right="104" w:hanging="392"/>
              <w:rPr>
                <w:sz w:val="20"/>
                <w:szCs w:val="20"/>
              </w:rPr>
            </w:pPr>
            <w:r>
              <w:rPr>
                <w:spacing w:val="3"/>
                <w:sz w:val="20"/>
                <w:szCs w:val="20"/>
              </w:rPr>
              <w:t>形成泥饼，保护井壁；控制</w:t>
            </w:r>
            <w:r>
              <w:rPr>
                <w:spacing w:val="8"/>
                <w:sz w:val="20"/>
                <w:szCs w:val="20"/>
              </w:rPr>
              <w:t>与平衡地层压力等</w:t>
            </w:r>
          </w:p>
        </w:tc>
      </w:tr>
      <w:tr w14:paraId="255A9E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3" w:hRule="atLeast"/>
        </w:trPr>
        <w:tc>
          <w:tcPr>
            <w:tcW w:w="466" w:type="dxa"/>
            <w:vMerge w:val="continue"/>
            <w:tcBorders>
              <w:top w:val="nil"/>
              <w:left w:val="single" w:color="000000" w:sz="6" w:space="0"/>
              <w:bottom w:val="nil"/>
              <w:right w:val="single" w:color="000000" w:sz="2" w:space="0"/>
            </w:tcBorders>
            <w:vAlign w:val="top"/>
          </w:tcPr>
          <w:p w14:paraId="197D0A04">
            <w:pPr>
              <w:rPr>
                <w:rFonts w:ascii="Arial"/>
                <w:sz w:val="21"/>
              </w:rPr>
            </w:pPr>
          </w:p>
        </w:tc>
        <w:tc>
          <w:tcPr>
            <w:tcW w:w="1175" w:type="dxa"/>
            <w:tcBorders>
              <w:left w:val="single" w:color="000000" w:sz="2" w:space="0"/>
            </w:tcBorders>
            <w:vAlign w:val="top"/>
          </w:tcPr>
          <w:p w14:paraId="62D3503E">
            <w:pPr>
              <w:spacing w:line="264" w:lineRule="auto"/>
              <w:rPr>
                <w:rFonts w:ascii="Arial"/>
                <w:sz w:val="21"/>
              </w:rPr>
            </w:pPr>
          </w:p>
          <w:p w14:paraId="51E81A26">
            <w:pPr>
              <w:spacing w:line="264" w:lineRule="auto"/>
              <w:rPr>
                <w:rFonts w:ascii="Arial"/>
                <w:sz w:val="21"/>
              </w:rPr>
            </w:pPr>
          </w:p>
          <w:p w14:paraId="702949B5">
            <w:pPr>
              <w:spacing w:line="264" w:lineRule="auto"/>
              <w:rPr>
                <w:rFonts w:ascii="Arial"/>
                <w:sz w:val="21"/>
              </w:rPr>
            </w:pPr>
          </w:p>
          <w:p w14:paraId="50448501">
            <w:pPr>
              <w:spacing w:line="264" w:lineRule="auto"/>
              <w:rPr>
                <w:rFonts w:ascii="Arial"/>
                <w:sz w:val="21"/>
              </w:rPr>
            </w:pPr>
          </w:p>
          <w:p w14:paraId="08B0B57C">
            <w:pPr>
              <w:pStyle w:val="6"/>
              <w:spacing w:before="65" w:line="227" w:lineRule="auto"/>
              <w:ind w:right="14"/>
              <w:jc w:val="right"/>
              <w:rPr>
                <w:sz w:val="20"/>
                <w:szCs w:val="20"/>
              </w:rPr>
            </w:pPr>
            <w:r>
              <w:rPr>
                <w:spacing w:val="5"/>
                <w:sz w:val="20"/>
                <w:szCs w:val="20"/>
              </w:rPr>
              <w:t>防卡润滑剂</w:t>
            </w:r>
          </w:p>
        </w:tc>
        <w:tc>
          <w:tcPr>
            <w:tcW w:w="638" w:type="dxa"/>
            <w:vAlign w:val="top"/>
          </w:tcPr>
          <w:p w14:paraId="51D2DBAE">
            <w:pPr>
              <w:spacing w:line="274" w:lineRule="auto"/>
              <w:rPr>
                <w:rFonts w:ascii="Arial"/>
                <w:sz w:val="21"/>
              </w:rPr>
            </w:pPr>
          </w:p>
          <w:p w14:paraId="32278DC7">
            <w:pPr>
              <w:spacing w:line="275" w:lineRule="auto"/>
              <w:rPr>
                <w:rFonts w:ascii="Arial"/>
                <w:sz w:val="21"/>
              </w:rPr>
            </w:pPr>
          </w:p>
          <w:p w14:paraId="04C41543">
            <w:pPr>
              <w:spacing w:line="275" w:lineRule="auto"/>
              <w:rPr>
                <w:rFonts w:ascii="Arial"/>
                <w:sz w:val="21"/>
              </w:rPr>
            </w:pPr>
          </w:p>
          <w:p w14:paraId="510B19F7">
            <w:pPr>
              <w:spacing w:line="275" w:lineRule="auto"/>
              <w:rPr>
                <w:rFonts w:ascii="Arial"/>
                <w:sz w:val="21"/>
              </w:rPr>
            </w:pPr>
          </w:p>
          <w:p w14:paraId="11D46684">
            <w:pPr>
              <w:spacing w:before="57" w:line="195" w:lineRule="auto"/>
              <w:ind w:left="264"/>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559" w:type="dxa"/>
            <w:vAlign w:val="top"/>
          </w:tcPr>
          <w:p w14:paraId="2D13C943">
            <w:pPr>
              <w:spacing w:line="274" w:lineRule="auto"/>
              <w:rPr>
                <w:rFonts w:ascii="Arial"/>
                <w:sz w:val="21"/>
              </w:rPr>
            </w:pPr>
          </w:p>
          <w:p w14:paraId="1E4A40C0">
            <w:pPr>
              <w:spacing w:line="275" w:lineRule="auto"/>
              <w:rPr>
                <w:rFonts w:ascii="Arial"/>
                <w:sz w:val="21"/>
              </w:rPr>
            </w:pPr>
          </w:p>
          <w:p w14:paraId="47A33D78">
            <w:pPr>
              <w:spacing w:line="275" w:lineRule="auto"/>
              <w:rPr>
                <w:rFonts w:ascii="Arial"/>
                <w:sz w:val="21"/>
              </w:rPr>
            </w:pPr>
          </w:p>
          <w:p w14:paraId="040FBAFE">
            <w:pPr>
              <w:spacing w:line="275" w:lineRule="auto"/>
              <w:rPr>
                <w:rFonts w:ascii="Arial"/>
                <w:sz w:val="21"/>
              </w:rPr>
            </w:pPr>
          </w:p>
          <w:p w14:paraId="489C05AE">
            <w:pPr>
              <w:spacing w:before="58" w:line="195" w:lineRule="auto"/>
              <w:ind w:left="24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96" w:type="dxa"/>
            <w:vAlign w:val="top"/>
          </w:tcPr>
          <w:p w14:paraId="0D362A9D">
            <w:pPr>
              <w:spacing w:line="307" w:lineRule="auto"/>
              <w:rPr>
                <w:rFonts w:ascii="Arial"/>
                <w:sz w:val="21"/>
              </w:rPr>
            </w:pPr>
          </w:p>
          <w:p w14:paraId="2CD72206">
            <w:pPr>
              <w:spacing w:line="307" w:lineRule="auto"/>
              <w:rPr>
                <w:rFonts w:ascii="Arial"/>
                <w:sz w:val="21"/>
              </w:rPr>
            </w:pPr>
          </w:p>
          <w:p w14:paraId="45FDD34F">
            <w:pPr>
              <w:spacing w:line="308" w:lineRule="auto"/>
              <w:rPr>
                <w:rFonts w:ascii="Arial"/>
                <w:sz w:val="21"/>
              </w:rPr>
            </w:pPr>
          </w:p>
          <w:p w14:paraId="720E6642">
            <w:pPr>
              <w:pStyle w:val="6"/>
              <w:spacing w:before="65" w:line="247" w:lineRule="auto"/>
              <w:ind w:left="50" w:right="53" w:firstLine="34"/>
              <w:rPr>
                <w:sz w:val="20"/>
                <w:szCs w:val="20"/>
              </w:rPr>
            </w:pPr>
            <w:r>
              <w:rPr>
                <w:spacing w:val="11"/>
                <w:sz w:val="20"/>
                <w:szCs w:val="20"/>
              </w:rPr>
              <w:t>桶装，</w:t>
            </w:r>
            <w:r>
              <w:rPr>
                <w:spacing w:val="1"/>
                <w:sz w:val="20"/>
                <w:szCs w:val="20"/>
              </w:rPr>
              <w:t xml:space="preserve"> </w:t>
            </w:r>
            <w:r>
              <w:rPr>
                <w:rFonts w:ascii="Times New Roman" w:hAnsi="Times New Roman" w:eastAsia="Times New Roman" w:cs="Times New Roman"/>
                <w:spacing w:val="6"/>
                <w:sz w:val="20"/>
                <w:szCs w:val="20"/>
              </w:rPr>
              <w:t>25</w:t>
            </w: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w:t>
            </w:r>
            <w:r>
              <w:rPr>
                <w:spacing w:val="6"/>
                <w:sz w:val="20"/>
                <w:szCs w:val="20"/>
              </w:rPr>
              <w:t>桶</w:t>
            </w:r>
          </w:p>
        </w:tc>
        <w:tc>
          <w:tcPr>
            <w:tcW w:w="544" w:type="dxa"/>
            <w:vAlign w:val="top"/>
          </w:tcPr>
          <w:p w14:paraId="1E2B081E">
            <w:pPr>
              <w:spacing w:line="307" w:lineRule="auto"/>
              <w:rPr>
                <w:rFonts w:ascii="Arial"/>
                <w:sz w:val="21"/>
              </w:rPr>
            </w:pPr>
          </w:p>
          <w:p w14:paraId="668DCFE1">
            <w:pPr>
              <w:spacing w:line="307" w:lineRule="auto"/>
              <w:rPr>
                <w:rFonts w:ascii="Arial"/>
                <w:sz w:val="21"/>
              </w:rPr>
            </w:pPr>
          </w:p>
          <w:p w14:paraId="32823CCF">
            <w:pPr>
              <w:spacing w:line="308" w:lineRule="auto"/>
              <w:rPr>
                <w:rFonts w:ascii="Arial"/>
                <w:sz w:val="21"/>
              </w:rPr>
            </w:pPr>
          </w:p>
          <w:p w14:paraId="492A7158">
            <w:pPr>
              <w:pStyle w:val="6"/>
              <w:spacing w:before="65" w:line="252" w:lineRule="auto"/>
              <w:ind w:left="62" w:right="62"/>
              <w:rPr>
                <w:sz w:val="20"/>
                <w:szCs w:val="20"/>
              </w:rPr>
            </w:pPr>
            <w:r>
              <w:rPr>
                <w:spacing w:val="4"/>
                <w:sz w:val="20"/>
                <w:szCs w:val="20"/>
              </w:rPr>
              <w:t>材料堆场</w:t>
            </w:r>
          </w:p>
        </w:tc>
        <w:tc>
          <w:tcPr>
            <w:tcW w:w="2158" w:type="dxa"/>
            <w:vAlign w:val="top"/>
          </w:tcPr>
          <w:p w14:paraId="00D0C84A">
            <w:pPr>
              <w:spacing w:line="245" w:lineRule="auto"/>
              <w:rPr>
                <w:rFonts w:ascii="Arial"/>
                <w:sz w:val="21"/>
              </w:rPr>
            </w:pPr>
          </w:p>
          <w:p w14:paraId="165FD1AE">
            <w:pPr>
              <w:pStyle w:val="6"/>
              <w:spacing w:before="65" w:line="227" w:lineRule="auto"/>
              <w:ind w:left="35"/>
              <w:rPr>
                <w:sz w:val="20"/>
                <w:szCs w:val="20"/>
              </w:rPr>
            </w:pPr>
            <w:r>
              <w:rPr>
                <w:spacing w:val="7"/>
                <w:sz w:val="20"/>
                <w:szCs w:val="20"/>
              </w:rPr>
              <w:t>主要成分为天然沥青、</w:t>
            </w:r>
          </w:p>
          <w:p w14:paraId="553B7446">
            <w:pPr>
              <w:pStyle w:val="6"/>
              <w:spacing w:before="25" w:line="228" w:lineRule="auto"/>
              <w:ind w:left="33"/>
              <w:rPr>
                <w:sz w:val="20"/>
                <w:szCs w:val="20"/>
              </w:rPr>
            </w:pPr>
            <w:r>
              <w:rPr>
                <w:spacing w:val="9"/>
                <w:sz w:val="20"/>
                <w:szCs w:val="20"/>
              </w:rPr>
              <w:t>胶质、石蜡、活性较强</w:t>
            </w:r>
          </w:p>
          <w:p w14:paraId="56147738">
            <w:pPr>
              <w:pStyle w:val="6"/>
              <w:spacing w:before="24" w:line="227" w:lineRule="auto"/>
              <w:ind w:left="51"/>
              <w:rPr>
                <w:sz w:val="20"/>
                <w:szCs w:val="20"/>
              </w:rPr>
            </w:pPr>
            <w:r>
              <w:rPr>
                <w:spacing w:val="7"/>
                <w:sz w:val="20"/>
                <w:szCs w:val="20"/>
              </w:rPr>
              <w:t>的表面活性剂及高分子</w:t>
            </w:r>
          </w:p>
          <w:p w14:paraId="37D2A9AE">
            <w:pPr>
              <w:pStyle w:val="6"/>
              <w:spacing w:before="27" w:line="228" w:lineRule="auto"/>
              <w:ind w:left="34"/>
              <w:rPr>
                <w:sz w:val="20"/>
                <w:szCs w:val="20"/>
              </w:rPr>
            </w:pPr>
            <w:r>
              <w:rPr>
                <w:spacing w:val="8"/>
                <w:sz w:val="20"/>
                <w:szCs w:val="20"/>
              </w:rPr>
              <w:t>化合物；主要成分来自</w:t>
            </w:r>
          </w:p>
          <w:p w14:paraId="7655EB3C">
            <w:pPr>
              <w:pStyle w:val="6"/>
              <w:spacing w:before="26" w:line="228" w:lineRule="auto"/>
              <w:ind w:left="39"/>
              <w:rPr>
                <w:sz w:val="20"/>
                <w:szCs w:val="20"/>
              </w:rPr>
            </w:pPr>
            <w:r>
              <w:rPr>
                <w:spacing w:val="8"/>
                <w:sz w:val="20"/>
                <w:szCs w:val="20"/>
              </w:rPr>
              <w:t>原油，渗入地层后，不</w:t>
            </w:r>
          </w:p>
          <w:p w14:paraId="43C235D1">
            <w:pPr>
              <w:pStyle w:val="6"/>
              <w:spacing w:before="24" w:line="227" w:lineRule="auto"/>
              <w:ind w:left="33"/>
              <w:rPr>
                <w:sz w:val="20"/>
                <w:szCs w:val="20"/>
              </w:rPr>
            </w:pPr>
            <w:r>
              <w:rPr>
                <w:spacing w:val="9"/>
                <w:sz w:val="20"/>
                <w:szCs w:val="20"/>
              </w:rPr>
              <w:t>会与地层发生任何化学</w:t>
            </w:r>
          </w:p>
          <w:p w14:paraId="75375EC7">
            <w:pPr>
              <w:pStyle w:val="6"/>
              <w:spacing w:before="27" w:line="228" w:lineRule="auto"/>
              <w:ind w:left="243"/>
              <w:rPr>
                <w:sz w:val="20"/>
                <w:szCs w:val="20"/>
              </w:rPr>
            </w:pPr>
            <w:r>
              <w:rPr>
                <w:spacing w:val="8"/>
                <w:sz w:val="20"/>
                <w:szCs w:val="20"/>
              </w:rPr>
              <w:t>反应而产生沉淀物</w:t>
            </w:r>
          </w:p>
        </w:tc>
        <w:tc>
          <w:tcPr>
            <w:tcW w:w="2579" w:type="dxa"/>
            <w:tcBorders>
              <w:right w:val="single" w:color="000000" w:sz="6" w:space="0"/>
            </w:tcBorders>
            <w:vAlign w:val="top"/>
          </w:tcPr>
          <w:p w14:paraId="7F724BD5">
            <w:pPr>
              <w:pStyle w:val="6"/>
              <w:spacing w:before="37" w:line="228" w:lineRule="auto"/>
              <w:ind w:left="16"/>
              <w:rPr>
                <w:sz w:val="20"/>
                <w:szCs w:val="20"/>
              </w:rPr>
            </w:pPr>
            <w:r>
              <w:rPr>
                <w:spacing w:val="8"/>
                <w:sz w:val="20"/>
                <w:szCs w:val="20"/>
              </w:rPr>
              <w:t>具有抗盐、抗温、低荧光、</w:t>
            </w:r>
          </w:p>
          <w:p w14:paraId="5A94FE67">
            <w:pPr>
              <w:pStyle w:val="6"/>
              <w:spacing w:before="26" w:line="228" w:lineRule="auto"/>
              <w:ind w:left="86"/>
              <w:rPr>
                <w:sz w:val="20"/>
                <w:szCs w:val="20"/>
              </w:rPr>
            </w:pPr>
            <w:r>
              <w:rPr>
                <w:spacing w:val="9"/>
                <w:sz w:val="20"/>
                <w:szCs w:val="20"/>
              </w:rPr>
              <w:t>环境友好等特点以及原料</w:t>
            </w:r>
          </w:p>
          <w:p w14:paraId="597E8466">
            <w:pPr>
              <w:pStyle w:val="6"/>
              <w:spacing w:before="24" w:line="227" w:lineRule="auto"/>
              <w:ind w:left="12"/>
              <w:rPr>
                <w:sz w:val="20"/>
                <w:szCs w:val="20"/>
              </w:rPr>
            </w:pPr>
            <w:r>
              <w:rPr>
                <w:spacing w:val="4"/>
                <w:sz w:val="20"/>
                <w:szCs w:val="20"/>
              </w:rPr>
              <w:t>来源广泛、合成成本低等优</w:t>
            </w:r>
          </w:p>
          <w:p w14:paraId="6B3D036A">
            <w:pPr>
              <w:pStyle w:val="6"/>
              <w:spacing w:before="27" w:line="228" w:lineRule="auto"/>
              <w:ind w:left="17"/>
              <w:rPr>
                <w:sz w:val="20"/>
                <w:szCs w:val="20"/>
              </w:rPr>
            </w:pPr>
            <w:r>
              <w:rPr>
                <w:spacing w:val="3"/>
                <w:sz w:val="20"/>
                <w:szCs w:val="20"/>
              </w:rPr>
              <w:t>势。能够有效地降低钻井泥</w:t>
            </w:r>
          </w:p>
          <w:p w14:paraId="61F15EC1">
            <w:pPr>
              <w:pStyle w:val="6"/>
              <w:spacing w:before="24" w:line="228" w:lineRule="auto"/>
              <w:ind w:left="12"/>
              <w:rPr>
                <w:sz w:val="20"/>
                <w:szCs w:val="20"/>
              </w:rPr>
            </w:pPr>
            <w:r>
              <w:rPr>
                <w:spacing w:val="4"/>
                <w:sz w:val="20"/>
                <w:szCs w:val="20"/>
              </w:rPr>
              <w:t>浆和钻具间的摩擦阻力，与</w:t>
            </w:r>
          </w:p>
          <w:p w14:paraId="09314B88">
            <w:pPr>
              <w:pStyle w:val="6"/>
              <w:spacing w:before="27" w:line="227" w:lineRule="auto"/>
              <w:ind w:left="88"/>
              <w:rPr>
                <w:sz w:val="20"/>
                <w:szCs w:val="20"/>
              </w:rPr>
            </w:pPr>
            <w:r>
              <w:rPr>
                <w:spacing w:val="8"/>
                <w:sz w:val="20"/>
                <w:szCs w:val="20"/>
              </w:rPr>
              <w:t>各种钻井泥浆添加剂配伍</w:t>
            </w:r>
          </w:p>
          <w:p w14:paraId="0E9ADF91">
            <w:pPr>
              <w:pStyle w:val="6"/>
              <w:spacing w:before="25" w:line="227" w:lineRule="auto"/>
              <w:ind w:left="14"/>
              <w:rPr>
                <w:sz w:val="20"/>
                <w:szCs w:val="20"/>
              </w:rPr>
            </w:pPr>
            <w:r>
              <w:rPr>
                <w:spacing w:val="4"/>
                <w:sz w:val="20"/>
                <w:szCs w:val="20"/>
              </w:rPr>
              <w:t>性好，减轻了钻机负荷，可</w:t>
            </w:r>
          </w:p>
          <w:p w14:paraId="2770AC80">
            <w:pPr>
              <w:pStyle w:val="6"/>
              <w:spacing w:before="28" w:line="228" w:lineRule="auto"/>
              <w:ind w:left="12"/>
              <w:rPr>
                <w:sz w:val="20"/>
                <w:szCs w:val="20"/>
              </w:rPr>
            </w:pPr>
            <w:r>
              <w:rPr>
                <w:spacing w:val="4"/>
                <w:sz w:val="20"/>
                <w:szCs w:val="20"/>
              </w:rPr>
              <w:t>满足深井、大位移井、水平</w:t>
            </w:r>
          </w:p>
          <w:p w14:paraId="192497BD">
            <w:pPr>
              <w:pStyle w:val="6"/>
              <w:spacing w:before="24" w:line="208" w:lineRule="auto"/>
              <w:ind w:left="297"/>
              <w:rPr>
                <w:sz w:val="20"/>
                <w:szCs w:val="20"/>
              </w:rPr>
            </w:pPr>
            <w:r>
              <w:rPr>
                <w:spacing w:val="7"/>
                <w:sz w:val="20"/>
                <w:szCs w:val="20"/>
              </w:rPr>
              <w:t>井等钻井作业要求。</w:t>
            </w:r>
          </w:p>
        </w:tc>
      </w:tr>
      <w:tr w14:paraId="502453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466" w:type="dxa"/>
            <w:vMerge w:val="continue"/>
            <w:tcBorders>
              <w:top w:val="nil"/>
              <w:left w:val="single" w:color="000000" w:sz="6" w:space="0"/>
              <w:bottom w:val="single" w:color="000000" w:sz="6" w:space="0"/>
              <w:right w:val="single" w:color="000000" w:sz="2" w:space="0"/>
            </w:tcBorders>
            <w:vAlign w:val="top"/>
          </w:tcPr>
          <w:p w14:paraId="009E2E2C">
            <w:pPr>
              <w:rPr>
                <w:rFonts w:ascii="Arial"/>
                <w:sz w:val="21"/>
              </w:rPr>
            </w:pPr>
          </w:p>
        </w:tc>
        <w:tc>
          <w:tcPr>
            <w:tcW w:w="1175" w:type="dxa"/>
            <w:tcBorders>
              <w:left w:val="single" w:color="000000" w:sz="2" w:space="0"/>
              <w:bottom w:val="single" w:color="000000" w:sz="6" w:space="0"/>
            </w:tcBorders>
            <w:vAlign w:val="top"/>
          </w:tcPr>
          <w:p w14:paraId="3E374F1F">
            <w:pPr>
              <w:pStyle w:val="6"/>
              <w:spacing w:before="42" w:line="227" w:lineRule="auto"/>
              <w:ind w:right="14"/>
              <w:jc w:val="right"/>
              <w:rPr>
                <w:sz w:val="20"/>
                <w:szCs w:val="20"/>
              </w:rPr>
            </w:pPr>
            <w:r>
              <w:rPr>
                <w:spacing w:val="5"/>
                <w:sz w:val="20"/>
                <w:szCs w:val="20"/>
              </w:rPr>
              <w:t>防塌封堵剂</w:t>
            </w:r>
          </w:p>
          <w:p w14:paraId="305CBCA9">
            <w:pPr>
              <w:pStyle w:val="6"/>
              <w:spacing w:before="27" w:line="215" w:lineRule="auto"/>
              <w:ind w:right="18"/>
              <w:jc w:val="right"/>
              <w:rPr>
                <w:sz w:val="20"/>
                <w:szCs w:val="20"/>
              </w:rPr>
            </w:pPr>
            <w:r>
              <w:rPr>
                <w:spacing w:val="6"/>
                <w:sz w:val="20"/>
                <w:szCs w:val="20"/>
              </w:rPr>
              <w:t>聚合腐植酸</w:t>
            </w:r>
          </w:p>
        </w:tc>
        <w:tc>
          <w:tcPr>
            <w:tcW w:w="638" w:type="dxa"/>
            <w:tcBorders>
              <w:bottom w:val="single" w:color="000000" w:sz="6" w:space="0"/>
            </w:tcBorders>
            <w:vAlign w:val="top"/>
          </w:tcPr>
          <w:p w14:paraId="7AF4B3E5">
            <w:pPr>
              <w:spacing w:before="215" w:line="195" w:lineRule="auto"/>
              <w:ind w:left="22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559" w:type="dxa"/>
            <w:tcBorders>
              <w:bottom w:val="single" w:color="000000" w:sz="6" w:space="0"/>
            </w:tcBorders>
            <w:vAlign w:val="top"/>
          </w:tcPr>
          <w:p w14:paraId="510342E2">
            <w:pPr>
              <w:spacing w:before="215" w:line="195" w:lineRule="auto"/>
              <w:ind w:left="22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796" w:type="dxa"/>
            <w:tcBorders>
              <w:bottom w:val="single" w:color="000000" w:sz="6" w:space="0"/>
            </w:tcBorders>
            <w:vAlign w:val="top"/>
          </w:tcPr>
          <w:p w14:paraId="72A31F8F">
            <w:pPr>
              <w:pStyle w:val="6"/>
              <w:spacing w:before="42" w:line="234" w:lineRule="auto"/>
              <w:ind w:left="50" w:right="53" w:firstLine="32"/>
              <w:rPr>
                <w:sz w:val="20"/>
                <w:szCs w:val="20"/>
              </w:rPr>
            </w:pPr>
            <w:r>
              <w:rPr>
                <w:spacing w:val="12"/>
                <w:sz w:val="20"/>
                <w:szCs w:val="20"/>
              </w:rPr>
              <w:t>袋装，</w:t>
            </w:r>
            <w:r>
              <w:rPr>
                <w:sz w:val="20"/>
                <w:szCs w:val="20"/>
              </w:rPr>
              <w:t xml:space="preserve"> </w:t>
            </w:r>
            <w:r>
              <w:rPr>
                <w:rFonts w:ascii="Times New Roman" w:hAnsi="Times New Roman" w:eastAsia="Times New Roman" w:cs="Times New Roman"/>
                <w:spacing w:val="6"/>
                <w:sz w:val="20"/>
                <w:szCs w:val="20"/>
              </w:rPr>
              <w:t>25</w:t>
            </w: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w:t>
            </w:r>
            <w:r>
              <w:rPr>
                <w:spacing w:val="6"/>
                <w:sz w:val="20"/>
                <w:szCs w:val="20"/>
              </w:rPr>
              <w:t>袋</w:t>
            </w:r>
          </w:p>
        </w:tc>
        <w:tc>
          <w:tcPr>
            <w:tcW w:w="544" w:type="dxa"/>
            <w:tcBorders>
              <w:bottom w:val="single" w:color="000000" w:sz="6" w:space="0"/>
            </w:tcBorders>
            <w:vAlign w:val="top"/>
          </w:tcPr>
          <w:p w14:paraId="195C185C">
            <w:pPr>
              <w:pStyle w:val="6"/>
              <w:spacing w:before="42" w:line="227" w:lineRule="auto"/>
              <w:ind w:left="62"/>
              <w:rPr>
                <w:sz w:val="20"/>
                <w:szCs w:val="20"/>
              </w:rPr>
            </w:pPr>
            <w:r>
              <w:rPr>
                <w:spacing w:val="4"/>
                <w:sz w:val="20"/>
                <w:szCs w:val="20"/>
              </w:rPr>
              <w:t>材料</w:t>
            </w:r>
          </w:p>
          <w:p w14:paraId="25E9B743">
            <w:pPr>
              <w:pStyle w:val="6"/>
              <w:spacing w:before="27" w:line="215" w:lineRule="auto"/>
              <w:ind w:left="62"/>
              <w:rPr>
                <w:sz w:val="20"/>
                <w:szCs w:val="20"/>
              </w:rPr>
            </w:pPr>
            <w:r>
              <w:rPr>
                <w:spacing w:val="4"/>
                <w:sz w:val="20"/>
                <w:szCs w:val="20"/>
              </w:rPr>
              <w:t>堆场</w:t>
            </w:r>
          </w:p>
        </w:tc>
        <w:tc>
          <w:tcPr>
            <w:tcW w:w="2158" w:type="dxa"/>
            <w:tcBorders>
              <w:bottom w:val="single" w:color="000000" w:sz="6" w:space="0"/>
            </w:tcBorders>
            <w:vAlign w:val="top"/>
          </w:tcPr>
          <w:p w14:paraId="411E499F">
            <w:pPr>
              <w:pStyle w:val="6"/>
              <w:spacing w:before="42" w:line="234" w:lineRule="auto"/>
              <w:ind w:left="51" w:right="24" w:hanging="13"/>
              <w:rPr>
                <w:sz w:val="20"/>
                <w:szCs w:val="20"/>
              </w:rPr>
            </w:pPr>
            <w:r>
              <w:rPr>
                <w:spacing w:val="8"/>
                <w:sz w:val="20"/>
                <w:szCs w:val="20"/>
              </w:rPr>
              <w:t>外观为黑色颗粒或粉状</w:t>
            </w:r>
            <w:r>
              <w:rPr>
                <w:spacing w:val="7"/>
                <w:sz w:val="20"/>
                <w:szCs w:val="20"/>
              </w:rPr>
              <w:t>固体，是由褐煤精细选</w:t>
            </w:r>
          </w:p>
        </w:tc>
        <w:tc>
          <w:tcPr>
            <w:tcW w:w="2579" w:type="dxa"/>
            <w:tcBorders>
              <w:bottom w:val="single" w:color="000000" w:sz="6" w:space="0"/>
              <w:right w:val="single" w:color="000000" w:sz="6" w:space="0"/>
            </w:tcBorders>
            <w:vAlign w:val="top"/>
          </w:tcPr>
          <w:p w14:paraId="58E0CD21">
            <w:pPr>
              <w:pStyle w:val="6"/>
              <w:spacing w:before="42" w:line="234" w:lineRule="auto"/>
              <w:ind w:left="94" w:right="93" w:hanging="83"/>
              <w:rPr>
                <w:sz w:val="20"/>
                <w:szCs w:val="20"/>
              </w:rPr>
            </w:pPr>
            <w:r>
              <w:rPr>
                <w:spacing w:val="5"/>
                <w:sz w:val="20"/>
                <w:szCs w:val="20"/>
              </w:rPr>
              <w:t>在高于浊点温度的条件下，</w:t>
            </w:r>
            <w:r>
              <w:rPr>
                <w:spacing w:val="8"/>
                <w:sz w:val="20"/>
                <w:szCs w:val="20"/>
              </w:rPr>
              <w:t>聚合醇分子聚集到不同物</w:t>
            </w:r>
          </w:p>
        </w:tc>
      </w:tr>
    </w:tbl>
    <w:p w14:paraId="251D4F29">
      <w:pPr>
        <w:rPr>
          <w:rFonts w:ascii="Arial"/>
          <w:sz w:val="21"/>
        </w:rPr>
      </w:pPr>
    </w:p>
    <w:p w14:paraId="0CEF40F2">
      <w:pPr>
        <w:rPr>
          <w:rFonts w:ascii="Arial" w:hAnsi="Arial" w:eastAsia="Arial" w:cs="Arial"/>
          <w:sz w:val="21"/>
          <w:szCs w:val="21"/>
        </w:rPr>
        <w:sectPr>
          <w:footerReference r:id="rId35" w:type="default"/>
          <w:pgSz w:w="11906" w:h="16839"/>
          <w:pgMar w:top="400" w:right="1403" w:bottom="1240" w:left="1572" w:header="0" w:footer="1078" w:gutter="0"/>
          <w:cols w:space="720" w:num="1"/>
        </w:sectPr>
      </w:pPr>
    </w:p>
    <w:p w14:paraId="067CE1E3">
      <w:pPr>
        <w:spacing w:before="56"/>
      </w:pPr>
    </w:p>
    <w:p w14:paraId="206FF09D">
      <w:pPr>
        <w:spacing w:before="56"/>
      </w:pPr>
    </w:p>
    <w:p w14:paraId="0A2505C6">
      <w:pPr>
        <w:spacing w:before="55"/>
      </w:pPr>
    </w:p>
    <w:p w14:paraId="503A7F05">
      <w:pPr>
        <w:spacing w:before="55"/>
      </w:pPr>
    </w:p>
    <w:tbl>
      <w:tblPr>
        <w:tblStyle w:val="5"/>
        <w:tblW w:w="8915"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6"/>
        <w:gridCol w:w="1175"/>
        <w:gridCol w:w="576"/>
        <w:gridCol w:w="62"/>
        <w:gridCol w:w="559"/>
        <w:gridCol w:w="796"/>
        <w:gridCol w:w="228"/>
        <w:gridCol w:w="316"/>
        <w:gridCol w:w="931"/>
        <w:gridCol w:w="1185"/>
        <w:gridCol w:w="2621"/>
      </w:tblGrid>
      <w:tr w14:paraId="5A04F4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1" w:hRule="atLeast"/>
        </w:trPr>
        <w:tc>
          <w:tcPr>
            <w:tcW w:w="466" w:type="dxa"/>
            <w:vMerge w:val="restart"/>
            <w:tcBorders>
              <w:top w:val="single" w:color="000000" w:sz="6" w:space="0"/>
              <w:left w:val="single" w:color="000000" w:sz="6" w:space="0"/>
              <w:bottom w:val="nil"/>
              <w:right w:val="single" w:color="000000" w:sz="2" w:space="0"/>
            </w:tcBorders>
            <w:vAlign w:val="top"/>
          </w:tcPr>
          <w:p w14:paraId="23599668">
            <w:pPr>
              <w:rPr>
                <w:rFonts w:ascii="Arial"/>
                <w:sz w:val="21"/>
              </w:rPr>
            </w:pPr>
          </w:p>
        </w:tc>
        <w:tc>
          <w:tcPr>
            <w:tcW w:w="1175" w:type="dxa"/>
            <w:tcBorders>
              <w:top w:val="single" w:color="000000" w:sz="6" w:space="0"/>
              <w:left w:val="single" w:color="000000" w:sz="2" w:space="0"/>
            </w:tcBorders>
            <w:vAlign w:val="top"/>
          </w:tcPr>
          <w:p w14:paraId="3BE47885">
            <w:pPr>
              <w:spacing w:before="61" w:line="195" w:lineRule="auto"/>
              <w:ind w:left="5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SN</w:t>
            </w:r>
          </w:p>
        </w:tc>
        <w:tc>
          <w:tcPr>
            <w:tcW w:w="638" w:type="dxa"/>
            <w:gridSpan w:val="2"/>
            <w:tcBorders>
              <w:top w:val="single" w:color="000000" w:sz="6" w:space="0"/>
            </w:tcBorders>
            <w:vAlign w:val="top"/>
          </w:tcPr>
          <w:p w14:paraId="1697370A">
            <w:pPr>
              <w:rPr>
                <w:rFonts w:ascii="Arial"/>
                <w:sz w:val="21"/>
              </w:rPr>
            </w:pPr>
          </w:p>
        </w:tc>
        <w:tc>
          <w:tcPr>
            <w:tcW w:w="559" w:type="dxa"/>
            <w:tcBorders>
              <w:top w:val="single" w:color="000000" w:sz="6" w:space="0"/>
            </w:tcBorders>
            <w:vAlign w:val="top"/>
          </w:tcPr>
          <w:p w14:paraId="26B12B1F">
            <w:pPr>
              <w:rPr>
                <w:rFonts w:ascii="Arial"/>
                <w:sz w:val="21"/>
              </w:rPr>
            </w:pPr>
          </w:p>
        </w:tc>
        <w:tc>
          <w:tcPr>
            <w:tcW w:w="796" w:type="dxa"/>
            <w:tcBorders>
              <w:top w:val="single" w:color="000000" w:sz="6" w:space="0"/>
            </w:tcBorders>
            <w:vAlign w:val="top"/>
          </w:tcPr>
          <w:p w14:paraId="68636BD8">
            <w:pPr>
              <w:rPr>
                <w:rFonts w:ascii="Arial"/>
                <w:sz w:val="21"/>
              </w:rPr>
            </w:pPr>
          </w:p>
        </w:tc>
        <w:tc>
          <w:tcPr>
            <w:tcW w:w="544" w:type="dxa"/>
            <w:gridSpan w:val="2"/>
            <w:tcBorders>
              <w:top w:val="single" w:color="000000" w:sz="6" w:space="0"/>
            </w:tcBorders>
            <w:vAlign w:val="top"/>
          </w:tcPr>
          <w:p w14:paraId="522F1DB5">
            <w:pPr>
              <w:rPr>
                <w:rFonts w:ascii="Arial"/>
                <w:sz w:val="21"/>
              </w:rPr>
            </w:pPr>
          </w:p>
        </w:tc>
        <w:tc>
          <w:tcPr>
            <w:tcW w:w="2116" w:type="dxa"/>
            <w:gridSpan w:val="2"/>
            <w:tcBorders>
              <w:top w:val="single" w:color="000000" w:sz="6" w:space="0"/>
            </w:tcBorders>
            <w:vAlign w:val="top"/>
          </w:tcPr>
          <w:p w14:paraId="63EADA0A">
            <w:pPr>
              <w:pStyle w:val="6"/>
              <w:spacing w:before="42" w:line="228" w:lineRule="auto"/>
              <w:ind w:left="69"/>
              <w:rPr>
                <w:sz w:val="20"/>
                <w:szCs w:val="20"/>
              </w:rPr>
            </w:pPr>
            <w:r>
              <w:rPr>
                <w:spacing w:val="16"/>
                <w:sz w:val="20"/>
                <w:szCs w:val="20"/>
              </w:rPr>
              <w:t>后用</w:t>
            </w:r>
            <w:r>
              <w:rPr>
                <w:rFonts w:ascii="Times New Roman" w:hAnsi="Times New Roman" w:eastAsia="Times New Roman" w:cs="Times New Roman"/>
                <w:sz w:val="20"/>
                <w:szCs w:val="20"/>
              </w:rPr>
              <w:t>KOH</w:t>
            </w:r>
            <w:r>
              <w:rPr>
                <w:rFonts w:ascii="Times New Roman" w:hAnsi="Times New Roman" w:eastAsia="Times New Roman" w:cs="Times New Roman"/>
                <w:spacing w:val="16"/>
                <w:sz w:val="20"/>
                <w:szCs w:val="20"/>
              </w:rPr>
              <w:t xml:space="preserve"> </w:t>
            </w:r>
            <w:r>
              <w:rPr>
                <w:spacing w:val="16"/>
                <w:sz w:val="20"/>
                <w:szCs w:val="20"/>
              </w:rPr>
              <w:t>液体反应提</w:t>
            </w:r>
          </w:p>
          <w:p w14:paraId="2772A730">
            <w:pPr>
              <w:pStyle w:val="6"/>
              <w:spacing w:before="23" w:line="228" w:lineRule="auto"/>
              <w:jc w:val="right"/>
              <w:rPr>
                <w:sz w:val="20"/>
                <w:szCs w:val="20"/>
              </w:rPr>
            </w:pPr>
            <w:r>
              <w:rPr>
                <w:spacing w:val="3"/>
                <w:sz w:val="20"/>
                <w:szCs w:val="20"/>
              </w:rPr>
              <w:t>取后的产物，溶于水，</w:t>
            </w:r>
          </w:p>
          <w:p w14:paraId="077C78F1">
            <w:pPr>
              <w:pStyle w:val="6"/>
              <w:spacing w:before="24" w:line="228" w:lineRule="auto"/>
              <w:jc w:val="right"/>
              <w:rPr>
                <w:sz w:val="20"/>
                <w:szCs w:val="20"/>
              </w:rPr>
            </w:pPr>
            <w:r>
              <w:rPr>
                <w:spacing w:val="7"/>
                <w:sz w:val="20"/>
                <w:szCs w:val="20"/>
              </w:rPr>
              <w:t>呈碱性，含有羧基、酚</w:t>
            </w:r>
          </w:p>
          <w:p w14:paraId="4EB7BCC8">
            <w:pPr>
              <w:pStyle w:val="6"/>
              <w:spacing w:before="26" w:line="228" w:lineRule="auto"/>
              <w:jc w:val="right"/>
              <w:rPr>
                <w:sz w:val="20"/>
                <w:szCs w:val="20"/>
              </w:rPr>
            </w:pPr>
            <w:r>
              <w:rPr>
                <w:spacing w:val="7"/>
                <w:sz w:val="20"/>
                <w:szCs w:val="20"/>
              </w:rPr>
              <w:t>羟基等活性基团。腐植</w:t>
            </w:r>
          </w:p>
          <w:p w14:paraId="05B05677">
            <w:pPr>
              <w:pStyle w:val="6"/>
              <w:spacing w:before="24" w:line="227" w:lineRule="auto"/>
              <w:jc w:val="right"/>
              <w:rPr>
                <w:sz w:val="20"/>
                <w:szCs w:val="20"/>
              </w:rPr>
            </w:pPr>
            <w:r>
              <w:rPr>
                <w:spacing w:val="-1"/>
                <w:sz w:val="20"/>
                <w:szCs w:val="20"/>
              </w:rPr>
              <w:t>酸（干基计）</w:t>
            </w:r>
            <w:r>
              <w:rPr>
                <w:rFonts w:ascii="Times New Roman" w:hAnsi="Times New Roman" w:eastAsia="Times New Roman" w:cs="Times New Roman"/>
                <w:spacing w:val="-1"/>
                <w:sz w:val="20"/>
                <w:szCs w:val="20"/>
              </w:rPr>
              <w:t>≥55%</w:t>
            </w:r>
            <w:r>
              <w:rPr>
                <w:rFonts w:ascii="Times New Roman" w:hAnsi="Times New Roman" w:eastAsia="Times New Roman" w:cs="Times New Roman"/>
                <w:spacing w:val="-21"/>
                <w:sz w:val="20"/>
                <w:szCs w:val="20"/>
              </w:rPr>
              <w:t xml:space="preserve"> </w:t>
            </w:r>
            <w:r>
              <w:rPr>
                <w:spacing w:val="-1"/>
                <w:sz w:val="20"/>
                <w:szCs w:val="20"/>
              </w:rPr>
              <w:t>，钾</w:t>
            </w:r>
          </w:p>
          <w:p w14:paraId="0D5695F8">
            <w:pPr>
              <w:pStyle w:val="6"/>
              <w:spacing w:before="28" w:line="227" w:lineRule="auto"/>
              <w:jc w:val="right"/>
              <w:rPr>
                <w:sz w:val="20"/>
                <w:szCs w:val="20"/>
              </w:rPr>
            </w:pPr>
            <w:r>
              <w:rPr>
                <w:spacing w:val="-5"/>
                <w:sz w:val="20"/>
                <w:szCs w:val="20"/>
              </w:rPr>
              <w:t>（</w:t>
            </w:r>
            <w:r>
              <w:rPr>
                <w:rFonts w:ascii="Times New Roman" w:hAnsi="Times New Roman" w:eastAsia="Times New Roman" w:cs="Times New Roman"/>
                <w:spacing w:val="-5"/>
                <w:sz w:val="20"/>
                <w:szCs w:val="20"/>
              </w:rPr>
              <w:t>K</w:t>
            </w:r>
            <w:r>
              <w:rPr>
                <w:rFonts w:ascii="Times New Roman" w:hAnsi="Times New Roman" w:eastAsia="Times New Roman" w:cs="Times New Roman"/>
                <w:spacing w:val="-5"/>
                <w:position w:val="-1"/>
                <w:sz w:val="13"/>
                <w:szCs w:val="13"/>
              </w:rPr>
              <w:t>2</w:t>
            </w:r>
            <w:r>
              <w:rPr>
                <w:rFonts w:ascii="Times New Roman" w:hAnsi="Times New Roman" w:eastAsia="Times New Roman" w:cs="Times New Roman"/>
                <w:spacing w:val="-5"/>
                <w:sz w:val="20"/>
                <w:szCs w:val="20"/>
              </w:rPr>
              <w:t xml:space="preserve">O </w:t>
            </w:r>
            <w:r>
              <w:rPr>
                <w:spacing w:val="-5"/>
                <w:sz w:val="20"/>
                <w:szCs w:val="20"/>
              </w:rPr>
              <w:t>干基计）</w:t>
            </w:r>
            <w:r>
              <w:rPr>
                <w:rFonts w:ascii="Times New Roman" w:hAnsi="Times New Roman" w:eastAsia="Times New Roman" w:cs="Times New Roman"/>
                <w:spacing w:val="-5"/>
                <w:sz w:val="20"/>
                <w:szCs w:val="20"/>
              </w:rPr>
              <w:t>8-</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pacing w:val="-5"/>
                <w:sz w:val="20"/>
                <w:szCs w:val="20"/>
              </w:rPr>
              <w:t>11%</w:t>
            </w:r>
            <w:r>
              <w:rPr>
                <w:spacing w:val="-5"/>
                <w:sz w:val="20"/>
                <w:szCs w:val="20"/>
              </w:rPr>
              <w:t>，</w:t>
            </w:r>
          </w:p>
          <w:p w14:paraId="74EA1155">
            <w:pPr>
              <w:pStyle w:val="6"/>
              <w:spacing w:before="25" w:line="218" w:lineRule="auto"/>
              <w:ind w:left="332"/>
              <w:rPr>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pacing w:val="2"/>
                <w:sz w:val="20"/>
                <w:szCs w:val="20"/>
              </w:rPr>
              <w:t xml:space="preserve"> </w:t>
            </w:r>
            <w:r>
              <w:rPr>
                <w:spacing w:val="2"/>
                <w:sz w:val="20"/>
                <w:szCs w:val="20"/>
              </w:rPr>
              <w:t>值</w:t>
            </w:r>
            <w:r>
              <w:rPr>
                <w:spacing w:val="-35"/>
                <w:sz w:val="20"/>
                <w:szCs w:val="20"/>
              </w:rPr>
              <w:t xml:space="preserve"> </w:t>
            </w:r>
            <w:r>
              <w:rPr>
                <w:rFonts w:ascii="Times New Roman" w:hAnsi="Times New Roman" w:eastAsia="Times New Roman" w:cs="Times New Roman"/>
                <w:spacing w:val="2"/>
                <w:sz w:val="20"/>
                <w:szCs w:val="20"/>
              </w:rPr>
              <w:t>9.0-</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pacing w:val="2"/>
                <w:sz w:val="20"/>
                <w:szCs w:val="20"/>
              </w:rPr>
              <w:t>10.0</w:t>
            </w:r>
            <w:r>
              <w:rPr>
                <w:spacing w:val="2"/>
                <w:sz w:val="20"/>
                <w:szCs w:val="20"/>
              </w:rPr>
              <w:t>。</w:t>
            </w:r>
          </w:p>
        </w:tc>
        <w:tc>
          <w:tcPr>
            <w:tcW w:w="2621" w:type="dxa"/>
            <w:tcBorders>
              <w:top w:val="single" w:color="000000" w:sz="6" w:space="0"/>
              <w:right w:val="single" w:color="000000" w:sz="6" w:space="0"/>
            </w:tcBorders>
            <w:vAlign w:val="top"/>
          </w:tcPr>
          <w:p w14:paraId="14AE694F">
            <w:pPr>
              <w:pStyle w:val="6"/>
              <w:spacing w:before="44" w:line="251" w:lineRule="auto"/>
              <w:ind w:left="54" w:right="34" w:firstLine="7"/>
              <w:jc w:val="both"/>
              <w:rPr>
                <w:sz w:val="20"/>
                <w:szCs w:val="20"/>
              </w:rPr>
            </w:pPr>
            <w:r>
              <w:rPr>
                <w:spacing w:val="3"/>
                <w:sz w:val="20"/>
                <w:szCs w:val="20"/>
              </w:rPr>
              <w:t>象的分界处，钻井泥浆中析</w:t>
            </w:r>
            <w:r>
              <w:rPr>
                <w:spacing w:val="-7"/>
                <w:sz w:val="20"/>
                <w:szCs w:val="20"/>
              </w:rPr>
              <w:t>出，吸附于钻井岩屑、岩石、</w:t>
            </w:r>
            <w:r>
              <w:rPr>
                <w:spacing w:val="4"/>
                <w:sz w:val="20"/>
                <w:szCs w:val="20"/>
              </w:rPr>
              <w:t>井壁表面，形成类似油相的分子膜，改善钻井泥浆的润</w:t>
            </w:r>
            <w:r>
              <w:rPr>
                <w:spacing w:val="8"/>
                <w:sz w:val="20"/>
                <w:szCs w:val="20"/>
              </w:rPr>
              <w:t>滑性能，降低钻具的摩擦。</w:t>
            </w:r>
          </w:p>
        </w:tc>
      </w:tr>
      <w:tr w14:paraId="764163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3" w:hRule="atLeast"/>
        </w:trPr>
        <w:tc>
          <w:tcPr>
            <w:tcW w:w="466" w:type="dxa"/>
            <w:vMerge w:val="continue"/>
            <w:tcBorders>
              <w:top w:val="nil"/>
              <w:left w:val="single" w:color="000000" w:sz="6" w:space="0"/>
              <w:bottom w:val="nil"/>
              <w:right w:val="single" w:color="000000" w:sz="2" w:space="0"/>
            </w:tcBorders>
            <w:vAlign w:val="top"/>
          </w:tcPr>
          <w:p w14:paraId="7C05E75B">
            <w:pPr>
              <w:rPr>
                <w:rFonts w:ascii="Arial"/>
                <w:sz w:val="21"/>
              </w:rPr>
            </w:pPr>
          </w:p>
        </w:tc>
        <w:tc>
          <w:tcPr>
            <w:tcW w:w="1175" w:type="dxa"/>
            <w:tcBorders>
              <w:left w:val="single" w:color="000000" w:sz="2" w:space="0"/>
              <w:bottom w:val="single" w:color="000000" w:sz="10" w:space="0"/>
            </w:tcBorders>
            <w:vAlign w:val="top"/>
          </w:tcPr>
          <w:p w14:paraId="0DB6FBF1">
            <w:pPr>
              <w:spacing w:line="371" w:lineRule="auto"/>
              <w:rPr>
                <w:rFonts w:ascii="Arial"/>
                <w:sz w:val="21"/>
              </w:rPr>
            </w:pPr>
          </w:p>
          <w:p w14:paraId="424A630C">
            <w:pPr>
              <w:pStyle w:val="6"/>
              <w:spacing w:before="65" w:line="258" w:lineRule="auto"/>
              <w:ind w:left="153" w:right="63" w:firstLine="65"/>
              <w:rPr>
                <w:sz w:val="20"/>
                <w:szCs w:val="20"/>
              </w:rPr>
            </w:pPr>
            <w:r>
              <w:rPr>
                <w:spacing w:val="7"/>
                <w:sz w:val="20"/>
                <w:szCs w:val="20"/>
              </w:rPr>
              <w:t>重晶石粉</w:t>
            </w:r>
            <w:r>
              <w:rPr>
                <w:spacing w:val="2"/>
                <w:sz w:val="20"/>
                <w:szCs w:val="20"/>
              </w:rPr>
              <w:t>（</w:t>
            </w:r>
            <w:r>
              <w:rPr>
                <w:rFonts w:ascii="Times New Roman" w:hAnsi="Times New Roman" w:eastAsia="Times New Roman" w:cs="Times New Roman"/>
                <w:sz w:val="20"/>
                <w:szCs w:val="20"/>
              </w:rPr>
              <w:t>BaSO</w:t>
            </w:r>
            <w:r>
              <w:rPr>
                <w:rFonts w:ascii="Times New Roman" w:hAnsi="Times New Roman" w:eastAsia="Times New Roman" w:cs="Times New Roman"/>
                <w:spacing w:val="2"/>
                <w:sz w:val="13"/>
                <w:szCs w:val="13"/>
              </w:rPr>
              <w:t>4</w:t>
            </w:r>
            <w:r>
              <w:rPr>
                <w:spacing w:val="2"/>
                <w:sz w:val="20"/>
                <w:szCs w:val="20"/>
              </w:rPr>
              <w:t>）</w:t>
            </w:r>
          </w:p>
        </w:tc>
        <w:tc>
          <w:tcPr>
            <w:tcW w:w="638" w:type="dxa"/>
            <w:gridSpan w:val="2"/>
            <w:tcBorders>
              <w:bottom w:val="single" w:color="000000" w:sz="10" w:space="0"/>
            </w:tcBorders>
            <w:vAlign w:val="top"/>
          </w:tcPr>
          <w:p w14:paraId="1FED1239">
            <w:pPr>
              <w:spacing w:line="275" w:lineRule="auto"/>
              <w:rPr>
                <w:rFonts w:ascii="Arial"/>
                <w:sz w:val="21"/>
              </w:rPr>
            </w:pPr>
          </w:p>
          <w:p w14:paraId="685DC638">
            <w:pPr>
              <w:spacing w:line="276" w:lineRule="auto"/>
              <w:rPr>
                <w:rFonts w:ascii="Arial"/>
                <w:sz w:val="21"/>
              </w:rPr>
            </w:pPr>
          </w:p>
          <w:p w14:paraId="61BF523F">
            <w:pPr>
              <w:spacing w:before="57"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330</w:t>
            </w:r>
          </w:p>
        </w:tc>
        <w:tc>
          <w:tcPr>
            <w:tcW w:w="559" w:type="dxa"/>
            <w:tcBorders>
              <w:bottom w:val="single" w:color="000000" w:sz="10" w:space="0"/>
            </w:tcBorders>
            <w:vAlign w:val="top"/>
          </w:tcPr>
          <w:p w14:paraId="53FE12AF">
            <w:pPr>
              <w:spacing w:line="275" w:lineRule="auto"/>
              <w:rPr>
                <w:rFonts w:ascii="Arial"/>
                <w:sz w:val="21"/>
              </w:rPr>
            </w:pPr>
          </w:p>
          <w:p w14:paraId="7E9AA7B3">
            <w:pPr>
              <w:spacing w:line="276" w:lineRule="auto"/>
              <w:rPr>
                <w:rFonts w:ascii="Arial"/>
                <w:sz w:val="21"/>
              </w:rPr>
            </w:pPr>
          </w:p>
          <w:p w14:paraId="09A274A8">
            <w:pPr>
              <w:spacing w:before="57" w:line="195" w:lineRule="auto"/>
              <w:ind w:left="1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796" w:type="dxa"/>
            <w:tcBorders>
              <w:bottom w:val="single" w:color="000000" w:sz="10" w:space="0"/>
            </w:tcBorders>
            <w:vAlign w:val="top"/>
          </w:tcPr>
          <w:p w14:paraId="12A804B2">
            <w:pPr>
              <w:spacing w:line="371" w:lineRule="auto"/>
              <w:rPr>
                <w:rFonts w:ascii="Arial"/>
                <w:sz w:val="21"/>
              </w:rPr>
            </w:pPr>
          </w:p>
          <w:p w14:paraId="641BDC05">
            <w:pPr>
              <w:pStyle w:val="6"/>
              <w:spacing w:before="65" w:line="247" w:lineRule="auto"/>
              <w:ind w:left="50" w:right="53" w:firstLine="32"/>
              <w:rPr>
                <w:sz w:val="20"/>
                <w:szCs w:val="20"/>
              </w:rPr>
            </w:pPr>
            <w:r>
              <w:rPr>
                <w:spacing w:val="12"/>
                <w:sz w:val="20"/>
                <w:szCs w:val="20"/>
              </w:rPr>
              <w:t>袋装，</w:t>
            </w:r>
            <w:r>
              <w:rPr>
                <w:sz w:val="20"/>
                <w:szCs w:val="20"/>
              </w:rPr>
              <w:t xml:space="preserve"> </w:t>
            </w:r>
            <w:r>
              <w:rPr>
                <w:rFonts w:ascii="Times New Roman" w:hAnsi="Times New Roman" w:eastAsia="Times New Roman" w:cs="Times New Roman"/>
                <w:spacing w:val="6"/>
                <w:sz w:val="20"/>
                <w:szCs w:val="20"/>
              </w:rPr>
              <w:t>25</w:t>
            </w: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w:t>
            </w:r>
            <w:r>
              <w:rPr>
                <w:spacing w:val="6"/>
                <w:sz w:val="20"/>
                <w:szCs w:val="20"/>
              </w:rPr>
              <w:t>袋</w:t>
            </w:r>
          </w:p>
        </w:tc>
        <w:tc>
          <w:tcPr>
            <w:tcW w:w="544" w:type="dxa"/>
            <w:gridSpan w:val="2"/>
            <w:tcBorders>
              <w:bottom w:val="single" w:color="000000" w:sz="10" w:space="0"/>
            </w:tcBorders>
            <w:vAlign w:val="top"/>
          </w:tcPr>
          <w:p w14:paraId="22165F98">
            <w:pPr>
              <w:spacing w:line="372" w:lineRule="auto"/>
              <w:rPr>
                <w:rFonts w:ascii="Arial"/>
                <w:sz w:val="21"/>
              </w:rPr>
            </w:pPr>
          </w:p>
          <w:p w14:paraId="77A01AD0">
            <w:pPr>
              <w:pStyle w:val="6"/>
              <w:spacing w:before="65" w:line="252" w:lineRule="auto"/>
              <w:ind w:left="62" w:right="62"/>
              <w:rPr>
                <w:sz w:val="20"/>
                <w:szCs w:val="20"/>
              </w:rPr>
            </w:pPr>
            <w:r>
              <w:rPr>
                <w:spacing w:val="4"/>
                <w:sz w:val="20"/>
                <w:szCs w:val="20"/>
              </w:rPr>
              <w:t>材料堆场</w:t>
            </w:r>
          </w:p>
        </w:tc>
        <w:tc>
          <w:tcPr>
            <w:tcW w:w="2116" w:type="dxa"/>
            <w:gridSpan w:val="2"/>
            <w:tcBorders>
              <w:bottom w:val="single" w:color="000000" w:sz="10" w:space="0"/>
            </w:tcBorders>
            <w:vAlign w:val="top"/>
          </w:tcPr>
          <w:p w14:paraId="38C0BC24">
            <w:pPr>
              <w:pStyle w:val="6"/>
              <w:spacing w:before="30" w:line="246" w:lineRule="auto"/>
              <w:ind w:left="5" w:firstLine="45"/>
              <w:jc w:val="both"/>
              <w:rPr>
                <w:sz w:val="20"/>
                <w:szCs w:val="20"/>
              </w:rPr>
            </w:pPr>
            <w:r>
              <w:rPr>
                <w:spacing w:val="3"/>
                <w:sz w:val="20"/>
                <w:szCs w:val="20"/>
              </w:rPr>
              <w:t>晶体属正交（斜方）晶</w:t>
            </w:r>
            <w:r>
              <w:rPr>
                <w:spacing w:val="5"/>
                <w:sz w:val="20"/>
                <w:szCs w:val="20"/>
              </w:rPr>
              <w:t>系的硫酸盐矿物。密度</w:t>
            </w:r>
            <w:r>
              <w:rPr>
                <w:rFonts w:ascii="Times New Roman" w:hAnsi="Times New Roman" w:eastAsia="Times New Roman" w:cs="Times New Roman"/>
                <w:spacing w:val="-1"/>
                <w:sz w:val="20"/>
                <w:szCs w:val="20"/>
              </w:rPr>
              <w:t>4.3g/cm</w:t>
            </w:r>
            <w:r>
              <w:rPr>
                <w:rFonts w:ascii="Times New Roman" w:hAnsi="Times New Roman" w:eastAsia="Times New Roman" w:cs="Times New Roman"/>
                <w:spacing w:val="-1"/>
                <w:position w:val="6"/>
                <w:sz w:val="13"/>
                <w:szCs w:val="13"/>
              </w:rPr>
              <w:t>3</w:t>
            </w:r>
            <w:r>
              <w:rPr>
                <w:spacing w:val="-1"/>
                <w:sz w:val="20"/>
                <w:szCs w:val="20"/>
              </w:rPr>
              <w:t>，常呈厚板状或</w:t>
            </w:r>
            <w:r>
              <w:rPr>
                <w:spacing w:val="7"/>
                <w:sz w:val="20"/>
                <w:szCs w:val="20"/>
              </w:rPr>
              <w:t>柱状晶体，多为致密块状或板状、粒状集合体</w:t>
            </w:r>
          </w:p>
        </w:tc>
        <w:tc>
          <w:tcPr>
            <w:tcW w:w="2621" w:type="dxa"/>
            <w:tcBorders>
              <w:bottom w:val="single" w:color="000000" w:sz="10" w:space="0"/>
              <w:right w:val="single" w:color="000000" w:sz="6" w:space="0"/>
            </w:tcBorders>
            <w:vAlign w:val="top"/>
          </w:tcPr>
          <w:p w14:paraId="76971EF6">
            <w:pPr>
              <w:pStyle w:val="6"/>
              <w:spacing w:before="302" w:line="227" w:lineRule="auto"/>
              <w:ind w:left="54"/>
              <w:rPr>
                <w:sz w:val="20"/>
                <w:szCs w:val="20"/>
              </w:rPr>
            </w:pPr>
            <w:r>
              <w:rPr>
                <w:spacing w:val="4"/>
                <w:sz w:val="20"/>
                <w:szCs w:val="20"/>
              </w:rPr>
              <w:t>钻井泥浆加重剂，增加钻井</w:t>
            </w:r>
          </w:p>
          <w:p w14:paraId="5595A1A2">
            <w:pPr>
              <w:pStyle w:val="6"/>
              <w:spacing w:before="25" w:line="228" w:lineRule="auto"/>
              <w:ind w:left="55"/>
              <w:rPr>
                <w:sz w:val="20"/>
                <w:szCs w:val="20"/>
              </w:rPr>
            </w:pPr>
            <w:r>
              <w:rPr>
                <w:spacing w:val="8"/>
                <w:sz w:val="20"/>
                <w:szCs w:val="20"/>
              </w:rPr>
              <w:t>泥浆密度，控制地层压力，</w:t>
            </w:r>
          </w:p>
          <w:p w14:paraId="078E2BA2">
            <w:pPr>
              <w:pStyle w:val="6"/>
              <w:spacing w:before="27" w:line="228" w:lineRule="auto"/>
              <w:ind w:left="667"/>
              <w:rPr>
                <w:sz w:val="20"/>
                <w:szCs w:val="20"/>
              </w:rPr>
            </w:pPr>
            <w:r>
              <w:rPr>
                <w:spacing w:val="6"/>
                <w:sz w:val="20"/>
                <w:szCs w:val="20"/>
              </w:rPr>
              <w:t>防止油井自喷</w:t>
            </w:r>
          </w:p>
        </w:tc>
      </w:tr>
      <w:tr w14:paraId="24425A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4" w:hRule="atLeast"/>
        </w:trPr>
        <w:tc>
          <w:tcPr>
            <w:tcW w:w="466" w:type="dxa"/>
            <w:vMerge w:val="continue"/>
            <w:tcBorders>
              <w:top w:val="nil"/>
              <w:left w:val="single" w:color="000000" w:sz="6" w:space="0"/>
              <w:bottom w:val="nil"/>
              <w:right w:val="single" w:color="000000" w:sz="2" w:space="0"/>
            </w:tcBorders>
            <w:vAlign w:val="top"/>
          </w:tcPr>
          <w:p w14:paraId="07A8A983">
            <w:pPr>
              <w:rPr>
                <w:rFonts w:ascii="Arial"/>
                <w:sz w:val="21"/>
              </w:rPr>
            </w:pPr>
          </w:p>
        </w:tc>
        <w:tc>
          <w:tcPr>
            <w:tcW w:w="8449" w:type="dxa"/>
            <w:gridSpan w:val="10"/>
            <w:tcBorders>
              <w:top w:val="single" w:color="000000" w:sz="10" w:space="0"/>
              <w:left w:val="single" w:color="000000" w:sz="2" w:space="0"/>
              <w:bottom w:val="single" w:color="000000" w:sz="10" w:space="0"/>
              <w:right w:val="single" w:color="000000" w:sz="6" w:space="0"/>
            </w:tcBorders>
            <w:vAlign w:val="top"/>
          </w:tcPr>
          <w:p w14:paraId="78B158EA">
            <w:pPr>
              <w:pStyle w:val="6"/>
              <w:spacing w:before="150" w:line="359" w:lineRule="auto"/>
              <w:ind w:left="108" w:right="22" w:firstLine="480"/>
              <w:jc w:val="both"/>
            </w:pPr>
            <w:r>
              <w:rPr>
                <w:spacing w:val="2"/>
              </w:rPr>
              <w:t>钻井泥浆初期在井场内配备并储存于钻井泥浆循环罐中，调配钻井泥浆原材料分区分类贮存于井场原材料堆存区内。原材料堆存区上部设苫布遮盖，钻井泥浆原材料按需求量贮存于堆存区内。钻井泥浆原材料为袋装或者罐装，无</w:t>
            </w:r>
            <w:r>
              <w:rPr>
                <w:spacing w:val="-3"/>
              </w:rPr>
              <w:t>散装物料存储。原材料堆存区下铺设防渗膜，防止物料泄漏污染土壤及地下水。</w:t>
            </w:r>
          </w:p>
          <w:p w14:paraId="2404023F">
            <w:pPr>
              <w:pStyle w:val="6"/>
              <w:spacing w:line="219" w:lineRule="auto"/>
              <w:ind w:left="600"/>
            </w:pPr>
            <w:r>
              <w:rPr>
                <w:spacing w:val="-3"/>
              </w:rPr>
              <w:t>（</w:t>
            </w:r>
            <w:r>
              <w:rPr>
                <w:rFonts w:ascii="Times New Roman" w:hAnsi="Times New Roman" w:eastAsia="Times New Roman" w:cs="Times New Roman"/>
                <w:spacing w:val="-3"/>
              </w:rPr>
              <w:t>2</w:t>
            </w:r>
            <w:r>
              <w:rPr>
                <w:spacing w:val="-3"/>
              </w:rPr>
              <w:t>）能源消耗</w:t>
            </w:r>
          </w:p>
          <w:p w14:paraId="7844BBBD">
            <w:pPr>
              <w:pStyle w:val="6"/>
              <w:spacing w:before="179" w:line="219" w:lineRule="auto"/>
              <w:ind w:left="598"/>
            </w:pPr>
            <w:r>
              <w:rPr>
                <w:spacing w:val="-1"/>
              </w:rPr>
              <w:t>能源消耗主要为柴油发电机组所用柴油和生产生活用水。</w:t>
            </w:r>
          </w:p>
          <w:p w14:paraId="041BF9BD">
            <w:pPr>
              <w:spacing w:before="183" w:line="210" w:lineRule="auto"/>
              <w:ind w:left="3021"/>
              <w:rPr>
                <w:rFonts w:ascii="黑体" w:hAnsi="黑体" w:eastAsia="黑体" w:cs="黑体"/>
                <w:sz w:val="24"/>
                <w:szCs w:val="24"/>
              </w:rPr>
            </w:pPr>
            <w:r>
              <w:rPr>
                <w:rFonts w:ascii="黑体" w:hAnsi="黑体" w:eastAsia="黑体" w:cs="黑体"/>
                <w:spacing w:val="-2"/>
                <w:sz w:val="24"/>
                <w:szCs w:val="24"/>
              </w:rPr>
              <w:t>表</w:t>
            </w:r>
            <w:r>
              <w:rPr>
                <w:rFonts w:ascii="黑体" w:hAnsi="黑体" w:eastAsia="黑体" w:cs="黑体"/>
                <w:spacing w:val="-49"/>
                <w:sz w:val="24"/>
                <w:szCs w:val="24"/>
              </w:rPr>
              <w:t xml:space="preserve"> </w:t>
            </w:r>
            <w:r>
              <w:rPr>
                <w:rFonts w:ascii="Times New Roman" w:hAnsi="Times New Roman" w:eastAsia="Times New Roman" w:cs="Times New Roman"/>
                <w:spacing w:val="-2"/>
                <w:sz w:val="24"/>
                <w:szCs w:val="24"/>
              </w:rPr>
              <w:t xml:space="preserve">2-5  </w:t>
            </w:r>
            <w:r>
              <w:rPr>
                <w:rFonts w:ascii="黑体" w:hAnsi="黑体" w:eastAsia="黑体" w:cs="黑体"/>
                <w:spacing w:val="-2"/>
                <w:sz w:val="24"/>
                <w:szCs w:val="24"/>
              </w:rPr>
              <w:t>能源消耗一览表</w:t>
            </w:r>
          </w:p>
        </w:tc>
      </w:tr>
      <w:tr w14:paraId="491A13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466" w:type="dxa"/>
            <w:vMerge w:val="continue"/>
            <w:tcBorders>
              <w:top w:val="nil"/>
              <w:left w:val="single" w:color="000000" w:sz="6" w:space="0"/>
              <w:bottom w:val="nil"/>
              <w:right w:val="single" w:color="000000" w:sz="2" w:space="0"/>
            </w:tcBorders>
            <w:vAlign w:val="top"/>
          </w:tcPr>
          <w:p w14:paraId="34A089A5">
            <w:pPr>
              <w:rPr>
                <w:rFonts w:ascii="Arial"/>
                <w:sz w:val="21"/>
              </w:rPr>
            </w:pPr>
          </w:p>
        </w:tc>
        <w:tc>
          <w:tcPr>
            <w:tcW w:w="1751" w:type="dxa"/>
            <w:gridSpan w:val="2"/>
            <w:tcBorders>
              <w:top w:val="single" w:color="000000" w:sz="10" w:space="0"/>
              <w:left w:val="single" w:color="000000" w:sz="2" w:space="0"/>
            </w:tcBorders>
            <w:vAlign w:val="top"/>
          </w:tcPr>
          <w:p w14:paraId="66DA6411">
            <w:pPr>
              <w:pStyle w:val="6"/>
              <w:spacing w:before="104" w:line="230" w:lineRule="auto"/>
              <w:ind w:left="722"/>
              <w:rPr>
                <w:sz w:val="20"/>
                <w:szCs w:val="20"/>
              </w:rPr>
            </w:pPr>
            <w:r>
              <w:rPr>
                <w:spacing w:val="3"/>
                <w:sz w:val="20"/>
                <w:szCs w:val="20"/>
              </w:rPr>
              <w:t>名称</w:t>
            </w:r>
          </w:p>
        </w:tc>
        <w:tc>
          <w:tcPr>
            <w:tcW w:w="1645" w:type="dxa"/>
            <w:gridSpan w:val="4"/>
            <w:tcBorders>
              <w:top w:val="single" w:color="000000" w:sz="10" w:space="0"/>
            </w:tcBorders>
            <w:vAlign w:val="top"/>
          </w:tcPr>
          <w:p w14:paraId="214698A0">
            <w:pPr>
              <w:pStyle w:val="6"/>
              <w:spacing w:before="104" w:line="229" w:lineRule="auto"/>
              <w:ind w:left="512"/>
              <w:rPr>
                <w:sz w:val="20"/>
                <w:szCs w:val="20"/>
              </w:rPr>
            </w:pPr>
            <w:r>
              <w:rPr>
                <w:spacing w:val="5"/>
                <w:sz w:val="20"/>
                <w:szCs w:val="20"/>
              </w:rPr>
              <w:t>总用量</w:t>
            </w:r>
          </w:p>
        </w:tc>
        <w:tc>
          <w:tcPr>
            <w:tcW w:w="1247" w:type="dxa"/>
            <w:gridSpan w:val="2"/>
            <w:tcBorders>
              <w:top w:val="single" w:color="000000" w:sz="10" w:space="0"/>
            </w:tcBorders>
            <w:vAlign w:val="top"/>
          </w:tcPr>
          <w:p w14:paraId="606761DC">
            <w:pPr>
              <w:pStyle w:val="6"/>
              <w:spacing w:before="105" w:line="228" w:lineRule="auto"/>
              <w:ind w:left="416"/>
              <w:rPr>
                <w:sz w:val="20"/>
                <w:szCs w:val="20"/>
              </w:rPr>
            </w:pPr>
            <w:r>
              <w:rPr>
                <w:spacing w:val="5"/>
                <w:sz w:val="20"/>
                <w:szCs w:val="20"/>
              </w:rPr>
              <w:t>储量</w:t>
            </w:r>
          </w:p>
        </w:tc>
        <w:tc>
          <w:tcPr>
            <w:tcW w:w="1185" w:type="dxa"/>
            <w:tcBorders>
              <w:top w:val="single" w:color="000000" w:sz="10" w:space="0"/>
              <w:right w:val="single" w:color="000000" w:sz="2" w:space="0"/>
            </w:tcBorders>
            <w:vAlign w:val="top"/>
          </w:tcPr>
          <w:p w14:paraId="6912C9AB">
            <w:pPr>
              <w:pStyle w:val="6"/>
              <w:spacing w:before="104" w:line="228" w:lineRule="auto"/>
              <w:ind w:left="165"/>
              <w:rPr>
                <w:sz w:val="20"/>
                <w:szCs w:val="20"/>
              </w:rPr>
            </w:pPr>
            <w:r>
              <w:rPr>
                <w:spacing w:val="7"/>
                <w:sz w:val="20"/>
                <w:szCs w:val="20"/>
              </w:rPr>
              <w:t>存储方式</w:t>
            </w:r>
          </w:p>
        </w:tc>
        <w:tc>
          <w:tcPr>
            <w:tcW w:w="2621" w:type="dxa"/>
            <w:tcBorders>
              <w:top w:val="single" w:color="000000" w:sz="10" w:space="0"/>
              <w:left w:val="single" w:color="000000" w:sz="2" w:space="0"/>
              <w:right w:val="single" w:color="000000" w:sz="6" w:space="0"/>
            </w:tcBorders>
            <w:vAlign w:val="top"/>
          </w:tcPr>
          <w:p w14:paraId="58E06252">
            <w:pPr>
              <w:pStyle w:val="6"/>
              <w:spacing w:before="104" w:line="229" w:lineRule="auto"/>
              <w:ind w:left="1043"/>
              <w:rPr>
                <w:sz w:val="20"/>
                <w:szCs w:val="20"/>
              </w:rPr>
            </w:pPr>
            <w:r>
              <w:rPr>
                <w:spacing w:val="3"/>
                <w:sz w:val="20"/>
                <w:szCs w:val="20"/>
              </w:rPr>
              <w:t>备注</w:t>
            </w:r>
          </w:p>
        </w:tc>
      </w:tr>
      <w:tr w14:paraId="1E54A7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466" w:type="dxa"/>
            <w:vMerge w:val="continue"/>
            <w:tcBorders>
              <w:top w:val="nil"/>
              <w:left w:val="single" w:color="000000" w:sz="6" w:space="0"/>
              <w:bottom w:val="nil"/>
              <w:right w:val="single" w:color="000000" w:sz="2" w:space="0"/>
            </w:tcBorders>
            <w:vAlign w:val="top"/>
          </w:tcPr>
          <w:p w14:paraId="1F47BA19">
            <w:pPr>
              <w:rPr>
                <w:rFonts w:ascii="Arial"/>
                <w:sz w:val="21"/>
              </w:rPr>
            </w:pPr>
          </w:p>
        </w:tc>
        <w:tc>
          <w:tcPr>
            <w:tcW w:w="1751" w:type="dxa"/>
            <w:gridSpan w:val="2"/>
            <w:tcBorders>
              <w:left w:val="single" w:color="000000" w:sz="2" w:space="0"/>
            </w:tcBorders>
            <w:vAlign w:val="top"/>
          </w:tcPr>
          <w:p w14:paraId="46DDD512">
            <w:pPr>
              <w:pStyle w:val="6"/>
              <w:spacing w:before="112" w:line="228" w:lineRule="auto"/>
              <w:ind w:left="719"/>
              <w:rPr>
                <w:sz w:val="20"/>
                <w:szCs w:val="20"/>
              </w:rPr>
            </w:pPr>
            <w:r>
              <w:rPr>
                <w:spacing w:val="4"/>
                <w:sz w:val="20"/>
                <w:szCs w:val="20"/>
              </w:rPr>
              <w:t>柴油</w:t>
            </w:r>
          </w:p>
        </w:tc>
        <w:tc>
          <w:tcPr>
            <w:tcW w:w="1645" w:type="dxa"/>
            <w:gridSpan w:val="4"/>
            <w:vAlign w:val="top"/>
          </w:tcPr>
          <w:p w14:paraId="30FCBC6E">
            <w:pPr>
              <w:spacing w:before="148" w:line="195" w:lineRule="auto"/>
              <w:ind w:left="6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360t</w:t>
            </w:r>
          </w:p>
        </w:tc>
        <w:tc>
          <w:tcPr>
            <w:tcW w:w="1247" w:type="dxa"/>
            <w:gridSpan w:val="2"/>
            <w:vAlign w:val="top"/>
          </w:tcPr>
          <w:p w14:paraId="22BAFD83">
            <w:pPr>
              <w:pStyle w:val="6"/>
              <w:spacing w:before="112" w:line="228" w:lineRule="auto"/>
              <w:ind w:left="278"/>
              <w:rPr>
                <w:sz w:val="20"/>
                <w:szCs w:val="20"/>
              </w:rPr>
            </w:pPr>
            <w:r>
              <w:rPr>
                <w:rFonts w:ascii="Times New Roman" w:hAnsi="Times New Roman" w:eastAsia="Times New Roman" w:cs="Times New Roman"/>
                <w:spacing w:val="3"/>
                <w:sz w:val="20"/>
                <w:szCs w:val="20"/>
              </w:rPr>
              <w:t>30.6t/</w:t>
            </w:r>
            <w:r>
              <w:rPr>
                <w:spacing w:val="3"/>
                <w:sz w:val="20"/>
                <w:szCs w:val="20"/>
              </w:rPr>
              <w:t>罐</w:t>
            </w:r>
          </w:p>
        </w:tc>
        <w:tc>
          <w:tcPr>
            <w:tcW w:w="1185" w:type="dxa"/>
            <w:tcBorders>
              <w:right w:val="single" w:color="000000" w:sz="2" w:space="0"/>
            </w:tcBorders>
            <w:vAlign w:val="top"/>
          </w:tcPr>
          <w:p w14:paraId="306CA604">
            <w:pPr>
              <w:pStyle w:val="6"/>
              <w:spacing w:before="112" w:line="228" w:lineRule="auto"/>
              <w:ind w:left="379"/>
              <w:rPr>
                <w:sz w:val="20"/>
                <w:szCs w:val="20"/>
              </w:rPr>
            </w:pPr>
            <w:r>
              <w:rPr>
                <w:spacing w:val="3"/>
                <w:sz w:val="20"/>
                <w:szCs w:val="20"/>
              </w:rPr>
              <w:t>罐装</w:t>
            </w:r>
          </w:p>
        </w:tc>
        <w:tc>
          <w:tcPr>
            <w:tcW w:w="2621" w:type="dxa"/>
            <w:tcBorders>
              <w:left w:val="single" w:color="000000" w:sz="2" w:space="0"/>
              <w:right w:val="single" w:color="000000" w:sz="6" w:space="0"/>
            </w:tcBorders>
            <w:vAlign w:val="top"/>
          </w:tcPr>
          <w:p w14:paraId="50893CCF">
            <w:pPr>
              <w:pStyle w:val="6"/>
              <w:spacing w:before="112" w:line="228" w:lineRule="auto"/>
              <w:ind w:left="835"/>
              <w:rPr>
                <w:sz w:val="20"/>
                <w:szCs w:val="20"/>
              </w:rPr>
            </w:pPr>
            <w:r>
              <w:rPr>
                <w:spacing w:val="6"/>
                <w:sz w:val="20"/>
                <w:szCs w:val="20"/>
              </w:rPr>
              <w:t>外部购买</w:t>
            </w:r>
          </w:p>
        </w:tc>
      </w:tr>
      <w:tr w14:paraId="47D6AD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466" w:type="dxa"/>
            <w:vMerge w:val="continue"/>
            <w:tcBorders>
              <w:top w:val="nil"/>
              <w:left w:val="single" w:color="000000" w:sz="6" w:space="0"/>
              <w:bottom w:val="nil"/>
              <w:right w:val="single" w:color="000000" w:sz="2" w:space="0"/>
            </w:tcBorders>
            <w:vAlign w:val="top"/>
          </w:tcPr>
          <w:p w14:paraId="3330B642">
            <w:pPr>
              <w:rPr>
                <w:rFonts w:ascii="Arial"/>
                <w:sz w:val="21"/>
              </w:rPr>
            </w:pPr>
          </w:p>
        </w:tc>
        <w:tc>
          <w:tcPr>
            <w:tcW w:w="1751" w:type="dxa"/>
            <w:gridSpan w:val="2"/>
            <w:tcBorders>
              <w:left w:val="single" w:color="000000" w:sz="2" w:space="0"/>
            </w:tcBorders>
            <w:vAlign w:val="top"/>
          </w:tcPr>
          <w:p w14:paraId="78A615D2">
            <w:pPr>
              <w:pStyle w:val="6"/>
              <w:spacing w:before="114" w:line="228" w:lineRule="auto"/>
              <w:ind w:left="510"/>
              <w:rPr>
                <w:sz w:val="20"/>
                <w:szCs w:val="20"/>
              </w:rPr>
            </w:pPr>
            <w:r>
              <w:rPr>
                <w:spacing w:val="6"/>
                <w:sz w:val="20"/>
                <w:szCs w:val="20"/>
              </w:rPr>
              <w:t>生活用水</w:t>
            </w:r>
          </w:p>
        </w:tc>
        <w:tc>
          <w:tcPr>
            <w:tcW w:w="1645" w:type="dxa"/>
            <w:gridSpan w:val="4"/>
            <w:vAlign w:val="top"/>
          </w:tcPr>
          <w:p w14:paraId="0B70699D">
            <w:pPr>
              <w:spacing w:before="150" w:line="195" w:lineRule="auto"/>
              <w:ind w:left="6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288t</w:t>
            </w:r>
          </w:p>
        </w:tc>
        <w:tc>
          <w:tcPr>
            <w:tcW w:w="1247" w:type="dxa"/>
            <w:gridSpan w:val="2"/>
            <w:vAlign w:val="top"/>
          </w:tcPr>
          <w:p w14:paraId="707FB7A4">
            <w:pPr>
              <w:pStyle w:val="6"/>
              <w:spacing w:before="114" w:line="228" w:lineRule="auto"/>
              <w:ind w:left="353"/>
              <w:rPr>
                <w:sz w:val="20"/>
                <w:szCs w:val="20"/>
              </w:rPr>
            </w:pPr>
            <w:r>
              <w:rPr>
                <w:rFonts w:ascii="Times New Roman" w:hAnsi="Times New Roman" w:eastAsia="Times New Roman" w:cs="Times New Roman"/>
                <w:spacing w:val="3"/>
                <w:sz w:val="20"/>
                <w:szCs w:val="20"/>
              </w:rPr>
              <w:t>20t/</w:t>
            </w:r>
            <w:r>
              <w:rPr>
                <w:spacing w:val="3"/>
                <w:sz w:val="20"/>
                <w:szCs w:val="20"/>
              </w:rPr>
              <w:t>罐</w:t>
            </w:r>
          </w:p>
        </w:tc>
        <w:tc>
          <w:tcPr>
            <w:tcW w:w="1185" w:type="dxa"/>
            <w:tcBorders>
              <w:right w:val="single" w:color="000000" w:sz="2" w:space="0"/>
            </w:tcBorders>
            <w:vAlign w:val="top"/>
          </w:tcPr>
          <w:p w14:paraId="3CB80E39">
            <w:pPr>
              <w:pStyle w:val="6"/>
              <w:spacing w:before="114" w:line="228" w:lineRule="auto"/>
              <w:ind w:left="379"/>
              <w:rPr>
                <w:sz w:val="20"/>
                <w:szCs w:val="20"/>
              </w:rPr>
            </w:pPr>
            <w:r>
              <w:rPr>
                <w:spacing w:val="3"/>
                <w:sz w:val="20"/>
                <w:szCs w:val="20"/>
              </w:rPr>
              <w:t>罐装</w:t>
            </w:r>
          </w:p>
        </w:tc>
        <w:tc>
          <w:tcPr>
            <w:tcW w:w="2621" w:type="dxa"/>
            <w:tcBorders>
              <w:left w:val="single" w:color="000000" w:sz="2" w:space="0"/>
              <w:right w:val="single" w:color="000000" w:sz="6" w:space="0"/>
            </w:tcBorders>
            <w:vAlign w:val="top"/>
          </w:tcPr>
          <w:p w14:paraId="4CEADB2F">
            <w:pPr>
              <w:pStyle w:val="6"/>
              <w:spacing w:before="114" w:line="227" w:lineRule="auto"/>
              <w:ind w:left="519"/>
              <w:rPr>
                <w:sz w:val="20"/>
                <w:szCs w:val="20"/>
              </w:rPr>
            </w:pPr>
            <w:r>
              <w:rPr>
                <w:spacing w:val="8"/>
                <w:sz w:val="20"/>
                <w:szCs w:val="20"/>
              </w:rPr>
              <w:t>从附近村庄拉运</w:t>
            </w:r>
          </w:p>
        </w:tc>
      </w:tr>
      <w:tr w14:paraId="45A110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6" w:hRule="atLeast"/>
        </w:trPr>
        <w:tc>
          <w:tcPr>
            <w:tcW w:w="466" w:type="dxa"/>
            <w:vMerge w:val="continue"/>
            <w:tcBorders>
              <w:top w:val="nil"/>
              <w:left w:val="single" w:color="000000" w:sz="6" w:space="0"/>
              <w:bottom w:val="nil"/>
              <w:right w:val="single" w:color="000000" w:sz="2" w:space="0"/>
            </w:tcBorders>
            <w:vAlign w:val="top"/>
          </w:tcPr>
          <w:p w14:paraId="76C11B2A">
            <w:pPr>
              <w:rPr>
                <w:rFonts w:ascii="Arial"/>
                <w:sz w:val="21"/>
              </w:rPr>
            </w:pPr>
          </w:p>
        </w:tc>
        <w:tc>
          <w:tcPr>
            <w:tcW w:w="1751" w:type="dxa"/>
            <w:gridSpan w:val="2"/>
            <w:tcBorders>
              <w:left w:val="single" w:color="000000" w:sz="2" w:space="0"/>
              <w:bottom w:val="single" w:color="000000" w:sz="10" w:space="0"/>
            </w:tcBorders>
            <w:vAlign w:val="top"/>
          </w:tcPr>
          <w:p w14:paraId="7BFCCE43">
            <w:pPr>
              <w:pStyle w:val="6"/>
              <w:spacing w:before="186" w:line="228" w:lineRule="auto"/>
              <w:ind w:left="510"/>
              <w:rPr>
                <w:sz w:val="20"/>
                <w:szCs w:val="20"/>
              </w:rPr>
            </w:pPr>
            <w:r>
              <w:rPr>
                <w:spacing w:val="6"/>
                <w:sz w:val="20"/>
                <w:szCs w:val="20"/>
              </w:rPr>
              <w:t>生产用水</w:t>
            </w:r>
          </w:p>
        </w:tc>
        <w:tc>
          <w:tcPr>
            <w:tcW w:w="1645" w:type="dxa"/>
            <w:gridSpan w:val="4"/>
            <w:tcBorders>
              <w:bottom w:val="single" w:color="000000" w:sz="10" w:space="0"/>
            </w:tcBorders>
            <w:vAlign w:val="top"/>
          </w:tcPr>
          <w:p w14:paraId="3ABEFC70">
            <w:pPr>
              <w:spacing w:before="225" w:line="195" w:lineRule="auto"/>
              <w:ind w:left="6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850t</w:t>
            </w:r>
          </w:p>
        </w:tc>
        <w:tc>
          <w:tcPr>
            <w:tcW w:w="1247" w:type="dxa"/>
            <w:gridSpan w:val="2"/>
            <w:tcBorders>
              <w:bottom w:val="single" w:color="000000" w:sz="10" w:space="0"/>
            </w:tcBorders>
            <w:vAlign w:val="top"/>
          </w:tcPr>
          <w:p w14:paraId="7F81A0AA">
            <w:pPr>
              <w:pStyle w:val="6"/>
              <w:spacing w:before="186" w:line="228" w:lineRule="auto"/>
              <w:ind w:left="352"/>
              <w:rPr>
                <w:sz w:val="20"/>
                <w:szCs w:val="20"/>
              </w:rPr>
            </w:pPr>
            <w:r>
              <w:rPr>
                <w:rFonts w:ascii="Times New Roman" w:hAnsi="Times New Roman" w:eastAsia="Times New Roman" w:cs="Times New Roman"/>
                <w:spacing w:val="4"/>
                <w:sz w:val="20"/>
                <w:szCs w:val="20"/>
              </w:rPr>
              <w:t>40t/</w:t>
            </w:r>
            <w:r>
              <w:rPr>
                <w:spacing w:val="4"/>
                <w:sz w:val="20"/>
                <w:szCs w:val="20"/>
              </w:rPr>
              <w:t>罐</w:t>
            </w:r>
          </w:p>
        </w:tc>
        <w:tc>
          <w:tcPr>
            <w:tcW w:w="1185" w:type="dxa"/>
            <w:tcBorders>
              <w:bottom w:val="single" w:color="000000" w:sz="10" w:space="0"/>
              <w:right w:val="single" w:color="000000" w:sz="2" w:space="0"/>
            </w:tcBorders>
            <w:vAlign w:val="top"/>
          </w:tcPr>
          <w:p w14:paraId="15E06772">
            <w:pPr>
              <w:pStyle w:val="6"/>
              <w:spacing w:before="186" w:line="228" w:lineRule="auto"/>
              <w:ind w:left="379"/>
              <w:rPr>
                <w:sz w:val="20"/>
                <w:szCs w:val="20"/>
              </w:rPr>
            </w:pPr>
            <w:r>
              <w:rPr>
                <w:spacing w:val="3"/>
                <w:sz w:val="20"/>
                <w:szCs w:val="20"/>
              </w:rPr>
              <w:t>罐装</w:t>
            </w:r>
          </w:p>
        </w:tc>
        <w:tc>
          <w:tcPr>
            <w:tcW w:w="2621" w:type="dxa"/>
            <w:tcBorders>
              <w:left w:val="single" w:color="000000" w:sz="2" w:space="0"/>
              <w:bottom w:val="single" w:color="000000" w:sz="10" w:space="0"/>
              <w:right w:val="single" w:color="000000" w:sz="6" w:space="0"/>
            </w:tcBorders>
            <w:vAlign w:val="top"/>
          </w:tcPr>
          <w:p w14:paraId="02A1A1B0">
            <w:pPr>
              <w:pStyle w:val="6"/>
              <w:spacing w:before="51" w:line="242" w:lineRule="auto"/>
              <w:ind w:left="99" w:right="212"/>
              <w:rPr>
                <w:sz w:val="20"/>
                <w:szCs w:val="20"/>
              </w:rPr>
            </w:pPr>
            <w:r>
              <w:rPr>
                <w:spacing w:val="8"/>
                <w:sz w:val="20"/>
                <w:szCs w:val="20"/>
              </w:rPr>
              <w:t>从巴彦淖尔市市政环境发</w:t>
            </w:r>
            <w:r>
              <w:rPr>
                <w:spacing w:val="9"/>
                <w:sz w:val="20"/>
                <w:szCs w:val="20"/>
              </w:rPr>
              <w:t>展（集团）有限公司拉运</w:t>
            </w:r>
          </w:p>
        </w:tc>
      </w:tr>
      <w:tr w14:paraId="00A0BC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8" w:hRule="atLeast"/>
        </w:trPr>
        <w:tc>
          <w:tcPr>
            <w:tcW w:w="466" w:type="dxa"/>
            <w:vMerge w:val="continue"/>
            <w:tcBorders>
              <w:top w:val="nil"/>
              <w:left w:val="single" w:color="000000" w:sz="6" w:space="0"/>
              <w:bottom w:val="single" w:color="000000" w:sz="6" w:space="0"/>
              <w:right w:val="single" w:color="000000" w:sz="2" w:space="0"/>
            </w:tcBorders>
            <w:vAlign w:val="top"/>
          </w:tcPr>
          <w:p w14:paraId="78851110">
            <w:pPr>
              <w:rPr>
                <w:rFonts w:ascii="Arial"/>
                <w:sz w:val="21"/>
              </w:rPr>
            </w:pPr>
          </w:p>
        </w:tc>
        <w:tc>
          <w:tcPr>
            <w:tcW w:w="8449" w:type="dxa"/>
            <w:gridSpan w:val="10"/>
            <w:tcBorders>
              <w:top w:val="single" w:color="000000" w:sz="10" w:space="0"/>
              <w:left w:val="single" w:color="000000" w:sz="2" w:space="0"/>
              <w:bottom w:val="single" w:color="000000" w:sz="6" w:space="0"/>
              <w:right w:val="single" w:color="000000" w:sz="6" w:space="0"/>
            </w:tcBorders>
            <w:vAlign w:val="top"/>
          </w:tcPr>
          <w:p w14:paraId="145083F2">
            <w:pPr>
              <w:pStyle w:val="6"/>
              <w:spacing w:before="37" w:line="219" w:lineRule="auto"/>
              <w:ind w:left="589"/>
            </w:pPr>
            <w:r>
              <w:rPr>
                <w:rFonts w:ascii="Times New Roman" w:hAnsi="Times New Roman" w:eastAsia="Times New Roman" w:cs="Times New Roman"/>
                <w:spacing w:val="-4"/>
              </w:rPr>
              <w:t>3</w:t>
            </w:r>
            <w:r>
              <w:rPr>
                <w:rFonts w:ascii="Times New Roman" w:hAnsi="Times New Roman" w:eastAsia="Times New Roman" w:cs="Times New Roman"/>
                <w:spacing w:val="-27"/>
              </w:rPr>
              <w:t xml:space="preserve"> </w:t>
            </w:r>
            <w:r>
              <w:rPr>
                <w:spacing w:val="-4"/>
              </w:rPr>
              <w:t>、劳动定员及工作制度</w:t>
            </w:r>
          </w:p>
          <w:p w14:paraId="2E2C3700">
            <w:pPr>
              <w:pStyle w:val="6"/>
              <w:spacing w:before="181" w:line="359" w:lineRule="auto"/>
              <w:ind w:left="107" w:right="102" w:firstLine="485"/>
            </w:pPr>
            <w:r>
              <w:rPr>
                <w:spacing w:val="1"/>
              </w:rPr>
              <w:t>项目在井场内设置施工营地（包括办公区、生活区等</w:t>
            </w:r>
            <w:r>
              <w:rPr>
                <w:spacing w:val="16"/>
              </w:rPr>
              <w:t>），</w:t>
            </w:r>
            <w:r>
              <w:rPr>
                <w:spacing w:val="1"/>
              </w:rPr>
              <w:t>不再另选场地设</w:t>
            </w:r>
            <w:r>
              <w:rPr>
                <w:spacing w:val="3"/>
              </w:rPr>
              <w:t>置施工营地。项目劳动定员</w:t>
            </w:r>
            <w:r>
              <w:rPr>
                <w:rFonts w:ascii="Times New Roman" w:hAnsi="Times New Roman" w:eastAsia="Times New Roman" w:cs="Times New Roman"/>
                <w:spacing w:val="3"/>
              </w:rPr>
              <w:t xml:space="preserve">40 </w:t>
            </w:r>
            <w:r>
              <w:rPr>
                <w:spacing w:val="3"/>
              </w:rPr>
              <w:t>人，勘探过程为连续</w:t>
            </w:r>
            <w:r>
              <w:rPr>
                <w:spacing w:val="-52"/>
              </w:rPr>
              <w:t xml:space="preserve"> </w:t>
            </w:r>
            <w:r>
              <w:rPr>
                <w:rFonts w:ascii="Times New Roman" w:hAnsi="Times New Roman" w:eastAsia="Times New Roman" w:cs="Times New Roman"/>
                <w:spacing w:val="3"/>
              </w:rPr>
              <w:t>24</w:t>
            </w:r>
            <w:r>
              <w:rPr>
                <w:rFonts w:ascii="Times New Roman" w:hAnsi="Times New Roman" w:eastAsia="Times New Roman" w:cs="Times New Roman"/>
                <w:spacing w:val="18"/>
              </w:rPr>
              <w:t xml:space="preserve"> </w:t>
            </w:r>
            <w:r>
              <w:rPr>
                <w:spacing w:val="3"/>
              </w:rPr>
              <w:t>小时作业</w:t>
            </w:r>
            <w:r>
              <w:rPr>
                <w:spacing w:val="2"/>
              </w:rPr>
              <w:t>，三班制，每</w:t>
            </w:r>
            <w:r>
              <w:rPr>
                <w:spacing w:val="-4"/>
              </w:rPr>
              <w:t>班</w:t>
            </w:r>
            <w:r>
              <w:rPr>
                <w:spacing w:val="-34"/>
              </w:rPr>
              <w:t xml:space="preserve"> </w:t>
            </w:r>
            <w:r>
              <w:rPr>
                <w:rFonts w:ascii="Times New Roman" w:hAnsi="Times New Roman" w:eastAsia="Times New Roman" w:cs="Times New Roman"/>
                <w:spacing w:val="-4"/>
              </w:rPr>
              <w:t>8</w:t>
            </w:r>
            <w:r>
              <w:rPr>
                <w:rFonts w:ascii="Times New Roman" w:hAnsi="Times New Roman" w:eastAsia="Times New Roman" w:cs="Times New Roman"/>
                <w:spacing w:val="15"/>
                <w:w w:val="101"/>
              </w:rPr>
              <w:t xml:space="preserve"> </w:t>
            </w:r>
            <w:r>
              <w:rPr>
                <w:spacing w:val="-4"/>
              </w:rPr>
              <w:t>小时，勘探期为</w:t>
            </w:r>
            <w:r>
              <w:rPr>
                <w:spacing w:val="-51"/>
              </w:rPr>
              <w:t xml:space="preserve"> </w:t>
            </w:r>
            <w:r>
              <w:rPr>
                <w:rFonts w:ascii="Times New Roman" w:hAnsi="Times New Roman" w:eastAsia="Times New Roman" w:cs="Times New Roman"/>
                <w:spacing w:val="-4"/>
              </w:rPr>
              <w:t>90</w:t>
            </w:r>
            <w:r>
              <w:rPr>
                <w:rFonts w:ascii="Times New Roman" w:hAnsi="Times New Roman" w:eastAsia="Times New Roman" w:cs="Times New Roman"/>
                <w:spacing w:val="15"/>
              </w:rPr>
              <w:t xml:space="preserve"> </w:t>
            </w:r>
            <w:r>
              <w:rPr>
                <w:spacing w:val="-4"/>
              </w:rPr>
              <w:t>天（折合</w:t>
            </w:r>
            <w:r>
              <w:rPr>
                <w:spacing w:val="-51"/>
              </w:rPr>
              <w:t xml:space="preserve"> </w:t>
            </w:r>
            <w:r>
              <w:rPr>
                <w:rFonts w:ascii="Times New Roman" w:hAnsi="Times New Roman" w:eastAsia="Times New Roman" w:cs="Times New Roman"/>
                <w:spacing w:val="-4"/>
              </w:rPr>
              <w:t xml:space="preserve">3 </w:t>
            </w:r>
            <w:r>
              <w:rPr>
                <w:spacing w:val="-4"/>
              </w:rPr>
              <w:t>个月）。</w:t>
            </w:r>
          </w:p>
          <w:p w14:paraId="19BA86F8">
            <w:pPr>
              <w:pStyle w:val="6"/>
              <w:spacing w:line="220" w:lineRule="auto"/>
              <w:ind w:left="583"/>
            </w:pPr>
            <w:r>
              <w:rPr>
                <w:rFonts w:ascii="Times New Roman" w:hAnsi="Times New Roman" w:eastAsia="Times New Roman" w:cs="Times New Roman"/>
                <w:spacing w:val="-5"/>
              </w:rPr>
              <w:t>4</w:t>
            </w:r>
            <w:r>
              <w:rPr>
                <w:rFonts w:ascii="Times New Roman" w:hAnsi="Times New Roman" w:eastAsia="Times New Roman" w:cs="Times New Roman"/>
                <w:spacing w:val="-34"/>
              </w:rPr>
              <w:t xml:space="preserve"> </w:t>
            </w:r>
            <w:r>
              <w:rPr>
                <w:spacing w:val="-5"/>
              </w:rPr>
              <w:t>、工程用地</w:t>
            </w:r>
          </w:p>
          <w:p w14:paraId="5FF1B38E">
            <w:pPr>
              <w:pStyle w:val="6"/>
              <w:spacing w:before="180" w:line="355" w:lineRule="auto"/>
              <w:ind w:left="109" w:right="102" w:firstLine="479"/>
            </w:pPr>
            <w:r>
              <w:rPr>
                <w:spacing w:val="-3"/>
              </w:rPr>
              <w:t>根据现场踏勘，扎格</w:t>
            </w:r>
            <w:r>
              <w:rPr>
                <w:spacing w:val="-46"/>
              </w:rPr>
              <w:t xml:space="preserve"> </w:t>
            </w:r>
            <w:r>
              <w:rPr>
                <w:rFonts w:ascii="Times New Roman" w:hAnsi="Times New Roman" w:eastAsia="Times New Roman" w:cs="Times New Roman"/>
                <w:spacing w:val="-3"/>
              </w:rPr>
              <w:t xml:space="preserve">9X </w:t>
            </w:r>
            <w:r>
              <w:rPr>
                <w:spacing w:val="-3"/>
              </w:rPr>
              <w:t>井场四周均为耕地，总占地面积</w:t>
            </w:r>
            <w:r>
              <w:rPr>
                <w:spacing w:val="-32"/>
              </w:rPr>
              <w:t xml:space="preserve"> </w:t>
            </w:r>
            <w:r>
              <w:rPr>
                <w:rFonts w:ascii="Times New Roman" w:hAnsi="Times New Roman" w:eastAsia="Times New Roman" w:cs="Times New Roman"/>
                <w:spacing w:val="-3"/>
              </w:rPr>
              <w:t>13293m</w:t>
            </w:r>
            <w:r>
              <w:rPr>
                <w:rFonts w:ascii="Times New Roman" w:hAnsi="Times New Roman" w:eastAsia="Times New Roman" w:cs="Times New Roman"/>
                <w:spacing w:val="-3"/>
                <w:position w:val="8"/>
                <w:sz w:val="15"/>
                <w:szCs w:val="15"/>
              </w:rPr>
              <w:t>2</w:t>
            </w:r>
            <w:r>
              <w:rPr>
                <w:spacing w:val="-3"/>
              </w:rPr>
              <w:t>（占用基</w:t>
            </w:r>
            <w:r>
              <w:rPr>
                <w:spacing w:val="-4"/>
              </w:rPr>
              <w:t>本农田</w:t>
            </w:r>
            <w:r>
              <w:rPr>
                <w:spacing w:val="-23"/>
              </w:rPr>
              <w:t xml:space="preserve"> </w:t>
            </w:r>
            <w:r>
              <w:rPr>
                <w:rFonts w:ascii="Times New Roman" w:hAnsi="Times New Roman" w:eastAsia="Times New Roman" w:cs="Times New Roman"/>
                <w:spacing w:val="-4"/>
              </w:rPr>
              <w:t>12987m</w:t>
            </w:r>
            <w:r>
              <w:rPr>
                <w:rFonts w:ascii="Times New Roman" w:hAnsi="Times New Roman" w:eastAsia="Times New Roman" w:cs="Times New Roman"/>
                <w:spacing w:val="-4"/>
                <w:position w:val="1"/>
                <w:sz w:val="15"/>
                <w:szCs w:val="15"/>
              </w:rPr>
              <w:t>2</w:t>
            </w:r>
            <w:r>
              <w:rPr>
                <w:spacing w:val="-4"/>
                <w:position w:val="1"/>
              </w:rPr>
              <w:t>）</w:t>
            </w:r>
            <w:r>
              <w:rPr>
                <w:spacing w:val="-4"/>
              </w:rPr>
              <w:t>。</w:t>
            </w:r>
          </w:p>
          <w:p w14:paraId="74439326">
            <w:pPr>
              <w:pStyle w:val="6"/>
              <w:spacing w:before="4" w:line="350" w:lineRule="auto"/>
              <w:ind w:left="108" w:right="102" w:firstLine="482"/>
              <w:jc w:val="both"/>
            </w:pPr>
            <w:r>
              <w:rPr>
                <w:spacing w:val="-4"/>
              </w:rPr>
              <w:t>扎格</w:t>
            </w:r>
            <w:r>
              <w:rPr>
                <w:spacing w:val="-34"/>
              </w:rPr>
              <w:t xml:space="preserve"> </w:t>
            </w:r>
            <w:r>
              <w:rPr>
                <w:rFonts w:ascii="Times New Roman" w:hAnsi="Times New Roman" w:eastAsia="Times New Roman" w:cs="Times New Roman"/>
                <w:spacing w:val="-4"/>
              </w:rPr>
              <w:t xml:space="preserve">9X </w:t>
            </w:r>
            <w:r>
              <w:rPr>
                <w:spacing w:val="-4"/>
              </w:rPr>
              <w:t>井场占地类型为农用地，土地利用现状为水浇地、沟渠。水浇地主</w:t>
            </w:r>
            <w:r>
              <w:t>要种植玉米、小麦、葵花等农作物，</w:t>
            </w:r>
            <w:r>
              <w:rPr>
                <w:spacing w:val="-54"/>
              </w:rPr>
              <w:t xml:space="preserve"> </w:t>
            </w:r>
            <w:r>
              <w:t>占用土地后采取经济补偿措施，施工结束</w:t>
            </w:r>
            <w:r>
              <w:rPr>
                <w:spacing w:val="2"/>
              </w:rPr>
              <w:t>后对恢复原始地貌，对水浇地以恢复耕地为主，同时进行土壤培育，满足</w:t>
            </w:r>
            <w:r>
              <w:rPr>
                <w:spacing w:val="1"/>
              </w:rPr>
              <w:t>正常</w:t>
            </w:r>
            <w:r>
              <w:rPr>
                <w:spacing w:val="-2"/>
              </w:rPr>
              <w:t>耕种要求。</w:t>
            </w:r>
          </w:p>
        </w:tc>
      </w:tr>
    </w:tbl>
    <w:p w14:paraId="50D40A3D">
      <w:pPr>
        <w:rPr>
          <w:rFonts w:ascii="Arial"/>
          <w:sz w:val="21"/>
        </w:rPr>
      </w:pPr>
    </w:p>
    <w:p w14:paraId="01B4A4E9">
      <w:pPr>
        <w:rPr>
          <w:rFonts w:ascii="Arial" w:hAnsi="Arial" w:eastAsia="Arial" w:cs="Arial"/>
          <w:sz w:val="21"/>
          <w:szCs w:val="21"/>
        </w:rPr>
        <w:sectPr>
          <w:footerReference r:id="rId36" w:type="default"/>
          <w:pgSz w:w="11906" w:h="16839"/>
          <w:pgMar w:top="400" w:right="1403" w:bottom="1240" w:left="1572" w:header="0" w:footer="1078" w:gutter="0"/>
          <w:cols w:space="720" w:num="1"/>
        </w:sectPr>
      </w:pPr>
    </w:p>
    <w:p w14:paraId="17FEA55F">
      <w:pPr>
        <w:spacing w:before="56"/>
      </w:pPr>
    </w:p>
    <w:p w14:paraId="707E3E6A">
      <w:pPr>
        <w:spacing w:before="56"/>
      </w:pPr>
    </w:p>
    <w:p w14:paraId="64BA2120">
      <w:pPr>
        <w:spacing w:before="55"/>
      </w:pPr>
    </w:p>
    <w:p w14:paraId="4F43243F">
      <w:pPr>
        <w:spacing w:before="55"/>
      </w:pPr>
    </w:p>
    <w:tbl>
      <w:tblPr>
        <w:tblStyle w:val="5"/>
        <w:tblW w:w="891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6"/>
        <w:gridCol w:w="613"/>
        <w:gridCol w:w="737"/>
        <w:gridCol w:w="931"/>
        <w:gridCol w:w="927"/>
        <w:gridCol w:w="646"/>
        <w:gridCol w:w="548"/>
        <w:gridCol w:w="46"/>
        <w:gridCol w:w="3185"/>
        <w:gridCol w:w="816"/>
      </w:tblGrid>
      <w:tr w14:paraId="70553A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2" w:hRule="atLeast"/>
        </w:trPr>
        <w:tc>
          <w:tcPr>
            <w:tcW w:w="466" w:type="dxa"/>
            <w:vMerge w:val="restart"/>
            <w:tcBorders>
              <w:top w:val="single" w:color="000000" w:sz="6" w:space="0"/>
              <w:left w:val="single" w:color="000000" w:sz="6" w:space="0"/>
              <w:bottom w:val="nil"/>
            </w:tcBorders>
            <w:vAlign w:val="top"/>
          </w:tcPr>
          <w:p w14:paraId="5CDAEA29">
            <w:pPr>
              <w:rPr>
                <w:rFonts w:ascii="Arial"/>
                <w:sz w:val="21"/>
              </w:rPr>
            </w:pPr>
          </w:p>
        </w:tc>
        <w:tc>
          <w:tcPr>
            <w:tcW w:w="8449" w:type="dxa"/>
            <w:gridSpan w:val="9"/>
            <w:tcBorders>
              <w:top w:val="single" w:color="000000" w:sz="6" w:space="0"/>
              <w:bottom w:val="single" w:color="000000" w:sz="10" w:space="0"/>
              <w:right w:val="single" w:color="000000" w:sz="6" w:space="0"/>
            </w:tcBorders>
            <w:vAlign w:val="top"/>
          </w:tcPr>
          <w:p w14:paraId="462195FA">
            <w:pPr>
              <w:spacing w:before="140" w:line="222" w:lineRule="auto"/>
              <w:ind w:left="2721"/>
              <w:rPr>
                <w:rFonts w:ascii="黑体" w:hAnsi="黑体" w:eastAsia="黑体" w:cs="黑体"/>
                <w:sz w:val="24"/>
                <w:szCs w:val="24"/>
              </w:rPr>
            </w:pPr>
            <w:r>
              <w:rPr>
                <w:rFonts w:ascii="黑体" w:hAnsi="黑体" w:eastAsia="黑体" w:cs="黑体"/>
                <w:spacing w:val="-2"/>
                <w:sz w:val="24"/>
                <w:szCs w:val="24"/>
              </w:rPr>
              <w:t>表</w:t>
            </w:r>
            <w:r>
              <w:rPr>
                <w:rFonts w:ascii="黑体" w:hAnsi="黑体" w:eastAsia="黑体" w:cs="黑体"/>
                <w:spacing w:val="-41"/>
                <w:sz w:val="24"/>
                <w:szCs w:val="24"/>
              </w:rPr>
              <w:t xml:space="preserve"> </w:t>
            </w:r>
            <w:r>
              <w:rPr>
                <w:rFonts w:ascii="Times New Roman" w:hAnsi="Times New Roman" w:eastAsia="Times New Roman" w:cs="Times New Roman"/>
                <w:spacing w:val="-2"/>
                <w:sz w:val="24"/>
                <w:szCs w:val="24"/>
              </w:rPr>
              <w:t xml:space="preserve">2-7    </w:t>
            </w:r>
            <w:r>
              <w:rPr>
                <w:rFonts w:ascii="黑体" w:hAnsi="黑体" w:eastAsia="黑体" w:cs="黑体"/>
                <w:spacing w:val="-2"/>
                <w:sz w:val="24"/>
                <w:szCs w:val="24"/>
              </w:rPr>
              <w:t>项目临时用地情况表</w:t>
            </w:r>
          </w:p>
          <w:p w14:paraId="3228B72F">
            <w:pPr>
              <w:spacing w:line="65" w:lineRule="auto"/>
              <w:rPr>
                <w:rFonts w:ascii="Arial"/>
                <w:sz w:val="2"/>
              </w:rPr>
            </w:pPr>
          </w:p>
          <w:tbl>
            <w:tblPr>
              <w:tblStyle w:val="5"/>
              <w:tblW w:w="8234" w:type="dxa"/>
              <w:tblInd w:w="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45"/>
              <w:gridCol w:w="651"/>
              <w:gridCol w:w="763"/>
              <w:gridCol w:w="1090"/>
              <w:gridCol w:w="4285"/>
            </w:tblGrid>
            <w:tr w14:paraId="068682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1445" w:type="dxa"/>
                  <w:tcBorders>
                    <w:top w:val="single" w:color="000000" w:sz="10" w:space="0"/>
                    <w:left w:val="nil"/>
                  </w:tcBorders>
                  <w:vAlign w:val="top"/>
                </w:tcPr>
                <w:p w14:paraId="2BDA0A06">
                  <w:pPr>
                    <w:pStyle w:val="6"/>
                    <w:spacing w:before="170" w:line="230" w:lineRule="auto"/>
                    <w:ind w:left="520"/>
                    <w:rPr>
                      <w:sz w:val="20"/>
                      <w:szCs w:val="20"/>
                    </w:rPr>
                  </w:pPr>
                  <w:r>
                    <w:rPr>
                      <w:spacing w:val="3"/>
                      <w:sz w:val="20"/>
                      <w:szCs w:val="20"/>
                    </w:rPr>
                    <w:t>名称</w:t>
                  </w:r>
                </w:p>
              </w:tc>
              <w:tc>
                <w:tcPr>
                  <w:tcW w:w="651" w:type="dxa"/>
                  <w:tcBorders>
                    <w:top w:val="single" w:color="000000" w:sz="10" w:space="0"/>
                    <w:right w:val="single" w:color="000000" w:sz="2" w:space="0"/>
                  </w:tcBorders>
                  <w:vAlign w:val="top"/>
                </w:tcPr>
                <w:p w14:paraId="09E395B6">
                  <w:pPr>
                    <w:pStyle w:val="6"/>
                    <w:spacing w:before="170" w:line="228" w:lineRule="auto"/>
                    <w:ind w:left="119"/>
                    <w:rPr>
                      <w:sz w:val="20"/>
                      <w:szCs w:val="20"/>
                    </w:rPr>
                  </w:pPr>
                  <w:r>
                    <w:rPr>
                      <w:spacing w:val="4"/>
                      <w:sz w:val="20"/>
                      <w:szCs w:val="20"/>
                    </w:rPr>
                    <w:t>井别</w:t>
                  </w:r>
                </w:p>
              </w:tc>
              <w:tc>
                <w:tcPr>
                  <w:tcW w:w="763" w:type="dxa"/>
                  <w:tcBorders>
                    <w:top w:val="single" w:color="000000" w:sz="10" w:space="0"/>
                    <w:left w:val="single" w:color="000000" w:sz="2" w:space="0"/>
                  </w:tcBorders>
                  <w:vAlign w:val="top"/>
                </w:tcPr>
                <w:p w14:paraId="33C2BDA7">
                  <w:pPr>
                    <w:pStyle w:val="6"/>
                    <w:spacing w:before="35" w:line="230" w:lineRule="auto"/>
                    <w:ind w:left="170" w:right="64" w:hanging="97"/>
                    <w:rPr>
                      <w:rFonts w:ascii="Times New Roman" w:hAnsi="Times New Roman" w:eastAsia="Times New Roman" w:cs="Times New Roman"/>
                      <w:sz w:val="20"/>
                      <w:szCs w:val="20"/>
                    </w:rPr>
                  </w:pPr>
                  <w:r>
                    <w:rPr>
                      <w:spacing w:val="5"/>
                      <w:sz w:val="20"/>
                      <w:szCs w:val="20"/>
                    </w:rPr>
                    <w:t>设计井</w:t>
                  </w:r>
                  <w:r>
                    <w:rPr>
                      <w:spacing w:val="3"/>
                      <w:sz w:val="20"/>
                      <w:szCs w:val="20"/>
                    </w:rPr>
                    <w:t>深</w:t>
                  </w:r>
                  <w:r>
                    <w:rPr>
                      <w:spacing w:val="-44"/>
                      <w:sz w:val="20"/>
                      <w:szCs w:val="20"/>
                    </w:rPr>
                    <w:t xml:space="preserve"> </w:t>
                  </w:r>
                  <w:r>
                    <w:rPr>
                      <w:rFonts w:ascii="Times New Roman" w:hAnsi="Times New Roman" w:eastAsia="Times New Roman" w:cs="Times New Roman"/>
                      <w:spacing w:val="3"/>
                      <w:sz w:val="20"/>
                      <w:szCs w:val="20"/>
                    </w:rPr>
                    <w:t>m</w:t>
                  </w:r>
                </w:p>
              </w:tc>
              <w:tc>
                <w:tcPr>
                  <w:tcW w:w="1090" w:type="dxa"/>
                  <w:tcBorders>
                    <w:top w:val="single" w:color="000000" w:sz="10" w:space="0"/>
                  </w:tcBorders>
                  <w:vAlign w:val="top"/>
                </w:tcPr>
                <w:p w14:paraId="5A5F76A6">
                  <w:pPr>
                    <w:pStyle w:val="6"/>
                    <w:spacing w:before="35" w:line="230" w:lineRule="auto"/>
                    <w:ind w:left="300" w:right="16" w:hanging="278"/>
                    <w:rPr>
                      <w:rFonts w:ascii="Times New Roman" w:hAnsi="Times New Roman" w:eastAsia="Times New Roman" w:cs="Times New Roman"/>
                      <w:sz w:val="13"/>
                      <w:szCs w:val="13"/>
                    </w:rPr>
                  </w:pPr>
                  <w:r>
                    <w:rPr>
                      <w:spacing w:val="8"/>
                      <w:sz w:val="20"/>
                      <w:szCs w:val="20"/>
                    </w:rPr>
                    <w:t>井场占地面</w:t>
                  </w:r>
                  <w:r>
                    <w:rPr>
                      <w:spacing w:val="3"/>
                      <w:sz w:val="20"/>
                      <w:szCs w:val="20"/>
                    </w:rPr>
                    <w:t>积</w:t>
                  </w:r>
                  <w:r>
                    <w:rPr>
                      <w:spacing w:val="-46"/>
                      <w:sz w:val="20"/>
                      <w:szCs w:val="20"/>
                    </w:rPr>
                    <w:t xml:space="preserve"> </w:t>
                  </w:r>
                  <w:r>
                    <w:rPr>
                      <w:rFonts w:ascii="Times New Roman" w:hAnsi="Times New Roman" w:eastAsia="Times New Roman" w:cs="Times New Roman"/>
                      <w:spacing w:val="3"/>
                      <w:sz w:val="20"/>
                      <w:szCs w:val="20"/>
                    </w:rPr>
                    <w:t>m</w:t>
                  </w:r>
                  <w:r>
                    <w:rPr>
                      <w:rFonts w:ascii="Times New Roman" w:hAnsi="Times New Roman" w:eastAsia="Times New Roman" w:cs="Times New Roman"/>
                      <w:spacing w:val="3"/>
                      <w:position w:val="5"/>
                      <w:sz w:val="13"/>
                      <w:szCs w:val="13"/>
                    </w:rPr>
                    <w:t>2</w:t>
                  </w:r>
                </w:p>
              </w:tc>
              <w:tc>
                <w:tcPr>
                  <w:tcW w:w="4285" w:type="dxa"/>
                  <w:tcBorders>
                    <w:top w:val="single" w:color="000000" w:sz="10" w:space="0"/>
                    <w:right w:val="nil"/>
                  </w:tcBorders>
                  <w:vAlign w:val="top"/>
                </w:tcPr>
                <w:p w14:paraId="5B276DA8">
                  <w:pPr>
                    <w:pStyle w:val="6"/>
                    <w:spacing w:before="170" w:line="228" w:lineRule="auto"/>
                    <w:ind w:left="1765"/>
                    <w:rPr>
                      <w:sz w:val="20"/>
                      <w:szCs w:val="20"/>
                    </w:rPr>
                  </w:pPr>
                  <w:r>
                    <w:rPr>
                      <w:spacing w:val="-2"/>
                      <w:sz w:val="20"/>
                      <w:szCs w:val="20"/>
                    </w:rPr>
                    <w:t>占地类型</w:t>
                  </w:r>
                </w:p>
              </w:tc>
            </w:tr>
            <w:tr w14:paraId="6B02CF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1445" w:type="dxa"/>
                  <w:tcBorders>
                    <w:left w:val="nil"/>
                    <w:bottom w:val="single" w:color="000000" w:sz="10" w:space="0"/>
                  </w:tcBorders>
                  <w:vAlign w:val="top"/>
                </w:tcPr>
                <w:p w14:paraId="73F0673E">
                  <w:pPr>
                    <w:pStyle w:val="6"/>
                    <w:spacing w:before="175" w:line="228" w:lineRule="auto"/>
                    <w:ind w:left="129"/>
                    <w:rPr>
                      <w:sz w:val="20"/>
                      <w:szCs w:val="20"/>
                    </w:rPr>
                  </w:pPr>
                  <w:r>
                    <w:rPr>
                      <w:spacing w:val="3"/>
                      <w:sz w:val="20"/>
                      <w:szCs w:val="20"/>
                    </w:rPr>
                    <w:t>扎格</w:t>
                  </w:r>
                  <w:r>
                    <w:rPr>
                      <w:spacing w:val="-38"/>
                      <w:sz w:val="20"/>
                      <w:szCs w:val="20"/>
                    </w:rPr>
                    <w:t xml:space="preserve"> </w:t>
                  </w:r>
                  <w:r>
                    <w:rPr>
                      <w:rFonts w:ascii="Times New Roman" w:hAnsi="Times New Roman" w:eastAsia="Times New Roman" w:cs="Times New Roman"/>
                      <w:spacing w:val="3"/>
                      <w:sz w:val="20"/>
                      <w:szCs w:val="20"/>
                    </w:rPr>
                    <w:t>9X</w:t>
                  </w:r>
                  <w:r>
                    <w:rPr>
                      <w:rFonts w:ascii="Times New Roman" w:hAnsi="Times New Roman" w:eastAsia="Times New Roman" w:cs="Times New Roman"/>
                      <w:spacing w:val="11"/>
                      <w:sz w:val="20"/>
                      <w:szCs w:val="20"/>
                    </w:rPr>
                    <w:t xml:space="preserve"> </w:t>
                  </w:r>
                  <w:r>
                    <w:rPr>
                      <w:spacing w:val="3"/>
                      <w:sz w:val="20"/>
                      <w:szCs w:val="20"/>
                    </w:rPr>
                    <w:t>井场</w:t>
                  </w:r>
                </w:p>
              </w:tc>
              <w:tc>
                <w:tcPr>
                  <w:tcW w:w="651" w:type="dxa"/>
                  <w:tcBorders>
                    <w:bottom w:val="single" w:color="000000" w:sz="10" w:space="0"/>
                    <w:right w:val="single" w:color="000000" w:sz="2" w:space="0"/>
                  </w:tcBorders>
                  <w:vAlign w:val="top"/>
                </w:tcPr>
                <w:p w14:paraId="642B9CBE">
                  <w:pPr>
                    <w:pStyle w:val="6"/>
                    <w:spacing w:before="175" w:line="228" w:lineRule="auto"/>
                    <w:ind w:left="12"/>
                    <w:rPr>
                      <w:sz w:val="20"/>
                      <w:szCs w:val="20"/>
                    </w:rPr>
                  </w:pPr>
                  <w:r>
                    <w:rPr>
                      <w:spacing w:val="7"/>
                      <w:sz w:val="20"/>
                      <w:szCs w:val="20"/>
                    </w:rPr>
                    <w:t>勘探井</w:t>
                  </w:r>
                </w:p>
              </w:tc>
              <w:tc>
                <w:tcPr>
                  <w:tcW w:w="763" w:type="dxa"/>
                  <w:tcBorders>
                    <w:left w:val="single" w:color="000000" w:sz="2" w:space="0"/>
                    <w:bottom w:val="single" w:color="000000" w:sz="10" w:space="0"/>
                  </w:tcBorders>
                  <w:vAlign w:val="top"/>
                </w:tcPr>
                <w:p w14:paraId="62B02022">
                  <w:pPr>
                    <w:spacing w:before="213"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6700</w:t>
                  </w:r>
                </w:p>
              </w:tc>
              <w:tc>
                <w:tcPr>
                  <w:tcW w:w="1090" w:type="dxa"/>
                  <w:tcBorders>
                    <w:bottom w:val="single" w:color="000000" w:sz="10" w:space="0"/>
                  </w:tcBorders>
                  <w:vAlign w:val="top"/>
                </w:tcPr>
                <w:p w14:paraId="66507EB6">
                  <w:pPr>
                    <w:spacing w:before="213" w:line="195" w:lineRule="auto"/>
                    <w:ind w:left="303"/>
                    <w:rPr>
                      <w:rFonts w:ascii="Times New Roman" w:hAnsi="Times New Roman" w:eastAsia="Times New Roman" w:cs="Times New Roman"/>
                      <w:sz w:val="20"/>
                      <w:szCs w:val="20"/>
                    </w:rPr>
                  </w:pPr>
                  <w:r>
                    <w:rPr>
                      <w:rFonts w:ascii="Times New Roman" w:hAnsi="Times New Roman" w:eastAsia="Times New Roman" w:cs="Times New Roman"/>
                      <w:sz w:val="20"/>
                      <w:szCs w:val="20"/>
                    </w:rPr>
                    <w:t>13293</w:t>
                  </w:r>
                </w:p>
              </w:tc>
              <w:tc>
                <w:tcPr>
                  <w:tcW w:w="4285" w:type="dxa"/>
                  <w:tcBorders>
                    <w:bottom w:val="single" w:color="000000" w:sz="10" w:space="0"/>
                    <w:right w:val="nil"/>
                  </w:tcBorders>
                  <w:vAlign w:val="top"/>
                </w:tcPr>
                <w:p w14:paraId="4FFF59F7">
                  <w:pPr>
                    <w:pStyle w:val="6"/>
                    <w:spacing w:before="41" w:line="227" w:lineRule="auto"/>
                    <w:jc w:val="right"/>
                    <w:rPr>
                      <w:sz w:val="20"/>
                      <w:szCs w:val="20"/>
                    </w:rPr>
                  </w:pPr>
                  <w:r>
                    <w:rPr>
                      <w:spacing w:val="2"/>
                      <w:sz w:val="20"/>
                      <w:szCs w:val="20"/>
                    </w:rPr>
                    <w:t>均为农用地，其中占用耕地</w:t>
                  </w:r>
                  <w:r>
                    <w:rPr>
                      <w:spacing w:val="-2"/>
                      <w:sz w:val="20"/>
                      <w:szCs w:val="20"/>
                    </w:rPr>
                    <w:t xml:space="preserve"> </w:t>
                  </w:r>
                  <w:r>
                    <w:rPr>
                      <w:rFonts w:ascii="Times New Roman" w:hAnsi="Times New Roman" w:eastAsia="Times New Roman" w:cs="Times New Roman"/>
                      <w:spacing w:val="2"/>
                      <w:sz w:val="20"/>
                      <w:szCs w:val="20"/>
                    </w:rPr>
                    <w:t>12989m</w:t>
                  </w:r>
                  <w:r>
                    <w:rPr>
                      <w:rFonts w:ascii="Times New Roman" w:hAnsi="Times New Roman" w:eastAsia="Times New Roman" w:cs="Times New Roman"/>
                      <w:spacing w:val="2"/>
                      <w:position w:val="6"/>
                      <w:sz w:val="13"/>
                      <w:szCs w:val="13"/>
                    </w:rPr>
                    <w:t>2</w:t>
                  </w:r>
                  <w:r>
                    <w:rPr>
                      <w:spacing w:val="2"/>
                      <w:sz w:val="20"/>
                      <w:szCs w:val="20"/>
                    </w:rPr>
                    <w:t>、水域及水</w:t>
                  </w:r>
                </w:p>
                <w:p w14:paraId="5441528C">
                  <w:pPr>
                    <w:pStyle w:val="6"/>
                    <w:spacing w:before="25" w:line="217" w:lineRule="auto"/>
                    <w:ind w:left="1326"/>
                    <w:rPr>
                      <w:rFonts w:ascii="Times New Roman" w:hAnsi="Times New Roman" w:eastAsia="Times New Roman" w:cs="Times New Roman"/>
                      <w:sz w:val="13"/>
                      <w:szCs w:val="13"/>
                    </w:rPr>
                  </w:pPr>
                  <w:r>
                    <w:rPr>
                      <w:spacing w:val="5"/>
                      <w:sz w:val="20"/>
                      <w:szCs w:val="20"/>
                    </w:rPr>
                    <w:t>利设施用地</w:t>
                  </w:r>
                  <w:r>
                    <w:rPr>
                      <w:spacing w:val="-33"/>
                      <w:sz w:val="20"/>
                      <w:szCs w:val="20"/>
                    </w:rPr>
                    <w:t xml:space="preserve"> </w:t>
                  </w:r>
                  <w:r>
                    <w:rPr>
                      <w:rFonts w:ascii="Times New Roman" w:hAnsi="Times New Roman" w:eastAsia="Times New Roman" w:cs="Times New Roman"/>
                      <w:spacing w:val="5"/>
                      <w:sz w:val="20"/>
                      <w:szCs w:val="20"/>
                    </w:rPr>
                    <w:t>304m</w:t>
                  </w:r>
                  <w:r>
                    <w:rPr>
                      <w:rFonts w:ascii="Times New Roman" w:hAnsi="Times New Roman" w:eastAsia="Times New Roman" w:cs="Times New Roman"/>
                      <w:spacing w:val="5"/>
                      <w:position w:val="6"/>
                      <w:sz w:val="13"/>
                      <w:szCs w:val="13"/>
                    </w:rPr>
                    <w:t>2</w:t>
                  </w:r>
                </w:p>
              </w:tc>
            </w:tr>
          </w:tbl>
          <w:p w14:paraId="1F74AF51">
            <w:pPr>
              <w:pStyle w:val="6"/>
              <w:spacing w:before="37" w:line="359" w:lineRule="auto"/>
              <w:ind w:left="108" w:right="102" w:firstLine="476"/>
            </w:pPr>
            <w:r>
              <w:rPr>
                <w:rFonts w:ascii="Times New Roman" w:hAnsi="Times New Roman" w:eastAsia="Times New Roman" w:cs="Times New Roman"/>
                <w:spacing w:val="-6"/>
              </w:rPr>
              <w:t xml:space="preserve">2026 </w:t>
            </w:r>
            <w:r>
              <w:rPr>
                <w:spacing w:val="-6"/>
              </w:rPr>
              <w:t>年</w:t>
            </w:r>
            <w:r>
              <w:rPr>
                <w:spacing w:val="-45"/>
              </w:rPr>
              <w:t xml:space="preserve"> </w:t>
            </w:r>
            <w:r>
              <w:rPr>
                <w:rFonts w:ascii="Times New Roman" w:hAnsi="Times New Roman" w:eastAsia="Times New Roman" w:cs="Times New Roman"/>
                <w:spacing w:val="-6"/>
              </w:rPr>
              <w:t>5</w:t>
            </w:r>
            <w:r>
              <w:rPr>
                <w:rFonts w:ascii="Times New Roman" w:hAnsi="Times New Roman" w:eastAsia="Times New Roman" w:cs="Times New Roman"/>
                <w:spacing w:val="15"/>
                <w:w w:val="101"/>
              </w:rPr>
              <w:t xml:space="preserve"> </w:t>
            </w:r>
            <w:r>
              <w:rPr>
                <w:spacing w:val="-6"/>
              </w:rPr>
              <w:t>月</w:t>
            </w:r>
            <w:r>
              <w:rPr>
                <w:spacing w:val="-32"/>
              </w:rPr>
              <w:t xml:space="preserve"> </w:t>
            </w:r>
            <w:r>
              <w:rPr>
                <w:rFonts w:ascii="Times New Roman" w:hAnsi="Times New Roman" w:eastAsia="Times New Roman" w:cs="Times New Roman"/>
                <w:spacing w:val="-6"/>
              </w:rPr>
              <w:t xml:space="preserve">19  </w:t>
            </w:r>
            <w:r>
              <w:rPr>
                <w:spacing w:val="-6"/>
              </w:rPr>
              <w:t>日巴彦淖尔市自然资源局出具“关于中国石油天然气股份有</w:t>
            </w:r>
            <w:r>
              <w:rPr>
                <w:spacing w:val="-1"/>
              </w:rPr>
              <w:t>限公司华北油田巴彦勘探开发分公司扎格</w:t>
            </w:r>
            <w:r>
              <w:rPr>
                <w:spacing w:val="-35"/>
              </w:rPr>
              <w:t xml:space="preserve"> </w:t>
            </w:r>
            <w:r>
              <w:rPr>
                <w:rFonts w:ascii="Times New Roman" w:hAnsi="Times New Roman" w:eastAsia="Times New Roman" w:cs="Times New Roman"/>
                <w:spacing w:val="-1"/>
              </w:rPr>
              <w:t xml:space="preserve">9X </w:t>
            </w:r>
            <w:r>
              <w:rPr>
                <w:spacing w:val="-1"/>
              </w:rPr>
              <w:t>井油气勘探开发项目临时用地的</w:t>
            </w:r>
            <w:r>
              <w:rPr>
                <w:spacing w:val="-4"/>
              </w:rPr>
              <w:t>批复</w:t>
            </w:r>
            <w:r>
              <w:rPr>
                <w:spacing w:val="-82"/>
              </w:rPr>
              <w:t xml:space="preserve"> </w:t>
            </w:r>
            <w:r>
              <w:rPr>
                <w:spacing w:val="-4"/>
              </w:rPr>
              <w:t>”同意临时用地申请。</w:t>
            </w:r>
          </w:p>
          <w:p w14:paraId="7AE723A9">
            <w:pPr>
              <w:spacing w:line="213" w:lineRule="auto"/>
              <w:ind w:left="2301"/>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55"/>
                <w:sz w:val="24"/>
                <w:szCs w:val="24"/>
              </w:rPr>
              <w:t xml:space="preserve"> </w:t>
            </w:r>
            <w:r>
              <w:rPr>
                <w:rFonts w:ascii="Times New Roman" w:hAnsi="Times New Roman" w:eastAsia="Times New Roman" w:cs="Times New Roman"/>
                <w:spacing w:val="-1"/>
                <w:sz w:val="24"/>
                <w:szCs w:val="24"/>
              </w:rPr>
              <w:t xml:space="preserve">2-6  </w:t>
            </w:r>
            <w:r>
              <w:rPr>
                <w:rFonts w:ascii="黑体" w:hAnsi="黑体" w:eastAsia="黑体" w:cs="黑体"/>
                <w:spacing w:val="-1"/>
                <w:sz w:val="24"/>
                <w:szCs w:val="24"/>
              </w:rPr>
              <w:t>项目占地范围拐点坐标一览表</w:t>
            </w:r>
          </w:p>
        </w:tc>
      </w:tr>
      <w:tr w14:paraId="4FADE0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466" w:type="dxa"/>
            <w:vMerge w:val="continue"/>
            <w:tcBorders>
              <w:top w:val="nil"/>
              <w:left w:val="single" w:color="000000" w:sz="6" w:space="0"/>
              <w:bottom w:val="nil"/>
            </w:tcBorders>
            <w:vAlign w:val="top"/>
          </w:tcPr>
          <w:p w14:paraId="10FAD7B0">
            <w:pPr>
              <w:rPr>
                <w:rFonts w:ascii="Arial"/>
                <w:sz w:val="21"/>
              </w:rPr>
            </w:pPr>
          </w:p>
        </w:tc>
        <w:tc>
          <w:tcPr>
            <w:tcW w:w="613" w:type="dxa"/>
            <w:vMerge w:val="restart"/>
            <w:tcBorders>
              <w:top w:val="single" w:color="000000" w:sz="10" w:space="0"/>
              <w:bottom w:val="nil"/>
            </w:tcBorders>
            <w:vAlign w:val="top"/>
          </w:tcPr>
          <w:p w14:paraId="4DDDB28E">
            <w:pPr>
              <w:pStyle w:val="6"/>
              <w:spacing w:before="288" w:line="229" w:lineRule="auto"/>
              <w:ind w:left="147"/>
              <w:rPr>
                <w:sz w:val="20"/>
                <w:szCs w:val="20"/>
              </w:rPr>
            </w:pPr>
            <w:r>
              <w:rPr>
                <w:spacing w:val="5"/>
                <w:sz w:val="20"/>
                <w:szCs w:val="20"/>
              </w:rPr>
              <w:t>序号</w:t>
            </w:r>
          </w:p>
        </w:tc>
        <w:tc>
          <w:tcPr>
            <w:tcW w:w="3241" w:type="dxa"/>
            <w:gridSpan w:val="4"/>
            <w:tcBorders>
              <w:top w:val="single" w:color="000000" w:sz="10" w:space="0"/>
            </w:tcBorders>
            <w:vAlign w:val="top"/>
          </w:tcPr>
          <w:p w14:paraId="1368EEED">
            <w:pPr>
              <w:pStyle w:val="6"/>
              <w:spacing w:before="87" w:line="228" w:lineRule="auto"/>
              <w:ind w:left="1204"/>
              <w:rPr>
                <w:sz w:val="20"/>
                <w:szCs w:val="20"/>
              </w:rPr>
            </w:pPr>
            <w:r>
              <w:rPr>
                <w:spacing w:val="7"/>
                <w:sz w:val="20"/>
                <w:szCs w:val="20"/>
              </w:rPr>
              <w:t>拐点坐标</w:t>
            </w:r>
          </w:p>
        </w:tc>
        <w:tc>
          <w:tcPr>
            <w:tcW w:w="548" w:type="dxa"/>
            <w:vMerge w:val="restart"/>
            <w:tcBorders>
              <w:top w:val="single" w:color="000000" w:sz="10" w:space="0"/>
              <w:bottom w:val="nil"/>
            </w:tcBorders>
            <w:vAlign w:val="top"/>
          </w:tcPr>
          <w:p w14:paraId="0930E85E">
            <w:pPr>
              <w:pStyle w:val="6"/>
              <w:spacing w:before="288" w:line="229" w:lineRule="auto"/>
              <w:ind w:left="68"/>
              <w:rPr>
                <w:sz w:val="20"/>
                <w:szCs w:val="20"/>
              </w:rPr>
            </w:pPr>
            <w:r>
              <w:rPr>
                <w:spacing w:val="5"/>
                <w:sz w:val="20"/>
                <w:szCs w:val="20"/>
              </w:rPr>
              <w:t>序号</w:t>
            </w:r>
          </w:p>
        </w:tc>
        <w:tc>
          <w:tcPr>
            <w:tcW w:w="3231" w:type="dxa"/>
            <w:gridSpan w:val="2"/>
            <w:tcBorders>
              <w:top w:val="single" w:color="000000" w:sz="10" w:space="0"/>
            </w:tcBorders>
            <w:vAlign w:val="top"/>
          </w:tcPr>
          <w:p w14:paraId="79F58288">
            <w:pPr>
              <w:pStyle w:val="6"/>
              <w:spacing w:before="87" w:line="228" w:lineRule="auto"/>
              <w:ind w:left="1204"/>
              <w:rPr>
                <w:sz w:val="20"/>
                <w:szCs w:val="20"/>
              </w:rPr>
            </w:pPr>
            <w:r>
              <w:rPr>
                <w:spacing w:val="7"/>
                <w:sz w:val="20"/>
                <w:szCs w:val="20"/>
              </w:rPr>
              <w:t>拐点坐标</w:t>
            </w:r>
          </w:p>
        </w:tc>
        <w:tc>
          <w:tcPr>
            <w:tcW w:w="816" w:type="dxa"/>
            <w:vMerge w:val="restart"/>
            <w:tcBorders>
              <w:top w:val="single" w:color="000000" w:sz="10" w:space="0"/>
              <w:bottom w:val="nil"/>
              <w:right w:val="single" w:color="000000" w:sz="6" w:space="0"/>
            </w:tcBorders>
            <w:vAlign w:val="top"/>
          </w:tcPr>
          <w:p w14:paraId="7E6FB679">
            <w:pPr>
              <w:pStyle w:val="6"/>
              <w:spacing w:before="152" w:line="254" w:lineRule="auto"/>
              <w:ind w:left="113" w:right="138" w:hanging="32"/>
              <w:rPr>
                <w:rFonts w:ascii="Times New Roman" w:hAnsi="Times New Roman" w:eastAsia="Times New Roman" w:cs="Times New Roman"/>
                <w:sz w:val="13"/>
                <w:szCs w:val="13"/>
              </w:rPr>
            </w:pPr>
            <w:r>
              <w:rPr>
                <w:spacing w:val="-5"/>
                <w:sz w:val="20"/>
                <w:szCs w:val="20"/>
              </w:rPr>
              <w:t>占地面</w:t>
            </w:r>
            <w:r>
              <w:rPr>
                <w:spacing w:val="3"/>
                <w:sz w:val="20"/>
                <w:szCs w:val="20"/>
              </w:rPr>
              <w:t>积</w:t>
            </w:r>
            <w:r>
              <w:rPr>
                <w:spacing w:val="-46"/>
                <w:sz w:val="20"/>
                <w:szCs w:val="20"/>
              </w:rPr>
              <w:t xml:space="preserve"> </w:t>
            </w:r>
            <w:r>
              <w:rPr>
                <w:rFonts w:ascii="Times New Roman" w:hAnsi="Times New Roman" w:eastAsia="Times New Roman" w:cs="Times New Roman"/>
                <w:spacing w:val="3"/>
                <w:sz w:val="20"/>
                <w:szCs w:val="20"/>
              </w:rPr>
              <w:t>m</w:t>
            </w:r>
            <w:r>
              <w:rPr>
                <w:rFonts w:ascii="Times New Roman" w:hAnsi="Times New Roman" w:eastAsia="Times New Roman" w:cs="Times New Roman"/>
                <w:spacing w:val="3"/>
                <w:position w:val="5"/>
                <w:sz w:val="13"/>
                <w:szCs w:val="13"/>
              </w:rPr>
              <w:t>2</w:t>
            </w:r>
          </w:p>
        </w:tc>
      </w:tr>
      <w:tr w14:paraId="464112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466" w:type="dxa"/>
            <w:vMerge w:val="continue"/>
            <w:tcBorders>
              <w:top w:val="nil"/>
              <w:left w:val="single" w:color="000000" w:sz="6" w:space="0"/>
              <w:bottom w:val="nil"/>
            </w:tcBorders>
            <w:vAlign w:val="top"/>
          </w:tcPr>
          <w:p w14:paraId="5FB1A070">
            <w:pPr>
              <w:rPr>
                <w:rFonts w:ascii="Arial"/>
                <w:sz w:val="21"/>
              </w:rPr>
            </w:pPr>
          </w:p>
        </w:tc>
        <w:tc>
          <w:tcPr>
            <w:tcW w:w="613" w:type="dxa"/>
            <w:vMerge w:val="continue"/>
            <w:tcBorders>
              <w:top w:val="nil"/>
            </w:tcBorders>
            <w:vAlign w:val="top"/>
          </w:tcPr>
          <w:p w14:paraId="5DAC5091">
            <w:pPr>
              <w:rPr>
                <w:rFonts w:ascii="Arial"/>
                <w:sz w:val="21"/>
              </w:rPr>
            </w:pPr>
          </w:p>
        </w:tc>
        <w:tc>
          <w:tcPr>
            <w:tcW w:w="3241" w:type="dxa"/>
            <w:gridSpan w:val="4"/>
            <w:vAlign w:val="top"/>
          </w:tcPr>
          <w:p w14:paraId="5AE0C2FF">
            <w:pPr>
              <w:pStyle w:val="6"/>
              <w:spacing w:before="96" w:line="228" w:lineRule="auto"/>
              <w:ind w:left="1099"/>
              <w:rPr>
                <w:sz w:val="20"/>
                <w:szCs w:val="20"/>
              </w:rPr>
            </w:pPr>
            <w:r>
              <w:rPr>
                <w:spacing w:val="7"/>
                <w:sz w:val="20"/>
                <w:szCs w:val="20"/>
              </w:rPr>
              <w:t>经度，纬度</w:t>
            </w:r>
          </w:p>
        </w:tc>
        <w:tc>
          <w:tcPr>
            <w:tcW w:w="548" w:type="dxa"/>
            <w:vMerge w:val="continue"/>
            <w:tcBorders>
              <w:top w:val="nil"/>
            </w:tcBorders>
            <w:vAlign w:val="top"/>
          </w:tcPr>
          <w:p w14:paraId="218F1DA8">
            <w:pPr>
              <w:rPr>
                <w:rFonts w:ascii="Arial"/>
                <w:sz w:val="21"/>
              </w:rPr>
            </w:pPr>
          </w:p>
        </w:tc>
        <w:tc>
          <w:tcPr>
            <w:tcW w:w="3231" w:type="dxa"/>
            <w:gridSpan w:val="2"/>
            <w:vAlign w:val="top"/>
          </w:tcPr>
          <w:p w14:paraId="0CFF967B">
            <w:pPr>
              <w:pStyle w:val="6"/>
              <w:spacing w:before="96" w:line="228" w:lineRule="auto"/>
              <w:ind w:left="1100"/>
              <w:rPr>
                <w:sz w:val="20"/>
                <w:szCs w:val="20"/>
              </w:rPr>
            </w:pPr>
            <w:r>
              <w:rPr>
                <w:spacing w:val="7"/>
                <w:sz w:val="20"/>
                <w:szCs w:val="20"/>
              </w:rPr>
              <w:t>经度，纬度</w:t>
            </w:r>
          </w:p>
        </w:tc>
        <w:tc>
          <w:tcPr>
            <w:tcW w:w="816" w:type="dxa"/>
            <w:vMerge w:val="continue"/>
            <w:tcBorders>
              <w:top w:val="nil"/>
              <w:right w:val="single" w:color="000000" w:sz="6" w:space="0"/>
            </w:tcBorders>
            <w:vAlign w:val="top"/>
          </w:tcPr>
          <w:p w14:paraId="7C6DAF62">
            <w:pPr>
              <w:rPr>
                <w:rFonts w:ascii="Arial"/>
                <w:sz w:val="21"/>
              </w:rPr>
            </w:pPr>
          </w:p>
        </w:tc>
      </w:tr>
      <w:tr w14:paraId="40F06C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466" w:type="dxa"/>
            <w:vMerge w:val="continue"/>
            <w:tcBorders>
              <w:top w:val="nil"/>
              <w:left w:val="single" w:color="000000" w:sz="6" w:space="0"/>
              <w:bottom w:val="nil"/>
            </w:tcBorders>
            <w:vAlign w:val="top"/>
          </w:tcPr>
          <w:p w14:paraId="36FB1C7D">
            <w:pPr>
              <w:rPr>
                <w:rFonts w:ascii="Arial"/>
                <w:sz w:val="21"/>
              </w:rPr>
            </w:pPr>
          </w:p>
        </w:tc>
        <w:tc>
          <w:tcPr>
            <w:tcW w:w="613" w:type="dxa"/>
            <w:vAlign w:val="top"/>
          </w:tcPr>
          <w:p w14:paraId="579A6A34">
            <w:pPr>
              <w:spacing w:before="130" w:line="195" w:lineRule="auto"/>
              <w:ind w:left="32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241" w:type="dxa"/>
            <w:gridSpan w:val="4"/>
            <w:vAlign w:val="top"/>
          </w:tcPr>
          <w:p w14:paraId="3ACA5AB7">
            <w:pPr>
              <w:pStyle w:val="6"/>
              <w:spacing w:before="130" w:line="163" w:lineRule="auto"/>
              <w:ind w:left="3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106°54,28.23″</w:t>
            </w:r>
            <w:r>
              <w:rPr>
                <w:rFonts w:ascii="Times New Roman" w:hAnsi="Times New Roman" w:eastAsia="Times New Roman" w:cs="Times New Roman"/>
                <w:spacing w:val="-22"/>
                <w:sz w:val="20"/>
                <w:szCs w:val="20"/>
              </w:rPr>
              <w:t xml:space="preserve"> </w:t>
            </w:r>
            <w:r>
              <w:rPr>
                <w:spacing w:val="2"/>
                <w:sz w:val="20"/>
                <w:szCs w:val="20"/>
              </w:rPr>
              <w:t>，</w:t>
            </w:r>
            <w:r>
              <w:rPr>
                <w:rFonts w:ascii="Times New Roman" w:hAnsi="Times New Roman" w:eastAsia="Times New Roman" w:cs="Times New Roman"/>
                <w:spacing w:val="2"/>
                <w:sz w:val="20"/>
                <w:szCs w:val="20"/>
              </w:rPr>
              <w:t>40°39,59.74″</w:t>
            </w:r>
          </w:p>
        </w:tc>
        <w:tc>
          <w:tcPr>
            <w:tcW w:w="548" w:type="dxa"/>
            <w:vAlign w:val="top"/>
          </w:tcPr>
          <w:p w14:paraId="0E1ADEA8">
            <w:pPr>
              <w:spacing w:before="130" w:line="195"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3231" w:type="dxa"/>
            <w:gridSpan w:val="2"/>
            <w:vAlign w:val="top"/>
          </w:tcPr>
          <w:p w14:paraId="5A8649C4">
            <w:pPr>
              <w:pStyle w:val="6"/>
              <w:spacing w:before="130" w:line="163" w:lineRule="auto"/>
              <w:ind w:left="3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106°54,29.63″</w:t>
            </w:r>
            <w:r>
              <w:rPr>
                <w:rFonts w:ascii="Times New Roman" w:hAnsi="Times New Roman" w:eastAsia="Times New Roman" w:cs="Times New Roman"/>
                <w:spacing w:val="-22"/>
                <w:sz w:val="20"/>
                <w:szCs w:val="20"/>
              </w:rPr>
              <w:t xml:space="preserve"> </w:t>
            </w:r>
            <w:r>
              <w:rPr>
                <w:spacing w:val="2"/>
                <w:sz w:val="20"/>
                <w:szCs w:val="20"/>
              </w:rPr>
              <w:t>，</w:t>
            </w:r>
            <w:r>
              <w:rPr>
                <w:rFonts w:ascii="Times New Roman" w:hAnsi="Times New Roman" w:eastAsia="Times New Roman" w:cs="Times New Roman"/>
                <w:spacing w:val="2"/>
                <w:sz w:val="20"/>
                <w:szCs w:val="20"/>
              </w:rPr>
              <w:t>40°39,54.79″</w:t>
            </w:r>
          </w:p>
        </w:tc>
        <w:tc>
          <w:tcPr>
            <w:tcW w:w="816" w:type="dxa"/>
            <w:vMerge w:val="restart"/>
            <w:tcBorders>
              <w:bottom w:val="nil"/>
              <w:right w:val="single" w:color="000000" w:sz="6" w:space="0"/>
            </w:tcBorders>
            <w:vAlign w:val="top"/>
          </w:tcPr>
          <w:p w14:paraId="34E69495">
            <w:pPr>
              <w:spacing w:line="473" w:lineRule="auto"/>
              <w:rPr>
                <w:rFonts w:ascii="Arial"/>
                <w:sz w:val="21"/>
              </w:rPr>
            </w:pPr>
          </w:p>
          <w:p w14:paraId="10B0639D">
            <w:pPr>
              <w:spacing w:before="57" w:line="195" w:lineRule="auto"/>
              <w:ind w:left="115"/>
              <w:rPr>
                <w:rFonts w:ascii="Times New Roman" w:hAnsi="Times New Roman" w:eastAsia="Times New Roman" w:cs="Times New Roman"/>
                <w:sz w:val="20"/>
                <w:szCs w:val="20"/>
              </w:rPr>
            </w:pPr>
            <w:r>
              <w:rPr>
                <w:rFonts w:ascii="Times New Roman" w:hAnsi="Times New Roman" w:eastAsia="Times New Roman" w:cs="Times New Roman"/>
                <w:sz w:val="20"/>
                <w:szCs w:val="20"/>
              </w:rPr>
              <w:t>13293</w:t>
            </w:r>
          </w:p>
        </w:tc>
      </w:tr>
      <w:tr w14:paraId="3E4B41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466" w:type="dxa"/>
            <w:vMerge w:val="continue"/>
            <w:tcBorders>
              <w:top w:val="nil"/>
              <w:left w:val="single" w:color="000000" w:sz="6" w:space="0"/>
              <w:bottom w:val="nil"/>
            </w:tcBorders>
            <w:vAlign w:val="top"/>
          </w:tcPr>
          <w:p w14:paraId="2014E85B">
            <w:pPr>
              <w:rPr>
                <w:rFonts w:ascii="Arial"/>
                <w:sz w:val="21"/>
              </w:rPr>
            </w:pPr>
          </w:p>
        </w:tc>
        <w:tc>
          <w:tcPr>
            <w:tcW w:w="613" w:type="dxa"/>
            <w:vAlign w:val="top"/>
          </w:tcPr>
          <w:p w14:paraId="32909605">
            <w:pPr>
              <w:spacing w:before="131" w:line="195" w:lineRule="auto"/>
              <w:ind w:left="30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241" w:type="dxa"/>
            <w:gridSpan w:val="4"/>
            <w:vAlign w:val="top"/>
          </w:tcPr>
          <w:p w14:paraId="7D42DF33">
            <w:pPr>
              <w:pStyle w:val="6"/>
              <w:spacing w:before="131" w:line="163" w:lineRule="auto"/>
              <w:ind w:left="3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106°54,31.47″</w:t>
            </w:r>
            <w:r>
              <w:rPr>
                <w:rFonts w:ascii="Times New Roman" w:hAnsi="Times New Roman" w:eastAsia="Times New Roman" w:cs="Times New Roman"/>
                <w:spacing w:val="-22"/>
                <w:sz w:val="20"/>
                <w:szCs w:val="20"/>
              </w:rPr>
              <w:t xml:space="preserve"> </w:t>
            </w:r>
            <w:r>
              <w:rPr>
                <w:spacing w:val="2"/>
                <w:sz w:val="20"/>
                <w:szCs w:val="20"/>
              </w:rPr>
              <w:t>，</w:t>
            </w:r>
            <w:r>
              <w:rPr>
                <w:rFonts w:ascii="Times New Roman" w:hAnsi="Times New Roman" w:eastAsia="Times New Roman" w:cs="Times New Roman"/>
                <w:spacing w:val="2"/>
                <w:sz w:val="20"/>
                <w:szCs w:val="20"/>
              </w:rPr>
              <w:t>40°39,59.50″</w:t>
            </w:r>
          </w:p>
        </w:tc>
        <w:tc>
          <w:tcPr>
            <w:tcW w:w="548" w:type="dxa"/>
            <w:vAlign w:val="top"/>
          </w:tcPr>
          <w:p w14:paraId="2AE452DC">
            <w:pPr>
              <w:spacing w:before="134" w:line="192" w:lineRule="auto"/>
              <w:ind w:left="23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3231" w:type="dxa"/>
            <w:gridSpan w:val="2"/>
            <w:vAlign w:val="top"/>
          </w:tcPr>
          <w:p w14:paraId="7751EE1E">
            <w:pPr>
              <w:pStyle w:val="6"/>
              <w:spacing w:before="131" w:line="163" w:lineRule="auto"/>
              <w:ind w:left="3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106°54,25.82″</w:t>
            </w:r>
            <w:r>
              <w:rPr>
                <w:rFonts w:ascii="Times New Roman" w:hAnsi="Times New Roman" w:eastAsia="Times New Roman" w:cs="Times New Roman"/>
                <w:spacing w:val="-22"/>
                <w:sz w:val="20"/>
                <w:szCs w:val="20"/>
              </w:rPr>
              <w:t xml:space="preserve"> </w:t>
            </w:r>
            <w:r>
              <w:rPr>
                <w:spacing w:val="2"/>
                <w:sz w:val="20"/>
                <w:szCs w:val="20"/>
              </w:rPr>
              <w:t>，</w:t>
            </w:r>
            <w:r>
              <w:rPr>
                <w:rFonts w:ascii="Times New Roman" w:hAnsi="Times New Roman" w:eastAsia="Times New Roman" w:cs="Times New Roman"/>
                <w:spacing w:val="2"/>
                <w:sz w:val="20"/>
                <w:szCs w:val="20"/>
              </w:rPr>
              <w:t>40°39,55.05″</w:t>
            </w:r>
          </w:p>
        </w:tc>
        <w:tc>
          <w:tcPr>
            <w:tcW w:w="816" w:type="dxa"/>
            <w:vMerge w:val="continue"/>
            <w:tcBorders>
              <w:top w:val="nil"/>
              <w:bottom w:val="nil"/>
              <w:right w:val="single" w:color="000000" w:sz="6" w:space="0"/>
            </w:tcBorders>
            <w:vAlign w:val="top"/>
          </w:tcPr>
          <w:p w14:paraId="6140CA88">
            <w:pPr>
              <w:rPr>
                <w:rFonts w:ascii="Arial"/>
                <w:sz w:val="21"/>
              </w:rPr>
            </w:pPr>
          </w:p>
        </w:tc>
      </w:tr>
      <w:tr w14:paraId="036987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466" w:type="dxa"/>
            <w:vMerge w:val="continue"/>
            <w:tcBorders>
              <w:top w:val="nil"/>
              <w:left w:val="single" w:color="000000" w:sz="6" w:space="0"/>
              <w:bottom w:val="nil"/>
            </w:tcBorders>
            <w:vAlign w:val="top"/>
          </w:tcPr>
          <w:p w14:paraId="0211C908">
            <w:pPr>
              <w:rPr>
                <w:rFonts w:ascii="Arial"/>
                <w:sz w:val="21"/>
              </w:rPr>
            </w:pPr>
          </w:p>
        </w:tc>
        <w:tc>
          <w:tcPr>
            <w:tcW w:w="613" w:type="dxa"/>
            <w:tcBorders>
              <w:bottom w:val="single" w:color="000000" w:sz="10" w:space="0"/>
            </w:tcBorders>
            <w:vAlign w:val="top"/>
          </w:tcPr>
          <w:p w14:paraId="329A02C7">
            <w:pPr>
              <w:spacing w:before="130" w:line="195" w:lineRule="auto"/>
              <w:ind w:left="30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3241" w:type="dxa"/>
            <w:gridSpan w:val="4"/>
            <w:tcBorders>
              <w:bottom w:val="single" w:color="000000" w:sz="10" w:space="0"/>
            </w:tcBorders>
            <w:vAlign w:val="top"/>
          </w:tcPr>
          <w:p w14:paraId="63C55503">
            <w:pPr>
              <w:pStyle w:val="6"/>
              <w:spacing w:before="130" w:line="163" w:lineRule="auto"/>
              <w:ind w:left="3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106°54,31.81″</w:t>
            </w:r>
            <w:r>
              <w:rPr>
                <w:rFonts w:ascii="Times New Roman" w:hAnsi="Times New Roman" w:eastAsia="Times New Roman" w:cs="Times New Roman"/>
                <w:spacing w:val="-22"/>
                <w:sz w:val="20"/>
                <w:szCs w:val="20"/>
              </w:rPr>
              <w:t xml:space="preserve"> </w:t>
            </w:r>
            <w:r>
              <w:rPr>
                <w:spacing w:val="2"/>
                <w:sz w:val="20"/>
                <w:szCs w:val="20"/>
              </w:rPr>
              <w:t>，</w:t>
            </w:r>
            <w:r>
              <w:rPr>
                <w:rFonts w:ascii="Times New Roman" w:hAnsi="Times New Roman" w:eastAsia="Times New Roman" w:cs="Times New Roman"/>
                <w:spacing w:val="2"/>
                <w:sz w:val="20"/>
                <w:szCs w:val="20"/>
              </w:rPr>
              <w:t>40°39,59.02″</w:t>
            </w:r>
          </w:p>
        </w:tc>
        <w:tc>
          <w:tcPr>
            <w:tcW w:w="548" w:type="dxa"/>
            <w:tcBorders>
              <w:bottom w:val="single" w:color="000000" w:sz="10" w:space="0"/>
            </w:tcBorders>
            <w:vAlign w:val="top"/>
          </w:tcPr>
          <w:p w14:paraId="20B3FE2A">
            <w:pPr>
              <w:spacing w:before="130" w:line="195" w:lineRule="auto"/>
              <w:ind w:left="228"/>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3231" w:type="dxa"/>
            <w:gridSpan w:val="2"/>
            <w:tcBorders>
              <w:bottom w:val="single" w:color="000000" w:sz="10" w:space="0"/>
            </w:tcBorders>
            <w:vAlign w:val="top"/>
          </w:tcPr>
          <w:p w14:paraId="2CD94F02">
            <w:pPr>
              <w:spacing w:before="126" w:line="199" w:lineRule="auto"/>
              <w:ind w:left="15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16" w:type="dxa"/>
            <w:vMerge w:val="continue"/>
            <w:tcBorders>
              <w:top w:val="nil"/>
              <w:bottom w:val="single" w:color="000000" w:sz="10" w:space="0"/>
              <w:right w:val="single" w:color="000000" w:sz="6" w:space="0"/>
            </w:tcBorders>
            <w:vAlign w:val="top"/>
          </w:tcPr>
          <w:p w14:paraId="0B50B6CF">
            <w:pPr>
              <w:rPr>
                <w:rFonts w:ascii="Arial"/>
                <w:sz w:val="21"/>
              </w:rPr>
            </w:pPr>
          </w:p>
        </w:tc>
      </w:tr>
      <w:tr w14:paraId="0BD25B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9" w:hRule="atLeast"/>
        </w:trPr>
        <w:tc>
          <w:tcPr>
            <w:tcW w:w="466" w:type="dxa"/>
            <w:vMerge w:val="continue"/>
            <w:tcBorders>
              <w:top w:val="nil"/>
              <w:left w:val="single" w:color="000000" w:sz="6" w:space="0"/>
              <w:bottom w:val="nil"/>
            </w:tcBorders>
            <w:vAlign w:val="top"/>
          </w:tcPr>
          <w:p w14:paraId="761FA2D7">
            <w:pPr>
              <w:rPr>
                <w:rFonts w:ascii="Arial"/>
                <w:sz w:val="21"/>
              </w:rPr>
            </w:pPr>
          </w:p>
        </w:tc>
        <w:tc>
          <w:tcPr>
            <w:tcW w:w="8449" w:type="dxa"/>
            <w:gridSpan w:val="9"/>
            <w:tcBorders>
              <w:top w:val="single" w:color="000000" w:sz="10" w:space="0"/>
              <w:bottom w:val="single" w:color="000000" w:sz="10" w:space="0"/>
              <w:right w:val="single" w:color="000000" w:sz="6" w:space="0"/>
            </w:tcBorders>
            <w:vAlign w:val="top"/>
          </w:tcPr>
          <w:p w14:paraId="67B80D57">
            <w:pPr>
              <w:pStyle w:val="6"/>
              <w:spacing w:before="31" w:line="219" w:lineRule="auto"/>
              <w:ind w:left="591"/>
            </w:pPr>
            <w:r>
              <w:rPr>
                <w:rFonts w:ascii="Times New Roman" w:hAnsi="Times New Roman" w:eastAsia="Times New Roman" w:cs="Times New Roman"/>
                <w:spacing w:val="-5"/>
              </w:rPr>
              <w:t>5</w:t>
            </w:r>
            <w:r>
              <w:rPr>
                <w:rFonts w:ascii="Times New Roman" w:hAnsi="Times New Roman" w:eastAsia="Times New Roman" w:cs="Times New Roman"/>
                <w:spacing w:val="-33"/>
              </w:rPr>
              <w:t xml:space="preserve"> </w:t>
            </w:r>
            <w:r>
              <w:rPr>
                <w:spacing w:val="-5"/>
              </w:rPr>
              <w:t>、表土堆存措施</w:t>
            </w:r>
          </w:p>
          <w:p w14:paraId="6ECE4C70">
            <w:pPr>
              <w:pStyle w:val="6"/>
              <w:spacing w:before="182" w:line="359" w:lineRule="auto"/>
              <w:ind w:left="108" w:right="102" w:firstLine="479"/>
            </w:pPr>
            <w:r>
              <w:rPr>
                <w:spacing w:val="2"/>
              </w:rPr>
              <w:t>施工前利用推土机等机械设备将除表土堆存区外的其余临时用地进行表土</w:t>
            </w:r>
            <w:r>
              <w:rPr>
                <w:spacing w:val="-3"/>
              </w:rPr>
              <w:t>剥离，表土剥离厚度平均约</w:t>
            </w:r>
            <w:r>
              <w:rPr>
                <w:spacing w:val="-48"/>
              </w:rPr>
              <w:t xml:space="preserve"> </w:t>
            </w:r>
            <w:r>
              <w:rPr>
                <w:rFonts w:ascii="Times New Roman" w:hAnsi="Times New Roman" w:eastAsia="Times New Roman" w:cs="Times New Roman"/>
                <w:spacing w:val="-3"/>
              </w:rPr>
              <w:t>30cm</w:t>
            </w:r>
            <w:r>
              <w:rPr>
                <w:rFonts w:ascii="Times New Roman" w:hAnsi="Times New Roman" w:eastAsia="Times New Roman" w:cs="Times New Roman"/>
                <w:spacing w:val="-30"/>
              </w:rPr>
              <w:t xml:space="preserve"> </w:t>
            </w:r>
            <w:r>
              <w:rPr>
                <w:spacing w:val="-3"/>
              </w:rPr>
              <w:t>，则表土堆存量约</w:t>
            </w:r>
            <w:r>
              <w:rPr>
                <w:spacing w:val="-50"/>
              </w:rPr>
              <w:t xml:space="preserve"> </w:t>
            </w:r>
            <w:r>
              <w:rPr>
                <w:rFonts w:ascii="Times New Roman" w:hAnsi="Times New Roman" w:eastAsia="Times New Roman" w:cs="Times New Roman"/>
                <w:spacing w:val="-3"/>
              </w:rPr>
              <w:t>3387.9m</w:t>
            </w:r>
            <w:r>
              <w:rPr>
                <w:rFonts w:ascii="Times New Roman" w:hAnsi="Times New Roman" w:eastAsia="Times New Roman" w:cs="Times New Roman"/>
                <w:spacing w:val="-3"/>
                <w:position w:val="7"/>
                <w:sz w:val="15"/>
                <w:szCs w:val="15"/>
              </w:rPr>
              <w:t>3</w:t>
            </w:r>
            <w:r>
              <w:rPr>
                <w:spacing w:val="-3"/>
              </w:rPr>
              <w:t>，将表土集中堆放</w:t>
            </w:r>
            <w:r>
              <w:rPr>
                <w:spacing w:val="1"/>
              </w:rPr>
              <w:t>在不影响临时用地使用的边界处。项目在井场</w:t>
            </w:r>
            <w:r>
              <w:t>内部设置</w:t>
            </w:r>
            <w:r>
              <w:rPr>
                <w:spacing w:val="-30"/>
              </w:rPr>
              <w:t xml:space="preserve"> </w:t>
            </w:r>
            <w:r>
              <w:rPr>
                <w:rFonts w:ascii="Times New Roman" w:hAnsi="Times New Roman" w:eastAsia="Times New Roman" w:cs="Times New Roman"/>
              </w:rPr>
              <w:t>1</w:t>
            </w:r>
            <w:r>
              <w:rPr>
                <w:rFonts w:ascii="Times New Roman" w:hAnsi="Times New Roman" w:eastAsia="Times New Roman" w:cs="Times New Roman"/>
                <w:spacing w:val="17"/>
              </w:rPr>
              <w:t xml:space="preserve"> </w:t>
            </w:r>
            <w:r>
              <w:t>处堆土区，堆土区大</w:t>
            </w:r>
            <w:r>
              <w:rPr>
                <w:spacing w:val="-2"/>
              </w:rPr>
              <w:t>小为</w:t>
            </w:r>
            <w:r>
              <w:rPr>
                <w:spacing w:val="-56"/>
              </w:rPr>
              <w:t xml:space="preserve"> </w:t>
            </w:r>
            <w:r>
              <w:rPr>
                <w:rFonts w:ascii="Times New Roman" w:hAnsi="Times New Roman" w:eastAsia="Times New Roman" w:cs="Times New Roman"/>
                <w:spacing w:val="-2"/>
              </w:rPr>
              <w:t>40×50m</w:t>
            </w:r>
            <w:r>
              <w:rPr>
                <w:spacing w:val="-2"/>
              </w:rPr>
              <w:t>。表土堆存区采用密目网覆盖，按照《表土剥离及其再</w:t>
            </w:r>
            <w:r>
              <w:rPr>
                <w:spacing w:val="-3"/>
              </w:rPr>
              <w:t>生利用技术</w:t>
            </w:r>
            <w:r>
              <w:t>要求》（</w:t>
            </w:r>
            <w:r>
              <w:rPr>
                <w:rFonts w:ascii="Times New Roman" w:hAnsi="Times New Roman" w:eastAsia="Times New Roman" w:cs="Times New Roman"/>
              </w:rPr>
              <w:t>GB/T45107-2024</w:t>
            </w:r>
            <w:r>
              <w:t>）规范堆存，加强堆存</w:t>
            </w:r>
            <w:r>
              <w:rPr>
                <w:spacing w:val="-1"/>
              </w:rPr>
              <w:t>区的稳定性，防止水土流失。</w:t>
            </w:r>
          </w:p>
          <w:p w14:paraId="194A2787">
            <w:pPr>
              <w:pStyle w:val="6"/>
              <w:spacing w:line="220" w:lineRule="auto"/>
              <w:ind w:left="589"/>
            </w:pPr>
            <w:r>
              <w:rPr>
                <w:rFonts w:ascii="Times New Roman" w:hAnsi="Times New Roman" w:eastAsia="Times New Roman" w:cs="Times New Roman"/>
                <w:spacing w:val="-6"/>
              </w:rPr>
              <w:t>6</w:t>
            </w:r>
            <w:r>
              <w:rPr>
                <w:rFonts w:ascii="Times New Roman" w:hAnsi="Times New Roman" w:eastAsia="Times New Roman" w:cs="Times New Roman"/>
                <w:spacing w:val="-30"/>
              </w:rPr>
              <w:t xml:space="preserve"> </w:t>
            </w:r>
            <w:r>
              <w:rPr>
                <w:spacing w:val="-6"/>
              </w:rPr>
              <w:t>、土石方平衡</w:t>
            </w:r>
          </w:p>
          <w:p w14:paraId="43032045">
            <w:pPr>
              <w:pStyle w:val="6"/>
              <w:spacing w:before="183" w:line="359" w:lineRule="auto"/>
              <w:ind w:left="108" w:right="102" w:firstLine="483"/>
            </w:pPr>
            <w:r>
              <w:rPr>
                <w:spacing w:val="2"/>
              </w:rPr>
              <w:t>项目土石方工程主要为井场平整、设施设备基础建设等施工过程中产</w:t>
            </w:r>
            <w:r>
              <w:rPr>
                <w:spacing w:val="1"/>
              </w:rPr>
              <w:t>生的</w:t>
            </w:r>
            <w:r>
              <w:t>土石方。项目土石方工程挖方量</w:t>
            </w:r>
            <w:r>
              <w:rPr>
                <w:spacing w:val="-50"/>
              </w:rPr>
              <w:t xml:space="preserve"> </w:t>
            </w:r>
            <w:r>
              <w:rPr>
                <w:rFonts w:ascii="Times New Roman" w:hAnsi="Times New Roman" w:eastAsia="Times New Roman" w:cs="Times New Roman"/>
              </w:rPr>
              <w:t>3387.9m</w:t>
            </w:r>
            <w:r>
              <w:rPr>
                <w:rFonts w:ascii="Times New Roman" w:hAnsi="Times New Roman" w:eastAsia="Times New Roman" w:cs="Times New Roman"/>
                <w:position w:val="8"/>
                <w:sz w:val="15"/>
                <w:szCs w:val="15"/>
              </w:rPr>
              <w:t xml:space="preserve">3 </w:t>
            </w:r>
            <w:r>
              <w:t>，施工过程中，合理调配土石</w:t>
            </w:r>
            <w:r>
              <w:rPr>
                <w:spacing w:val="-1"/>
              </w:rPr>
              <w:t>方，可做到土石方在项目内消纳，不外运，因此无需设置弃土场。</w:t>
            </w:r>
          </w:p>
          <w:p w14:paraId="3F0E7452">
            <w:pPr>
              <w:spacing w:before="1" w:line="205" w:lineRule="auto"/>
              <w:ind w:left="2901"/>
              <w:rPr>
                <w:rFonts w:ascii="黑体" w:hAnsi="黑体" w:eastAsia="黑体" w:cs="黑体"/>
                <w:sz w:val="24"/>
                <w:szCs w:val="24"/>
              </w:rPr>
            </w:pPr>
            <w:r>
              <w:rPr>
                <w:rFonts w:ascii="黑体" w:hAnsi="黑体" w:eastAsia="黑体" w:cs="黑体"/>
                <w:spacing w:val="-2"/>
                <w:sz w:val="24"/>
                <w:szCs w:val="24"/>
              </w:rPr>
              <w:t>表</w:t>
            </w:r>
            <w:r>
              <w:rPr>
                <w:rFonts w:ascii="黑体" w:hAnsi="黑体" w:eastAsia="黑体" w:cs="黑体"/>
                <w:spacing w:val="-47"/>
                <w:sz w:val="24"/>
                <w:szCs w:val="24"/>
              </w:rPr>
              <w:t xml:space="preserve"> </w:t>
            </w:r>
            <w:r>
              <w:rPr>
                <w:rFonts w:ascii="Times New Roman" w:hAnsi="Times New Roman" w:eastAsia="Times New Roman" w:cs="Times New Roman"/>
                <w:spacing w:val="-2"/>
                <w:sz w:val="24"/>
                <w:szCs w:val="24"/>
              </w:rPr>
              <w:t xml:space="preserve">2-7  </w:t>
            </w:r>
            <w:r>
              <w:rPr>
                <w:rFonts w:ascii="黑体" w:hAnsi="黑体" w:eastAsia="黑体" w:cs="黑体"/>
                <w:spacing w:val="-2"/>
                <w:sz w:val="24"/>
                <w:szCs w:val="24"/>
              </w:rPr>
              <w:t>项目土石方平衡表</w:t>
            </w:r>
          </w:p>
        </w:tc>
      </w:tr>
      <w:tr w14:paraId="2EB672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466" w:type="dxa"/>
            <w:vMerge w:val="continue"/>
            <w:tcBorders>
              <w:top w:val="nil"/>
              <w:left w:val="single" w:color="000000" w:sz="6" w:space="0"/>
              <w:bottom w:val="nil"/>
            </w:tcBorders>
            <w:vAlign w:val="top"/>
          </w:tcPr>
          <w:p w14:paraId="601050CD">
            <w:pPr>
              <w:rPr>
                <w:rFonts w:ascii="Arial"/>
                <w:sz w:val="21"/>
              </w:rPr>
            </w:pPr>
          </w:p>
        </w:tc>
        <w:tc>
          <w:tcPr>
            <w:tcW w:w="1350" w:type="dxa"/>
            <w:gridSpan w:val="2"/>
            <w:tcBorders>
              <w:top w:val="single" w:color="000000" w:sz="10" w:space="0"/>
              <w:bottom w:val="single" w:color="000000" w:sz="4" w:space="0"/>
              <w:right w:val="single" w:color="000000" w:sz="4" w:space="0"/>
            </w:tcBorders>
            <w:vAlign w:val="top"/>
          </w:tcPr>
          <w:p w14:paraId="07A78955">
            <w:pPr>
              <w:pStyle w:val="6"/>
              <w:spacing w:before="122" w:line="228" w:lineRule="auto"/>
              <w:ind w:left="307"/>
              <w:rPr>
                <w:sz w:val="20"/>
                <w:szCs w:val="20"/>
              </w:rPr>
            </w:pPr>
            <w:r>
              <w:rPr>
                <w:spacing w:val="6"/>
                <w:sz w:val="20"/>
                <w:szCs w:val="20"/>
              </w:rPr>
              <w:t>工程名称</w:t>
            </w:r>
          </w:p>
        </w:tc>
        <w:tc>
          <w:tcPr>
            <w:tcW w:w="931" w:type="dxa"/>
            <w:tcBorders>
              <w:top w:val="single" w:color="000000" w:sz="10" w:space="0"/>
              <w:left w:val="single" w:color="000000" w:sz="4" w:space="0"/>
              <w:bottom w:val="single" w:color="000000" w:sz="4" w:space="0"/>
              <w:right w:val="single" w:color="000000" w:sz="4" w:space="0"/>
            </w:tcBorders>
            <w:vAlign w:val="top"/>
          </w:tcPr>
          <w:p w14:paraId="4B8CE796">
            <w:pPr>
              <w:pStyle w:val="6"/>
              <w:spacing w:before="122" w:line="229" w:lineRule="auto"/>
              <w:ind w:left="110"/>
              <w:rPr>
                <w:rFonts w:ascii="Times New Roman" w:hAnsi="Times New Roman" w:eastAsia="Times New Roman" w:cs="Times New Roman"/>
                <w:sz w:val="13"/>
                <w:szCs w:val="13"/>
              </w:rPr>
            </w:pPr>
            <w:r>
              <w:rPr>
                <w:spacing w:val="4"/>
                <w:sz w:val="20"/>
                <w:szCs w:val="20"/>
              </w:rPr>
              <w:t>挖方</w:t>
            </w:r>
            <w:r>
              <w:rPr>
                <w:spacing w:val="-41"/>
                <w:sz w:val="20"/>
                <w:szCs w:val="20"/>
              </w:rPr>
              <w:t xml:space="preserve"> </w:t>
            </w: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3</w:t>
            </w:r>
          </w:p>
        </w:tc>
        <w:tc>
          <w:tcPr>
            <w:tcW w:w="927" w:type="dxa"/>
            <w:tcBorders>
              <w:top w:val="single" w:color="000000" w:sz="10" w:space="0"/>
              <w:left w:val="single" w:color="000000" w:sz="4" w:space="0"/>
              <w:bottom w:val="single" w:color="000000" w:sz="4" w:space="0"/>
              <w:right w:val="single" w:color="000000" w:sz="4" w:space="0"/>
            </w:tcBorders>
            <w:vAlign w:val="top"/>
          </w:tcPr>
          <w:p w14:paraId="035EE362">
            <w:pPr>
              <w:pStyle w:val="6"/>
              <w:spacing w:before="122" w:line="228" w:lineRule="auto"/>
              <w:ind w:left="113"/>
              <w:rPr>
                <w:rFonts w:ascii="Times New Roman" w:hAnsi="Times New Roman" w:eastAsia="Times New Roman" w:cs="Times New Roman"/>
                <w:sz w:val="13"/>
                <w:szCs w:val="13"/>
              </w:rPr>
            </w:pPr>
            <w:r>
              <w:rPr>
                <w:spacing w:val="4"/>
                <w:sz w:val="20"/>
                <w:szCs w:val="20"/>
              </w:rPr>
              <w:t>填方</w:t>
            </w:r>
            <w:r>
              <w:rPr>
                <w:spacing w:val="-43"/>
                <w:sz w:val="20"/>
                <w:szCs w:val="20"/>
              </w:rPr>
              <w:t xml:space="preserve"> </w:t>
            </w: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3</w:t>
            </w:r>
          </w:p>
        </w:tc>
        <w:tc>
          <w:tcPr>
            <w:tcW w:w="1240" w:type="dxa"/>
            <w:gridSpan w:val="3"/>
            <w:tcBorders>
              <w:top w:val="single" w:color="000000" w:sz="10" w:space="0"/>
              <w:left w:val="single" w:color="000000" w:sz="4" w:space="0"/>
              <w:bottom w:val="single" w:color="000000" w:sz="4" w:space="0"/>
              <w:right w:val="single" w:color="000000" w:sz="4" w:space="0"/>
            </w:tcBorders>
            <w:vAlign w:val="top"/>
          </w:tcPr>
          <w:p w14:paraId="27EFE59D">
            <w:pPr>
              <w:pStyle w:val="6"/>
              <w:spacing w:before="122" w:line="228" w:lineRule="auto"/>
              <w:ind w:left="61"/>
              <w:rPr>
                <w:rFonts w:ascii="Times New Roman" w:hAnsi="Times New Roman" w:eastAsia="Times New Roman" w:cs="Times New Roman"/>
                <w:sz w:val="13"/>
                <w:szCs w:val="13"/>
              </w:rPr>
            </w:pPr>
            <w:r>
              <w:rPr>
                <w:spacing w:val="6"/>
                <w:sz w:val="20"/>
                <w:szCs w:val="20"/>
              </w:rPr>
              <w:t>余方外运</w:t>
            </w:r>
            <w:r>
              <w:rPr>
                <w:spacing w:val="-43"/>
                <w:sz w:val="20"/>
                <w:szCs w:val="20"/>
              </w:rPr>
              <w:t xml:space="preserve"> </w:t>
            </w:r>
            <w:r>
              <w:rPr>
                <w:rFonts w:ascii="Times New Roman" w:hAnsi="Times New Roman" w:eastAsia="Times New Roman" w:cs="Times New Roman"/>
                <w:spacing w:val="6"/>
                <w:sz w:val="20"/>
                <w:szCs w:val="20"/>
              </w:rPr>
              <w:t>m</w:t>
            </w:r>
            <w:r>
              <w:rPr>
                <w:rFonts w:ascii="Times New Roman" w:hAnsi="Times New Roman" w:eastAsia="Times New Roman" w:cs="Times New Roman"/>
                <w:spacing w:val="6"/>
                <w:position w:val="6"/>
                <w:sz w:val="13"/>
                <w:szCs w:val="13"/>
              </w:rPr>
              <w:t>3</w:t>
            </w:r>
          </w:p>
        </w:tc>
        <w:tc>
          <w:tcPr>
            <w:tcW w:w="4001" w:type="dxa"/>
            <w:gridSpan w:val="2"/>
            <w:tcBorders>
              <w:top w:val="single" w:color="000000" w:sz="10" w:space="0"/>
              <w:left w:val="single" w:color="000000" w:sz="4" w:space="0"/>
              <w:bottom w:val="single" w:color="000000" w:sz="4" w:space="0"/>
              <w:right w:val="single" w:color="000000" w:sz="6" w:space="0"/>
            </w:tcBorders>
            <w:vAlign w:val="top"/>
          </w:tcPr>
          <w:p w14:paraId="2C5C35F3">
            <w:pPr>
              <w:pStyle w:val="6"/>
              <w:spacing w:before="122" w:line="229" w:lineRule="auto"/>
              <w:ind w:left="1743"/>
              <w:rPr>
                <w:sz w:val="20"/>
                <w:szCs w:val="20"/>
              </w:rPr>
            </w:pPr>
            <w:r>
              <w:rPr>
                <w:spacing w:val="3"/>
                <w:sz w:val="20"/>
                <w:szCs w:val="20"/>
              </w:rPr>
              <w:t>备注</w:t>
            </w:r>
          </w:p>
        </w:tc>
      </w:tr>
      <w:tr w14:paraId="06E41C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1" w:hRule="atLeast"/>
        </w:trPr>
        <w:tc>
          <w:tcPr>
            <w:tcW w:w="466" w:type="dxa"/>
            <w:vMerge w:val="continue"/>
            <w:tcBorders>
              <w:top w:val="nil"/>
              <w:left w:val="single" w:color="000000" w:sz="6" w:space="0"/>
              <w:bottom w:val="nil"/>
            </w:tcBorders>
            <w:vAlign w:val="top"/>
          </w:tcPr>
          <w:p w14:paraId="41D65506">
            <w:pPr>
              <w:rPr>
                <w:rFonts w:ascii="Arial"/>
                <w:sz w:val="21"/>
              </w:rPr>
            </w:pPr>
          </w:p>
        </w:tc>
        <w:tc>
          <w:tcPr>
            <w:tcW w:w="1350" w:type="dxa"/>
            <w:gridSpan w:val="2"/>
            <w:tcBorders>
              <w:top w:val="single" w:color="000000" w:sz="4" w:space="0"/>
              <w:bottom w:val="single" w:color="000000" w:sz="10" w:space="0"/>
              <w:right w:val="single" w:color="000000" w:sz="4" w:space="0"/>
            </w:tcBorders>
            <w:vAlign w:val="top"/>
          </w:tcPr>
          <w:p w14:paraId="2BE85C9D">
            <w:pPr>
              <w:spacing w:line="381" w:lineRule="auto"/>
              <w:rPr>
                <w:rFonts w:ascii="Arial"/>
                <w:sz w:val="21"/>
              </w:rPr>
            </w:pPr>
          </w:p>
          <w:p w14:paraId="28689CB3">
            <w:pPr>
              <w:pStyle w:val="6"/>
              <w:spacing w:before="65" w:line="228" w:lineRule="auto"/>
              <w:ind w:left="304"/>
              <w:rPr>
                <w:sz w:val="20"/>
                <w:szCs w:val="20"/>
              </w:rPr>
            </w:pPr>
            <w:r>
              <w:rPr>
                <w:spacing w:val="7"/>
                <w:sz w:val="20"/>
                <w:szCs w:val="20"/>
              </w:rPr>
              <w:t>井场工程</w:t>
            </w:r>
          </w:p>
        </w:tc>
        <w:tc>
          <w:tcPr>
            <w:tcW w:w="931" w:type="dxa"/>
            <w:tcBorders>
              <w:top w:val="single" w:color="000000" w:sz="4" w:space="0"/>
              <w:left w:val="single" w:color="000000" w:sz="4" w:space="0"/>
              <w:bottom w:val="single" w:color="000000" w:sz="10" w:space="0"/>
              <w:right w:val="single" w:color="000000" w:sz="4" w:space="0"/>
            </w:tcBorders>
            <w:vAlign w:val="top"/>
          </w:tcPr>
          <w:p w14:paraId="5177E2B8">
            <w:pPr>
              <w:spacing w:line="424" w:lineRule="auto"/>
              <w:rPr>
                <w:rFonts w:ascii="Arial"/>
                <w:sz w:val="21"/>
              </w:rPr>
            </w:pPr>
          </w:p>
          <w:p w14:paraId="65ADDA42">
            <w:pPr>
              <w:spacing w:before="57" w:line="195" w:lineRule="auto"/>
              <w:ind w:left="17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3387.9</w:t>
            </w:r>
          </w:p>
        </w:tc>
        <w:tc>
          <w:tcPr>
            <w:tcW w:w="927" w:type="dxa"/>
            <w:tcBorders>
              <w:top w:val="single" w:color="000000" w:sz="4" w:space="0"/>
              <w:left w:val="single" w:color="000000" w:sz="4" w:space="0"/>
              <w:bottom w:val="single" w:color="000000" w:sz="10" w:space="0"/>
              <w:right w:val="single" w:color="000000" w:sz="4" w:space="0"/>
            </w:tcBorders>
            <w:vAlign w:val="top"/>
          </w:tcPr>
          <w:p w14:paraId="52516464">
            <w:pPr>
              <w:spacing w:line="424" w:lineRule="auto"/>
              <w:rPr>
                <w:rFonts w:ascii="Arial"/>
                <w:sz w:val="21"/>
              </w:rPr>
            </w:pPr>
          </w:p>
          <w:p w14:paraId="0AE62146">
            <w:pPr>
              <w:spacing w:before="57" w:line="195" w:lineRule="auto"/>
              <w:ind w:left="17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3387.9</w:t>
            </w:r>
          </w:p>
        </w:tc>
        <w:tc>
          <w:tcPr>
            <w:tcW w:w="1240" w:type="dxa"/>
            <w:gridSpan w:val="3"/>
            <w:tcBorders>
              <w:top w:val="single" w:color="000000" w:sz="4" w:space="0"/>
              <w:left w:val="single" w:color="000000" w:sz="4" w:space="0"/>
              <w:bottom w:val="single" w:color="000000" w:sz="10" w:space="0"/>
              <w:right w:val="single" w:color="000000" w:sz="4" w:space="0"/>
            </w:tcBorders>
            <w:vAlign w:val="top"/>
          </w:tcPr>
          <w:p w14:paraId="230BDBC9">
            <w:pPr>
              <w:spacing w:line="424" w:lineRule="auto"/>
              <w:rPr>
                <w:rFonts w:ascii="Arial"/>
                <w:sz w:val="21"/>
              </w:rPr>
            </w:pPr>
          </w:p>
          <w:p w14:paraId="4557B8DE">
            <w:pPr>
              <w:spacing w:before="57" w:line="195" w:lineRule="auto"/>
              <w:ind w:left="56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4001" w:type="dxa"/>
            <w:gridSpan w:val="2"/>
            <w:tcBorders>
              <w:top w:val="single" w:color="000000" w:sz="4" w:space="0"/>
              <w:left w:val="single" w:color="000000" w:sz="4" w:space="0"/>
              <w:bottom w:val="single" w:color="000000" w:sz="10" w:space="0"/>
              <w:right w:val="single" w:color="000000" w:sz="6" w:space="0"/>
            </w:tcBorders>
            <w:vAlign w:val="top"/>
          </w:tcPr>
          <w:p w14:paraId="4F594568">
            <w:pPr>
              <w:pStyle w:val="6"/>
              <w:spacing w:before="40" w:line="228" w:lineRule="auto"/>
              <w:ind w:left="62"/>
              <w:rPr>
                <w:sz w:val="20"/>
                <w:szCs w:val="20"/>
              </w:rPr>
            </w:pPr>
            <w:r>
              <w:rPr>
                <w:spacing w:val="9"/>
                <w:sz w:val="20"/>
                <w:szCs w:val="20"/>
              </w:rPr>
              <w:t>合理调配土石方，不设取弃土场。表土进</w:t>
            </w:r>
          </w:p>
          <w:p w14:paraId="4F447A39">
            <w:pPr>
              <w:pStyle w:val="6"/>
              <w:spacing w:before="26" w:line="227" w:lineRule="auto"/>
              <w:ind w:left="64"/>
              <w:rPr>
                <w:sz w:val="20"/>
                <w:szCs w:val="20"/>
              </w:rPr>
            </w:pPr>
            <w:r>
              <w:rPr>
                <w:spacing w:val="9"/>
                <w:sz w:val="20"/>
                <w:szCs w:val="20"/>
              </w:rPr>
              <w:t>行剥离并集中堆放。在表土堆存期间，采</w:t>
            </w:r>
          </w:p>
          <w:p w14:paraId="062E98CF">
            <w:pPr>
              <w:pStyle w:val="6"/>
              <w:spacing w:before="24" w:line="228" w:lineRule="auto"/>
              <w:ind w:left="63"/>
              <w:rPr>
                <w:sz w:val="20"/>
                <w:szCs w:val="20"/>
              </w:rPr>
            </w:pPr>
            <w:r>
              <w:rPr>
                <w:spacing w:val="9"/>
                <w:sz w:val="20"/>
                <w:szCs w:val="20"/>
              </w:rPr>
              <w:t>取覆盖等措施防止水力与风力的侵蚀，后</w:t>
            </w:r>
          </w:p>
          <w:p w14:paraId="0F29BF47">
            <w:pPr>
              <w:pStyle w:val="6"/>
              <w:spacing w:before="27" w:line="214" w:lineRule="auto"/>
              <w:ind w:left="589"/>
              <w:rPr>
                <w:sz w:val="20"/>
                <w:szCs w:val="20"/>
              </w:rPr>
            </w:pPr>
            <w:r>
              <w:rPr>
                <w:spacing w:val="8"/>
                <w:sz w:val="20"/>
                <w:szCs w:val="20"/>
              </w:rPr>
              <w:t>期用于土地复垦和生态恢复。</w:t>
            </w:r>
          </w:p>
        </w:tc>
      </w:tr>
      <w:tr w14:paraId="47E9C6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6" w:hRule="atLeast"/>
        </w:trPr>
        <w:tc>
          <w:tcPr>
            <w:tcW w:w="466" w:type="dxa"/>
            <w:vMerge w:val="continue"/>
            <w:tcBorders>
              <w:top w:val="nil"/>
              <w:left w:val="single" w:color="000000" w:sz="6" w:space="0"/>
              <w:bottom w:val="single" w:color="000000" w:sz="6" w:space="0"/>
            </w:tcBorders>
            <w:vAlign w:val="top"/>
          </w:tcPr>
          <w:p w14:paraId="65C9C764">
            <w:pPr>
              <w:rPr>
                <w:rFonts w:ascii="Arial"/>
                <w:sz w:val="21"/>
              </w:rPr>
            </w:pPr>
          </w:p>
        </w:tc>
        <w:tc>
          <w:tcPr>
            <w:tcW w:w="8449" w:type="dxa"/>
            <w:gridSpan w:val="9"/>
            <w:tcBorders>
              <w:top w:val="single" w:color="000000" w:sz="10" w:space="0"/>
              <w:bottom w:val="single" w:color="000000" w:sz="6" w:space="0"/>
              <w:right w:val="single" w:color="000000" w:sz="6" w:space="0"/>
            </w:tcBorders>
            <w:vAlign w:val="top"/>
          </w:tcPr>
          <w:p w14:paraId="53099A98">
            <w:pPr>
              <w:pStyle w:val="6"/>
              <w:spacing w:before="37" w:line="220" w:lineRule="auto"/>
              <w:ind w:left="588"/>
            </w:pPr>
            <w:r>
              <w:rPr>
                <w:rFonts w:ascii="Times New Roman" w:hAnsi="Times New Roman" w:eastAsia="Times New Roman" w:cs="Times New Roman"/>
                <w:spacing w:val="-6"/>
              </w:rPr>
              <w:t>7</w:t>
            </w:r>
            <w:r>
              <w:rPr>
                <w:rFonts w:ascii="Times New Roman" w:hAnsi="Times New Roman" w:eastAsia="Times New Roman" w:cs="Times New Roman"/>
                <w:spacing w:val="-34"/>
              </w:rPr>
              <w:t xml:space="preserve"> </w:t>
            </w:r>
            <w:r>
              <w:rPr>
                <w:spacing w:val="-6"/>
              </w:rPr>
              <w:t>、公用工程</w:t>
            </w:r>
          </w:p>
          <w:p w14:paraId="7373D228">
            <w:pPr>
              <w:pStyle w:val="6"/>
              <w:spacing w:before="181" w:line="219" w:lineRule="auto"/>
              <w:ind w:left="600"/>
            </w:pPr>
            <w:r>
              <w:rPr>
                <w:spacing w:val="-5"/>
              </w:rPr>
              <w:t>（</w:t>
            </w:r>
            <w:r>
              <w:rPr>
                <w:rFonts w:ascii="Times New Roman" w:hAnsi="Times New Roman" w:eastAsia="Times New Roman" w:cs="Times New Roman"/>
                <w:spacing w:val="-5"/>
              </w:rPr>
              <w:t>1</w:t>
            </w:r>
            <w:r>
              <w:rPr>
                <w:spacing w:val="-5"/>
              </w:rPr>
              <w:t>）供电</w:t>
            </w:r>
          </w:p>
          <w:p w14:paraId="6324486B">
            <w:pPr>
              <w:pStyle w:val="6"/>
              <w:spacing w:before="183" w:line="219" w:lineRule="auto"/>
              <w:ind w:left="592"/>
            </w:pPr>
            <w:r>
              <w:rPr>
                <w:spacing w:val="-1"/>
              </w:rPr>
              <w:t>项目电源由井场内柴油发电机组提供，可满足用电要求。</w:t>
            </w:r>
          </w:p>
        </w:tc>
      </w:tr>
    </w:tbl>
    <w:p w14:paraId="5AD1573A">
      <w:pPr>
        <w:rPr>
          <w:rFonts w:ascii="Arial"/>
          <w:sz w:val="21"/>
        </w:rPr>
      </w:pPr>
    </w:p>
    <w:p w14:paraId="752AF1EC">
      <w:pPr>
        <w:rPr>
          <w:rFonts w:ascii="Arial" w:hAnsi="Arial" w:eastAsia="Arial" w:cs="Arial"/>
          <w:sz w:val="21"/>
          <w:szCs w:val="21"/>
        </w:rPr>
        <w:sectPr>
          <w:footerReference r:id="rId37" w:type="default"/>
          <w:pgSz w:w="11906" w:h="16839"/>
          <w:pgMar w:top="400" w:right="1403" w:bottom="1240" w:left="1572" w:header="0" w:footer="1078" w:gutter="0"/>
          <w:cols w:space="720" w:num="1"/>
        </w:sectPr>
      </w:pPr>
    </w:p>
    <w:p w14:paraId="675D29E2">
      <w:pPr>
        <w:spacing w:before="56"/>
      </w:pPr>
    </w:p>
    <w:p w14:paraId="21D73913">
      <w:pPr>
        <w:spacing w:before="56"/>
      </w:pPr>
    </w:p>
    <w:p w14:paraId="6F3A6614">
      <w:pPr>
        <w:spacing w:before="55"/>
      </w:pPr>
    </w:p>
    <w:p w14:paraId="7760852B">
      <w:pPr>
        <w:spacing w:before="55"/>
      </w:pPr>
    </w:p>
    <w:tbl>
      <w:tblPr>
        <w:tblStyle w:val="5"/>
        <w:tblW w:w="8915"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6"/>
        <w:gridCol w:w="660"/>
        <w:gridCol w:w="871"/>
        <w:gridCol w:w="992"/>
        <w:gridCol w:w="709"/>
        <w:gridCol w:w="990"/>
        <w:gridCol w:w="990"/>
        <w:gridCol w:w="1273"/>
        <w:gridCol w:w="1964"/>
      </w:tblGrid>
      <w:tr w14:paraId="1A6C50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47" w:hRule="atLeast"/>
        </w:trPr>
        <w:tc>
          <w:tcPr>
            <w:tcW w:w="466" w:type="dxa"/>
            <w:vMerge w:val="restart"/>
            <w:tcBorders>
              <w:top w:val="single" w:color="000000" w:sz="6" w:space="0"/>
              <w:left w:val="single" w:color="000000" w:sz="6" w:space="0"/>
              <w:bottom w:val="nil"/>
              <w:right w:val="single" w:color="000000" w:sz="2" w:space="0"/>
            </w:tcBorders>
            <w:vAlign w:val="top"/>
          </w:tcPr>
          <w:p w14:paraId="5AA57FF6">
            <w:pPr>
              <w:rPr>
                <w:rFonts w:ascii="Arial"/>
                <w:sz w:val="21"/>
              </w:rPr>
            </w:pPr>
          </w:p>
        </w:tc>
        <w:tc>
          <w:tcPr>
            <w:tcW w:w="8449" w:type="dxa"/>
            <w:gridSpan w:val="8"/>
            <w:tcBorders>
              <w:top w:val="single" w:color="000000" w:sz="6" w:space="0"/>
              <w:left w:val="single" w:color="000000" w:sz="2" w:space="0"/>
              <w:bottom w:val="single" w:color="000000" w:sz="10" w:space="0"/>
              <w:right w:val="single" w:color="000000" w:sz="6" w:space="0"/>
            </w:tcBorders>
            <w:vAlign w:val="top"/>
          </w:tcPr>
          <w:p w14:paraId="5B3835C8">
            <w:pPr>
              <w:pStyle w:val="6"/>
              <w:spacing w:before="29" w:line="219" w:lineRule="auto"/>
              <w:ind w:left="600"/>
            </w:pPr>
            <w:r>
              <w:rPr>
                <w:spacing w:val="-5"/>
              </w:rPr>
              <w:t>（</w:t>
            </w:r>
            <w:r>
              <w:rPr>
                <w:rFonts w:ascii="Times New Roman" w:hAnsi="Times New Roman" w:eastAsia="Times New Roman" w:cs="Times New Roman"/>
                <w:spacing w:val="-5"/>
              </w:rPr>
              <w:t>2</w:t>
            </w:r>
            <w:r>
              <w:rPr>
                <w:spacing w:val="-5"/>
              </w:rPr>
              <w:t>）供水</w:t>
            </w:r>
          </w:p>
          <w:p w14:paraId="70C60FA7">
            <w:pPr>
              <w:pStyle w:val="6"/>
              <w:spacing w:before="182" w:line="359" w:lineRule="auto"/>
              <w:ind w:left="109" w:right="102" w:firstLine="480"/>
            </w:pPr>
            <w:r>
              <w:rPr>
                <w:spacing w:val="7"/>
              </w:rPr>
              <w:t>生产用水：</w:t>
            </w:r>
            <w:r>
              <w:rPr>
                <w:spacing w:val="-62"/>
              </w:rPr>
              <w:t xml:space="preserve"> </w:t>
            </w:r>
            <w:r>
              <w:rPr>
                <w:spacing w:val="7"/>
              </w:rPr>
              <w:t>项目勘探期钻井生产用水为</w:t>
            </w:r>
            <w:r>
              <w:rPr>
                <w:spacing w:val="-32"/>
              </w:rPr>
              <w:t xml:space="preserve"> </w:t>
            </w:r>
            <w:r>
              <w:rPr>
                <w:rFonts w:ascii="Times New Roman" w:hAnsi="Times New Roman" w:eastAsia="Times New Roman" w:cs="Times New Roman"/>
                <w:spacing w:val="7"/>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7"/>
              </w:rPr>
              <w:t>1m</w:t>
            </w:r>
            <w:r>
              <w:rPr>
                <w:rFonts w:ascii="Times New Roman" w:hAnsi="Times New Roman" w:eastAsia="Times New Roman" w:cs="Times New Roman"/>
                <w:spacing w:val="7"/>
                <w:position w:val="7"/>
                <w:sz w:val="15"/>
                <w:szCs w:val="15"/>
              </w:rPr>
              <w:t>3</w:t>
            </w:r>
            <w:r>
              <w:rPr>
                <w:rFonts w:ascii="Times New Roman" w:hAnsi="Times New Roman" w:eastAsia="Times New Roman" w:cs="Times New Roman"/>
                <w:spacing w:val="7"/>
              </w:rPr>
              <w:t>/m</w:t>
            </w:r>
            <w:r>
              <w:rPr>
                <w:rFonts w:ascii="Times New Roman" w:hAnsi="Times New Roman" w:eastAsia="Times New Roman" w:cs="Times New Roman"/>
                <w:spacing w:val="-13"/>
              </w:rPr>
              <w:t xml:space="preserve"> </w:t>
            </w:r>
            <w:r>
              <w:rPr>
                <w:spacing w:val="7"/>
              </w:rPr>
              <w:t>，扎格</w:t>
            </w:r>
            <w:r>
              <w:rPr>
                <w:spacing w:val="-31"/>
              </w:rPr>
              <w:t xml:space="preserve"> </w:t>
            </w:r>
            <w:r>
              <w:rPr>
                <w:rFonts w:ascii="Times New Roman" w:hAnsi="Times New Roman" w:eastAsia="Times New Roman" w:cs="Times New Roman"/>
                <w:spacing w:val="7"/>
              </w:rPr>
              <w:t>9X</w:t>
            </w:r>
            <w:r>
              <w:rPr>
                <w:rFonts w:ascii="Times New Roman" w:hAnsi="Times New Roman" w:eastAsia="Times New Roman" w:cs="Times New Roman"/>
                <w:spacing w:val="28"/>
              </w:rPr>
              <w:t xml:space="preserve"> </w:t>
            </w:r>
            <w:r>
              <w:rPr>
                <w:spacing w:val="7"/>
              </w:rPr>
              <w:t>井设计井深</w:t>
            </w:r>
            <w:r>
              <w:rPr>
                <w:rFonts w:ascii="Times New Roman" w:hAnsi="Times New Roman" w:eastAsia="Times New Roman" w:cs="Times New Roman"/>
                <w:spacing w:val="-4"/>
              </w:rPr>
              <w:t>6700m</w:t>
            </w:r>
            <w:r>
              <w:rPr>
                <w:rFonts w:ascii="Times New Roman" w:hAnsi="Times New Roman" w:eastAsia="Times New Roman" w:cs="Times New Roman"/>
                <w:spacing w:val="-28"/>
              </w:rPr>
              <w:t xml:space="preserve"> </w:t>
            </w:r>
            <w:r>
              <w:rPr>
                <w:spacing w:val="-4"/>
              </w:rPr>
              <w:t>，则用水量为</w:t>
            </w:r>
            <w:r>
              <w:rPr>
                <w:spacing w:val="-50"/>
              </w:rPr>
              <w:t xml:space="preserve"> </w:t>
            </w:r>
            <w:r>
              <w:rPr>
                <w:rFonts w:ascii="Times New Roman" w:hAnsi="Times New Roman" w:eastAsia="Times New Roman" w:cs="Times New Roman"/>
                <w:spacing w:val="-4"/>
              </w:rPr>
              <w:t>670m</w:t>
            </w:r>
            <w:r>
              <w:rPr>
                <w:rFonts w:ascii="Times New Roman" w:hAnsi="Times New Roman" w:eastAsia="Times New Roman" w:cs="Times New Roman"/>
                <w:spacing w:val="-4"/>
                <w:position w:val="8"/>
                <w:sz w:val="15"/>
                <w:szCs w:val="15"/>
              </w:rPr>
              <w:t>3</w:t>
            </w:r>
            <w:r>
              <w:rPr>
                <w:rFonts w:ascii="Times New Roman" w:hAnsi="Times New Roman" w:eastAsia="Times New Roman" w:cs="Times New Roman"/>
                <w:spacing w:val="-7"/>
                <w:position w:val="8"/>
                <w:sz w:val="15"/>
                <w:szCs w:val="15"/>
              </w:rPr>
              <w:t xml:space="preserve"> </w:t>
            </w:r>
            <w:r>
              <w:rPr>
                <w:spacing w:val="-4"/>
              </w:rPr>
              <w:t>，从巴彦淖尔市市政环境发展（集团）有限公司城区</w:t>
            </w:r>
            <w:r>
              <w:rPr>
                <w:spacing w:val="-1"/>
              </w:rPr>
              <w:t>中水管道水鹤取水，用罐车拉运至井场。</w:t>
            </w:r>
          </w:p>
          <w:p w14:paraId="76377875">
            <w:pPr>
              <w:pStyle w:val="6"/>
              <w:spacing w:before="1" w:line="359" w:lineRule="auto"/>
              <w:ind w:left="109" w:right="102" w:firstLine="479"/>
              <w:jc w:val="both"/>
            </w:pPr>
            <w:r>
              <w:rPr>
                <w:spacing w:val="1"/>
              </w:rPr>
              <w:t>抑尘用水：项目勘探期间，井场每天需洒水抑尘，按照最大水量（夏季）</w:t>
            </w:r>
            <w:r>
              <w:rPr>
                <w:spacing w:val="-3"/>
              </w:rPr>
              <w:t>来考虑，洒水量按</w:t>
            </w:r>
            <w:r>
              <w:rPr>
                <w:spacing w:val="-55"/>
              </w:rPr>
              <w:t xml:space="preserve"> </w:t>
            </w:r>
            <w:r>
              <w:rPr>
                <w:rFonts w:ascii="Times New Roman" w:hAnsi="Times New Roman" w:eastAsia="Times New Roman" w:cs="Times New Roman"/>
                <w:spacing w:val="-3"/>
              </w:rPr>
              <w:t>2m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3"/>
              </w:rPr>
              <w:t xml:space="preserve">/d </w:t>
            </w:r>
            <w:r>
              <w:rPr>
                <w:spacing w:val="-3"/>
              </w:rPr>
              <w:t>计，用水量为</w:t>
            </w:r>
            <w:r>
              <w:rPr>
                <w:spacing w:val="-32"/>
              </w:rPr>
              <w:t xml:space="preserve"> </w:t>
            </w:r>
            <w:r>
              <w:rPr>
                <w:rFonts w:ascii="Times New Roman" w:hAnsi="Times New Roman" w:eastAsia="Times New Roman" w:cs="Times New Roman"/>
                <w:spacing w:val="-3"/>
              </w:rPr>
              <w:t>18</w:t>
            </w:r>
            <w:r>
              <w:rPr>
                <w:rFonts w:ascii="Times New Roman" w:hAnsi="Times New Roman" w:eastAsia="Times New Roman" w:cs="Times New Roman"/>
                <w:spacing w:val="-4"/>
              </w:rPr>
              <w:t>0m</w:t>
            </w:r>
            <w:r>
              <w:rPr>
                <w:rFonts w:ascii="Times New Roman" w:hAnsi="Times New Roman" w:eastAsia="Times New Roman" w:cs="Times New Roman"/>
                <w:spacing w:val="-4"/>
                <w:position w:val="8"/>
                <w:sz w:val="15"/>
                <w:szCs w:val="15"/>
              </w:rPr>
              <w:t>3</w:t>
            </w:r>
            <w:r>
              <w:rPr>
                <w:spacing w:val="-4"/>
              </w:rPr>
              <w:t>，从巴彦淖尔市市政环境发展（集</w:t>
            </w:r>
            <w:r>
              <w:rPr>
                <w:spacing w:val="-1"/>
              </w:rPr>
              <w:t>团）有限公司城区中水管道水鹤取水，用罐车拉运至井场。</w:t>
            </w:r>
          </w:p>
          <w:p w14:paraId="26217829">
            <w:pPr>
              <w:pStyle w:val="6"/>
              <w:spacing w:line="359" w:lineRule="auto"/>
              <w:ind w:left="110" w:right="102" w:firstLine="479"/>
              <w:jc w:val="both"/>
            </w:pPr>
            <w:r>
              <w:rPr>
                <w:spacing w:val="3"/>
              </w:rPr>
              <w:t>生活用水：项目劳动定员</w:t>
            </w:r>
            <w:r>
              <w:rPr>
                <w:rFonts w:ascii="Times New Roman" w:hAnsi="Times New Roman" w:eastAsia="Times New Roman" w:cs="Times New Roman"/>
                <w:spacing w:val="3"/>
              </w:rPr>
              <w:t xml:space="preserve">40 </w:t>
            </w:r>
            <w:r>
              <w:rPr>
                <w:spacing w:val="3"/>
              </w:rPr>
              <w:t>人，勘探期为</w:t>
            </w:r>
            <w:r>
              <w:rPr>
                <w:spacing w:val="-46"/>
              </w:rPr>
              <w:t xml:space="preserve"> </w:t>
            </w:r>
            <w:r>
              <w:rPr>
                <w:rFonts w:ascii="Times New Roman" w:hAnsi="Times New Roman" w:eastAsia="Times New Roman" w:cs="Times New Roman"/>
                <w:spacing w:val="3"/>
              </w:rPr>
              <w:t>90</w:t>
            </w:r>
            <w:r>
              <w:rPr>
                <w:rFonts w:ascii="Times New Roman" w:hAnsi="Times New Roman" w:eastAsia="Times New Roman" w:cs="Times New Roman"/>
                <w:spacing w:val="17"/>
              </w:rPr>
              <w:t xml:space="preserve"> </w:t>
            </w:r>
            <w:r>
              <w:rPr>
                <w:spacing w:val="3"/>
              </w:rPr>
              <w:t>天，按</w:t>
            </w:r>
            <w:r>
              <w:rPr>
                <w:spacing w:val="2"/>
              </w:rPr>
              <w:t>内蒙古自治区地方标</w:t>
            </w:r>
            <w:r>
              <w:rPr>
                <w:spacing w:val="-6"/>
              </w:rPr>
              <w:t>准《行业用水定额》（</w:t>
            </w:r>
            <w:r>
              <w:rPr>
                <w:rFonts w:ascii="Times New Roman" w:hAnsi="Times New Roman" w:eastAsia="Times New Roman" w:cs="Times New Roman"/>
                <w:spacing w:val="-6"/>
              </w:rPr>
              <w:t>DB15/T385-2025</w:t>
            </w:r>
            <w:r>
              <w:rPr>
                <w:spacing w:val="-6"/>
              </w:rPr>
              <w:t>）中农村居民用水定额值，用水量为</w:t>
            </w:r>
            <w:r>
              <w:rPr>
                <w:spacing w:val="-34"/>
              </w:rPr>
              <w:t xml:space="preserve"> </w:t>
            </w:r>
            <w:r>
              <w:rPr>
                <w:rFonts w:ascii="Times New Roman" w:hAnsi="Times New Roman" w:eastAsia="Times New Roman" w:cs="Times New Roman"/>
                <w:spacing w:val="-6"/>
              </w:rPr>
              <w:t>80L/</w:t>
            </w:r>
            <w:r>
              <w:rPr>
                <w:spacing w:val="-3"/>
              </w:rPr>
              <w:t>人</w:t>
            </w:r>
            <w:r>
              <w:rPr>
                <w:rFonts w:ascii="Times New Roman" w:hAnsi="Times New Roman" w:eastAsia="Times New Roman" w:cs="Times New Roman"/>
                <w:spacing w:val="-3"/>
              </w:rPr>
              <w:t>·d</w:t>
            </w:r>
            <w:r>
              <w:rPr>
                <w:spacing w:val="-3"/>
              </w:rPr>
              <w:t>，则生活用水量为</w:t>
            </w:r>
            <w:r>
              <w:rPr>
                <w:spacing w:val="-44"/>
              </w:rPr>
              <w:t xml:space="preserve"> </w:t>
            </w:r>
            <w:r>
              <w:rPr>
                <w:rFonts w:ascii="Times New Roman" w:hAnsi="Times New Roman" w:eastAsia="Times New Roman" w:cs="Times New Roman"/>
                <w:spacing w:val="-3"/>
              </w:rPr>
              <w:t>288m</w:t>
            </w:r>
            <w:r>
              <w:rPr>
                <w:rFonts w:ascii="Times New Roman" w:hAnsi="Times New Roman" w:eastAsia="Times New Roman" w:cs="Times New Roman"/>
                <w:spacing w:val="-3"/>
                <w:position w:val="8"/>
                <w:sz w:val="15"/>
                <w:szCs w:val="15"/>
              </w:rPr>
              <w:t>3</w:t>
            </w:r>
            <w:r>
              <w:rPr>
                <w:spacing w:val="-3"/>
              </w:rPr>
              <w:t>。用水定期从附近村庄用罐车拉运自来水，能够满</w:t>
            </w:r>
            <w:r>
              <w:rPr>
                <w:spacing w:val="-2"/>
              </w:rPr>
              <w:t>足项目生活用水需求。</w:t>
            </w:r>
          </w:p>
          <w:p w14:paraId="4C7D3C1A">
            <w:pPr>
              <w:pStyle w:val="6"/>
              <w:spacing w:line="219" w:lineRule="auto"/>
              <w:ind w:left="600"/>
              <w:outlineLvl w:val="0"/>
            </w:pPr>
            <w:r>
              <w:rPr>
                <w:spacing w:val="-5"/>
              </w:rPr>
              <w:t>（</w:t>
            </w:r>
            <w:r>
              <w:rPr>
                <w:rFonts w:ascii="Times New Roman" w:hAnsi="Times New Roman" w:eastAsia="Times New Roman" w:cs="Times New Roman"/>
                <w:spacing w:val="-5"/>
              </w:rPr>
              <w:t>3</w:t>
            </w:r>
            <w:r>
              <w:rPr>
                <w:spacing w:val="-5"/>
              </w:rPr>
              <w:t>）排水</w:t>
            </w:r>
          </w:p>
          <w:p w14:paraId="3A62DB69">
            <w:pPr>
              <w:pStyle w:val="6"/>
              <w:spacing w:before="181" w:line="360" w:lineRule="auto"/>
              <w:ind w:left="107" w:right="102" w:firstLine="485"/>
            </w:pPr>
            <w:r>
              <w:rPr>
                <w:spacing w:val="2"/>
              </w:rPr>
              <w:t>项目不进行油水分离，采出液进入储液罐贮存，由罐车拉运至临河联</w:t>
            </w:r>
            <w:r>
              <w:rPr>
                <w:spacing w:val="1"/>
              </w:rPr>
              <w:t>合站</w:t>
            </w:r>
            <w:r>
              <w:rPr>
                <w:spacing w:val="-1"/>
              </w:rPr>
              <w:t>进行处理，无采出水产生。</w:t>
            </w:r>
          </w:p>
          <w:p w14:paraId="2C0F2B1A">
            <w:pPr>
              <w:pStyle w:val="6"/>
              <w:spacing w:before="4" w:line="356" w:lineRule="auto"/>
              <w:ind w:left="112" w:right="102" w:firstLine="479"/>
              <w:jc w:val="both"/>
            </w:pPr>
            <w:r>
              <w:rPr>
                <w:spacing w:val="10"/>
              </w:rPr>
              <w:t>项目使用水基泥浆，采用泥浆不落地循环系统装置，</w:t>
            </w:r>
            <w:r>
              <w:rPr>
                <w:spacing w:val="9"/>
              </w:rPr>
              <w:t>钻井用水损耗量约</w:t>
            </w:r>
            <w:r>
              <w:rPr>
                <w:rFonts w:ascii="Times New Roman" w:hAnsi="Times New Roman" w:eastAsia="Times New Roman" w:cs="Times New Roman"/>
                <w:spacing w:val="1"/>
              </w:rPr>
              <w:t>134m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rPr>
              <w:t>/</w:t>
            </w:r>
            <w:r>
              <w:rPr>
                <w:spacing w:val="1"/>
              </w:rPr>
              <w:t>钻井期，剩余</w:t>
            </w:r>
            <w:r>
              <w:rPr>
                <w:spacing w:val="-37"/>
              </w:rPr>
              <w:t xml:space="preserve"> </w:t>
            </w:r>
            <w:r>
              <w:rPr>
                <w:rFonts w:ascii="Times New Roman" w:hAnsi="Times New Roman" w:eastAsia="Times New Roman" w:cs="Times New Roman"/>
                <w:spacing w:val="1"/>
              </w:rPr>
              <w:t>536m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rPr>
              <w:t>/</w:t>
            </w:r>
            <w:r>
              <w:rPr>
                <w:spacing w:val="1"/>
              </w:rPr>
              <w:t>钻井期的废水随同废弃泥浆、钻井岩屑收集至泥浆不落地循环系统装置旁的可移动废水罐（</w:t>
            </w:r>
            <w:r>
              <w:rPr>
                <w:rFonts w:ascii="Times New Roman" w:hAnsi="Times New Roman" w:eastAsia="Times New Roman" w:cs="Times New Roman"/>
                <w:spacing w:val="1"/>
              </w:rPr>
              <w:t>3×30m</w:t>
            </w:r>
            <w:r>
              <w:rPr>
                <w:rFonts w:ascii="Times New Roman" w:hAnsi="Times New Roman" w:eastAsia="Times New Roman" w:cs="Times New Roman"/>
                <w:position w:val="1"/>
                <w:sz w:val="15"/>
                <w:szCs w:val="15"/>
              </w:rPr>
              <w:t>3</w:t>
            </w:r>
            <w:r>
              <w:rPr>
                <w:position w:val="1"/>
              </w:rPr>
              <w:t>）</w:t>
            </w:r>
            <w:r>
              <w:t>临时贮存，定期拉运至内蒙</w:t>
            </w:r>
            <w:r>
              <w:rPr>
                <w:spacing w:val="-1"/>
              </w:rPr>
              <w:t>古众宁环保科技有限公司油气田废弃物集中处理厂处理。</w:t>
            </w:r>
          </w:p>
          <w:p w14:paraId="670EC1B5">
            <w:pPr>
              <w:pStyle w:val="6"/>
              <w:spacing w:before="2" w:line="359" w:lineRule="auto"/>
              <w:ind w:left="128" w:right="102" w:firstLine="459"/>
            </w:pPr>
            <w:r>
              <w:rPr>
                <w:spacing w:val="1"/>
              </w:rPr>
              <w:t>施工期产生的盥洗废水产生量按用水量的</w:t>
            </w:r>
            <w:r>
              <w:rPr>
                <w:spacing w:val="-43"/>
              </w:rPr>
              <w:t xml:space="preserve"> </w:t>
            </w:r>
            <w:r>
              <w:rPr>
                <w:rFonts w:ascii="Times New Roman" w:hAnsi="Times New Roman" w:eastAsia="Times New Roman" w:cs="Times New Roman"/>
                <w:spacing w:val="1"/>
              </w:rPr>
              <w:t>80%</w:t>
            </w:r>
            <w:r>
              <w:rPr>
                <w:spacing w:val="1"/>
              </w:rPr>
              <w:t>计，盥洗废水排入井</w:t>
            </w:r>
            <w:r>
              <w:t>场设置</w:t>
            </w:r>
            <w:r>
              <w:rPr>
                <w:spacing w:val="-1"/>
              </w:rPr>
              <w:t>的环保厕所，定期清掏。抑尘过程中用水均消耗，无废水</w:t>
            </w:r>
            <w:r>
              <w:rPr>
                <w:spacing w:val="-2"/>
              </w:rPr>
              <w:t>产生。</w:t>
            </w:r>
          </w:p>
          <w:p w14:paraId="30F1DB74">
            <w:pPr>
              <w:spacing w:before="1" w:line="206" w:lineRule="auto"/>
              <w:ind w:left="3021"/>
              <w:rPr>
                <w:rFonts w:ascii="黑体" w:hAnsi="黑体" w:eastAsia="黑体" w:cs="黑体"/>
                <w:sz w:val="24"/>
                <w:szCs w:val="24"/>
              </w:rPr>
            </w:pPr>
            <w:r>
              <w:rPr>
                <w:rFonts w:ascii="黑体" w:hAnsi="黑体" w:eastAsia="黑体" w:cs="黑体"/>
                <w:spacing w:val="-2"/>
                <w:sz w:val="24"/>
                <w:szCs w:val="24"/>
              </w:rPr>
              <w:t>表</w:t>
            </w:r>
            <w:r>
              <w:rPr>
                <w:rFonts w:ascii="黑体" w:hAnsi="黑体" w:eastAsia="黑体" w:cs="黑体"/>
                <w:spacing w:val="-49"/>
                <w:sz w:val="24"/>
                <w:szCs w:val="24"/>
              </w:rPr>
              <w:t xml:space="preserve"> </w:t>
            </w:r>
            <w:r>
              <w:rPr>
                <w:rFonts w:ascii="Times New Roman" w:hAnsi="Times New Roman" w:eastAsia="Times New Roman" w:cs="Times New Roman"/>
                <w:spacing w:val="-2"/>
                <w:sz w:val="24"/>
                <w:szCs w:val="24"/>
              </w:rPr>
              <w:t xml:space="preserve">2-8  </w:t>
            </w:r>
            <w:r>
              <w:rPr>
                <w:rFonts w:ascii="黑体" w:hAnsi="黑体" w:eastAsia="黑体" w:cs="黑体"/>
                <w:spacing w:val="-2"/>
                <w:sz w:val="24"/>
                <w:szCs w:val="24"/>
              </w:rPr>
              <w:t>用排水量统计表</w:t>
            </w:r>
          </w:p>
        </w:tc>
      </w:tr>
      <w:tr w14:paraId="7E90F6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trPr>
        <w:tc>
          <w:tcPr>
            <w:tcW w:w="466" w:type="dxa"/>
            <w:vMerge w:val="continue"/>
            <w:tcBorders>
              <w:top w:val="nil"/>
              <w:left w:val="single" w:color="000000" w:sz="6" w:space="0"/>
              <w:bottom w:val="nil"/>
              <w:right w:val="single" w:color="000000" w:sz="2" w:space="0"/>
            </w:tcBorders>
            <w:vAlign w:val="top"/>
          </w:tcPr>
          <w:p w14:paraId="49BBA000">
            <w:pPr>
              <w:rPr>
                <w:rFonts w:ascii="Arial"/>
                <w:sz w:val="21"/>
              </w:rPr>
            </w:pPr>
          </w:p>
        </w:tc>
        <w:tc>
          <w:tcPr>
            <w:tcW w:w="660" w:type="dxa"/>
            <w:tcBorders>
              <w:top w:val="single" w:color="000000" w:sz="10" w:space="0"/>
              <w:left w:val="single" w:color="000000" w:sz="2" w:space="0"/>
            </w:tcBorders>
            <w:vAlign w:val="top"/>
          </w:tcPr>
          <w:p w14:paraId="34CA5E1D">
            <w:pPr>
              <w:pStyle w:val="6"/>
              <w:spacing w:before="143" w:line="229" w:lineRule="auto"/>
              <w:ind w:left="169"/>
              <w:rPr>
                <w:sz w:val="20"/>
                <w:szCs w:val="20"/>
              </w:rPr>
            </w:pPr>
            <w:r>
              <w:rPr>
                <w:spacing w:val="5"/>
                <w:sz w:val="20"/>
                <w:szCs w:val="20"/>
              </w:rPr>
              <w:t>序号</w:t>
            </w:r>
          </w:p>
        </w:tc>
        <w:tc>
          <w:tcPr>
            <w:tcW w:w="871" w:type="dxa"/>
            <w:tcBorders>
              <w:top w:val="single" w:color="000000" w:sz="10" w:space="0"/>
            </w:tcBorders>
            <w:vAlign w:val="top"/>
          </w:tcPr>
          <w:p w14:paraId="53D30784">
            <w:pPr>
              <w:pStyle w:val="6"/>
              <w:spacing w:before="142" w:line="228" w:lineRule="auto"/>
              <w:ind w:left="15"/>
              <w:rPr>
                <w:sz w:val="20"/>
                <w:szCs w:val="20"/>
              </w:rPr>
            </w:pPr>
            <w:r>
              <w:rPr>
                <w:spacing w:val="6"/>
                <w:sz w:val="20"/>
                <w:szCs w:val="20"/>
              </w:rPr>
              <w:t>用水项目</w:t>
            </w:r>
          </w:p>
        </w:tc>
        <w:tc>
          <w:tcPr>
            <w:tcW w:w="992" w:type="dxa"/>
            <w:tcBorders>
              <w:top w:val="single" w:color="000000" w:sz="10" w:space="0"/>
            </w:tcBorders>
            <w:vAlign w:val="top"/>
          </w:tcPr>
          <w:p w14:paraId="1FB5B273">
            <w:pPr>
              <w:pStyle w:val="6"/>
              <w:spacing w:before="142" w:line="228" w:lineRule="auto"/>
              <w:ind w:left="75"/>
              <w:rPr>
                <w:sz w:val="20"/>
                <w:szCs w:val="20"/>
              </w:rPr>
            </w:pPr>
            <w:r>
              <w:rPr>
                <w:spacing w:val="6"/>
                <w:sz w:val="20"/>
                <w:szCs w:val="20"/>
              </w:rPr>
              <w:t>用水标准</w:t>
            </w:r>
          </w:p>
        </w:tc>
        <w:tc>
          <w:tcPr>
            <w:tcW w:w="709" w:type="dxa"/>
            <w:tcBorders>
              <w:top w:val="single" w:color="000000" w:sz="10" w:space="0"/>
            </w:tcBorders>
            <w:vAlign w:val="top"/>
          </w:tcPr>
          <w:p w14:paraId="74EBC0EB">
            <w:pPr>
              <w:pStyle w:val="6"/>
              <w:spacing w:before="142" w:line="228" w:lineRule="auto"/>
              <w:ind w:left="147"/>
              <w:rPr>
                <w:sz w:val="20"/>
                <w:szCs w:val="20"/>
              </w:rPr>
            </w:pPr>
            <w:r>
              <w:rPr>
                <w:spacing w:val="3"/>
                <w:sz w:val="20"/>
                <w:szCs w:val="20"/>
              </w:rPr>
              <w:t>数量</w:t>
            </w:r>
          </w:p>
        </w:tc>
        <w:tc>
          <w:tcPr>
            <w:tcW w:w="990" w:type="dxa"/>
            <w:tcBorders>
              <w:top w:val="single" w:color="000000" w:sz="10" w:space="0"/>
            </w:tcBorders>
            <w:vAlign w:val="top"/>
          </w:tcPr>
          <w:p w14:paraId="0E967505">
            <w:pPr>
              <w:pStyle w:val="6"/>
              <w:spacing w:before="142" w:line="228" w:lineRule="auto"/>
              <w:ind w:left="42"/>
              <w:rPr>
                <w:rFonts w:ascii="Times New Roman" w:hAnsi="Times New Roman" w:eastAsia="Times New Roman" w:cs="Times New Roman"/>
                <w:sz w:val="13"/>
                <w:szCs w:val="13"/>
              </w:rPr>
            </w:pPr>
            <w:r>
              <w:rPr>
                <w:spacing w:val="5"/>
                <w:sz w:val="20"/>
                <w:szCs w:val="20"/>
              </w:rPr>
              <w:t>用水量</w:t>
            </w:r>
            <w:r>
              <w:rPr>
                <w:spacing w:val="-44"/>
                <w:sz w:val="20"/>
                <w:szCs w:val="20"/>
              </w:rPr>
              <w:t xml:space="preserve"> </w:t>
            </w:r>
            <w:r>
              <w:rPr>
                <w:rFonts w:ascii="Times New Roman" w:hAnsi="Times New Roman" w:eastAsia="Times New Roman" w:cs="Times New Roman"/>
                <w:spacing w:val="5"/>
                <w:sz w:val="20"/>
                <w:szCs w:val="20"/>
              </w:rPr>
              <w:t>m</w:t>
            </w:r>
            <w:r>
              <w:rPr>
                <w:rFonts w:ascii="Times New Roman" w:hAnsi="Times New Roman" w:eastAsia="Times New Roman" w:cs="Times New Roman"/>
                <w:spacing w:val="5"/>
                <w:position w:val="6"/>
                <w:sz w:val="13"/>
                <w:szCs w:val="13"/>
              </w:rPr>
              <w:t>3</w:t>
            </w:r>
          </w:p>
        </w:tc>
        <w:tc>
          <w:tcPr>
            <w:tcW w:w="990" w:type="dxa"/>
            <w:tcBorders>
              <w:top w:val="single" w:color="000000" w:sz="10" w:space="0"/>
              <w:right w:val="single" w:color="000000" w:sz="2" w:space="0"/>
            </w:tcBorders>
            <w:vAlign w:val="top"/>
          </w:tcPr>
          <w:p w14:paraId="63B2D2C2">
            <w:pPr>
              <w:pStyle w:val="6"/>
              <w:spacing w:before="121" w:line="228" w:lineRule="auto"/>
              <w:ind w:left="42"/>
              <w:rPr>
                <w:rFonts w:ascii="Times New Roman" w:hAnsi="Times New Roman" w:eastAsia="Times New Roman" w:cs="Times New Roman"/>
                <w:sz w:val="13"/>
                <w:szCs w:val="13"/>
              </w:rPr>
            </w:pPr>
            <w:r>
              <w:rPr>
                <w:spacing w:val="6"/>
                <w:sz w:val="20"/>
                <w:szCs w:val="20"/>
              </w:rPr>
              <w:t>损耗量</w:t>
            </w:r>
            <w:r>
              <w:rPr>
                <w:spacing w:val="-46"/>
                <w:sz w:val="20"/>
                <w:szCs w:val="20"/>
              </w:rPr>
              <w:t xml:space="preserve"> </w:t>
            </w:r>
            <w:r>
              <w:rPr>
                <w:rFonts w:ascii="Times New Roman" w:hAnsi="Times New Roman" w:eastAsia="Times New Roman" w:cs="Times New Roman"/>
                <w:spacing w:val="6"/>
                <w:sz w:val="20"/>
                <w:szCs w:val="20"/>
              </w:rPr>
              <w:t>m</w:t>
            </w:r>
            <w:r>
              <w:rPr>
                <w:rFonts w:ascii="Times New Roman" w:hAnsi="Times New Roman" w:eastAsia="Times New Roman" w:cs="Times New Roman"/>
                <w:spacing w:val="6"/>
                <w:position w:val="6"/>
                <w:sz w:val="13"/>
                <w:szCs w:val="13"/>
              </w:rPr>
              <w:t>3</w:t>
            </w:r>
          </w:p>
        </w:tc>
        <w:tc>
          <w:tcPr>
            <w:tcW w:w="1273" w:type="dxa"/>
            <w:tcBorders>
              <w:top w:val="single" w:color="000000" w:sz="10" w:space="0"/>
              <w:left w:val="single" w:color="000000" w:sz="2" w:space="0"/>
              <w:right w:val="single" w:color="000000" w:sz="2" w:space="0"/>
            </w:tcBorders>
            <w:vAlign w:val="top"/>
          </w:tcPr>
          <w:p w14:paraId="69758701">
            <w:pPr>
              <w:pStyle w:val="6"/>
              <w:spacing w:before="121" w:line="228" w:lineRule="auto"/>
              <w:ind w:left="189"/>
              <w:rPr>
                <w:rFonts w:ascii="Times New Roman" w:hAnsi="Times New Roman" w:eastAsia="Times New Roman" w:cs="Times New Roman"/>
                <w:sz w:val="13"/>
                <w:szCs w:val="13"/>
              </w:rPr>
            </w:pPr>
            <w:r>
              <w:rPr>
                <w:spacing w:val="5"/>
                <w:sz w:val="20"/>
                <w:szCs w:val="20"/>
              </w:rPr>
              <w:t>污水量</w:t>
            </w:r>
            <w:r>
              <w:rPr>
                <w:spacing w:val="-44"/>
                <w:sz w:val="20"/>
                <w:szCs w:val="20"/>
              </w:rPr>
              <w:t xml:space="preserve"> </w:t>
            </w:r>
            <w:r>
              <w:rPr>
                <w:rFonts w:ascii="Times New Roman" w:hAnsi="Times New Roman" w:eastAsia="Times New Roman" w:cs="Times New Roman"/>
                <w:spacing w:val="5"/>
                <w:sz w:val="20"/>
                <w:szCs w:val="20"/>
              </w:rPr>
              <w:t>m</w:t>
            </w:r>
            <w:r>
              <w:rPr>
                <w:rFonts w:ascii="Times New Roman" w:hAnsi="Times New Roman" w:eastAsia="Times New Roman" w:cs="Times New Roman"/>
                <w:spacing w:val="5"/>
                <w:position w:val="6"/>
                <w:sz w:val="13"/>
                <w:szCs w:val="13"/>
              </w:rPr>
              <w:t>3</w:t>
            </w:r>
          </w:p>
        </w:tc>
        <w:tc>
          <w:tcPr>
            <w:tcW w:w="1964" w:type="dxa"/>
            <w:tcBorders>
              <w:top w:val="single" w:color="000000" w:sz="10" w:space="0"/>
              <w:left w:val="single" w:color="000000" w:sz="2" w:space="0"/>
              <w:right w:val="single" w:color="000000" w:sz="6" w:space="0"/>
            </w:tcBorders>
            <w:vAlign w:val="top"/>
          </w:tcPr>
          <w:p w14:paraId="2BC4319D">
            <w:pPr>
              <w:pStyle w:val="6"/>
              <w:spacing w:before="121" w:line="229" w:lineRule="auto"/>
              <w:ind w:left="730"/>
              <w:rPr>
                <w:sz w:val="20"/>
                <w:szCs w:val="20"/>
              </w:rPr>
            </w:pPr>
            <w:r>
              <w:rPr>
                <w:spacing w:val="3"/>
                <w:sz w:val="20"/>
                <w:szCs w:val="20"/>
              </w:rPr>
              <w:t>去向</w:t>
            </w:r>
          </w:p>
        </w:tc>
      </w:tr>
      <w:tr w14:paraId="4CFE19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9" w:hRule="atLeast"/>
        </w:trPr>
        <w:tc>
          <w:tcPr>
            <w:tcW w:w="466" w:type="dxa"/>
            <w:vMerge w:val="continue"/>
            <w:tcBorders>
              <w:top w:val="nil"/>
              <w:left w:val="single" w:color="000000" w:sz="6" w:space="0"/>
              <w:bottom w:val="nil"/>
              <w:right w:val="single" w:color="000000" w:sz="2" w:space="0"/>
            </w:tcBorders>
            <w:vAlign w:val="top"/>
          </w:tcPr>
          <w:p w14:paraId="6BC91409">
            <w:pPr>
              <w:rPr>
                <w:rFonts w:ascii="Arial"/>
                <w:sz w:val="21"/>
              </w:rPr>
            </w:pPr>
          </w:p>
        </w:tc>
        <w:tc>
          <w:tcPr>
            <w:tcW w:w="660" w:type="dxa"/>
            <w:tcBorders>
              <w:left w:val="single" w:color="000000" w:sz="2" w:space="0"/>
            </w:tcBorders>
            <w:vAlign w:val="top"/>
          </w:tcPr>
          <w:p w14:paraId="78A4C56B">
            <w:pPr>
              <w:spacing w:line="241" w:lineRule="auto"/>
              <w:rPr>
                <w:rFonts w:ascii="Arial"/>
                <w:sz w:val="21"/>
              </w:rPr>
            </w:pPr>
          </w:p>
          <w:p w14:paraId="32808D5F">
            <w:pPr>
              <w:spacing w:line="242" w:lineRule="auto"/>
              <w:rPr>
                <w:rFonts w:ascii="Arial"/>
                <w:sz w:val="21"/>
              </w:rPr>
            </w:pPr>
          </w:p>
          <w:p w14:paraId="15AF5188">
            <w:pPr>
              <w:spacing w:before="57" w:line="195" w:lineRule="auto"/>
              <w:ind w:left="34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871" w:type="dxa"/>
            <w:vAlign w:val="top"/>
          </w:tcPr>
          <w:p w14:paraId="13B33BEB">
            <w:pPr>
              <w:spacing w:line="439" w:lineRule="auto"/>
              <w:rPr>
                <w:rFonts w:ascii="Arial"/>
                <w:sz w:val="21"/>
              </w:rPr>
            </w:pPr>
          </w:p>
          <w:p w14:paraId="778E648F">
            <w:pPr>
              <w:pStyle w:val="6"/>
              <w:spacing w:before="65" w:line="228" w:lineRule="auto"/>
              <w:ind w:left="15"/>
              <w:rPr>
                <w:sz w:val="20"/>
                <w:szCs w:val="20"/>
              </w:rPr>
            </w:pPr>
            <w:r>
              <w:rPr>
                <w:spacing w:val="6"/>
                <w:sz w:val="20"/>
                <w:szCs w:val="20"/>
              </w:rPr>
              <w:t>生产用水</w:t>
            </w:r>
          </w:p>
        </w:tc>
        <w:tc>
          <w:tcPr>
            <w:tcW w:w="992" w:type="dxa"/>
            <w:vAlign w:val="top"/>
          </w:tcPr>
          <w:p w14:paraId="0EED588B">
            <w:pPr>
              <w:spacing w:line="463" w:lineRule="auto"/>
              <w:rPr>
                <w:rFonts w:ascii="Arial"/>
                <w:sz w:val="21"/>
              </w:rPr>
            </w:pPr>
          </w:p>
          <w:p w14:paraId="1395C4C8">
            <w:pPr>
              <w:spacing w:before="57" w:line="216" w:lineRule="auto"/>
              <w:ind w:left="13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1m</w:t>
            </w:r>
            <w:r>
              <w:rPr>
                <w:rFonts w:ascii="Times New Roman" w:hAnsi="Times New Roman" w:eastAsia="Times New Roman" w:cs="Times New Roman"/>
                <w:position w:val="6"/>
                <w:sz w:val="13"/>
                <w:szCs w:val="13"/>
              </w:rPr>
              <w:t>3</w:t>
            </w:r>
            <w:r>
              <w:rPr>
                <w:rFonts w:ascii="Times New Roman" w:hAnsi="Times New Roman" w:eastAsia="Times New Roman" w:cs="Times New Roman"/>
                <w:sz w:val="20"/>
                <w:szCs w:val="20"/>
              </w:rPr>
              <w:t>/m</w:t>
            </w:r>
          </w:p>
        </w:tc>
        <w:tc>
          <w:tcPr>
            <w:tcW w:w="709" w:type="dxa"/>
            <w:vAlign w:val="top"/>
          </w:tcPr>
          <w:p w14:paraId="34428B83">
            <w:pPr>
              <w:spacing w:line="241" w:lineRule="auto"/>
              <w:rPr>
                <w:rFonts w:ascii="Arial"/>
                <w:sz w:val="21"/>
              </w:rPr>
            </w:pPr>
          </w:p>
          <w:p w14:paraId="479B0821">
            <w:pPr>
              <w:spacing w:line="242" w:lineRule="auto"/>
              <w:rPr>
                <w:rFonts w:ascii="Arial"/>
                <w:sz w:val="21"/>
              </w:rPr>
            </w:pPr>
          </w:p>
          <w:p w14:paraId="6DA3915E">
            <w:pPr>
              <w:spacing w:before="57" w:line="195" w:lineRule="auto"/>
              <w:ind w:left="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6700m</w:t>
            </w:r>
          </w:p>
        </w:tc>
        <w:tc>
          <w:tcPr>
            <w:tcW w:w="990" w:type="dxa"/>
            <w:vAlign w:val="top"/>
          </w:tcPr>
          <w:p w14:paraId="77AEFEB4">
            <w:pPr>
              <w:spacing w:line="241" w:lineRule="auto"/>
              <w:rPr>
                <w:rFonts w:ascii="Arial"/>
                <w:sz w:val="21"/>
              </w:rPr>
            </w:pPr>
          </w:p>
          <w:p w14:paraId="3D4AF7C3">
            <w:pPr>
              <w:spacing w:line="242" w:lineRule="auto"/>
              <w:rPr>
                <w:rFonts w:ascii="Arial"/>
                <w:sz w:val="21"/>
              </w:rPr>
            </w:pPr>
          </w:p>
          <w:p w14:paraId="48249E00">
            <w:pPr>
              <w:spacing w:before="57" w:line="195"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670</w:t>
            </w:r>
          </w:p>
        </w:tc>
        <w:tc>
          <w:tcPr>
            <w:tcW w:w="990" w:type="dxa"/>
            <w:tcBorders>
              <w:right w:val="single" w:color="000000" w:sz="2" w:space="0"/>
            </w:tcBorders>
            <w:vAlign w:val="top"/>
          </w:tcPr>
          <w:p w14:paraId="1E938507">
            <w:pPr>
              <w:spacing w:line="241" w:lineRule="auto"/>
              <w:rPr>
                <w:rFonts w:ascii="Arial"/>
                <w:sz w:val="21"/>
              </w:rPr>
            </w:pPr>
          </w:p>
          <w:p w14:paraId="2E253AD0">
            <w:pPr>
              <w:spacing w:line="242" w:lineRule="auto"/>
              <w:rPr>
                <w:rFonts w:ascii="Arial"/>
                <w:sz w:val="21"/>
              </w:rPr>
            </w:pPr>
          </w:p>
          <w:p w14:paraId="6096F29C">
            <w:pPr>
              <w:spacing w:before="57" w:line="195" w:lineRule="auto"/>
              <w:ind w:left="3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134</w:t>
            </w:r>
          </w:p>
        </w:tc>
        <w:tc>
          <w:tcPr>
            <w:tcW w:w="1273" w:type="dxa"/>
            <w:tcBorders>
              <w:left w:val="single" w:color="000000" w:sz="2" w:space="0"/>
              <w:right w:val="single" w:color="000000" w:sz="2" w:space="0"/>
            </w:tcBorders>
            <w:vAlign w:val="top"/>
          </w:tcPr>
          <w:p w14:paraId="58B59896">
            <w:pPr>
              <w:pStyle w:val="6"/>
              <w:spacing w:before="185" w:line="228" w:lineRule="auto"/>
              <w:ind w:right="1"/>
              <w:jc w:val="right"/>
              <w:rPr>
                <w:sz w:val="20"/>
                <w:szCs w:val="20"/>
              </w:rPr>
            </w:pPr>
            <w:r>
              <w:rPr>
                <w:rFonts w:ascii="Times New Roman" w:hAnsi="Times New Roman" w:eastAsia="Times New Roman" w:cs="Times New Roman"/>
                <w:spacing w:val="-6"/>
                <w:sz w:val="20"/>
                <w:szCs w:val="20"/>
              </w:rPr>
              <w:t>536</w:t>
            </w:r>
            <w:r>
              <w:rPr>
                <w:spacing w:val="-6"/>
                <w:sz w:val="20"/>
                <w:szCs w:val="20"/>
              </w:rPr>
              <w:t>（进入废弃</w:t>
            </w:r>
          </w:p>
          <w:p w14:paraId="16DF17FF">
            <w:pPr>
              <w:pStyle w:val="6"/>
              <w:spacing w:before="74" w:line="228" w:lineRule="auto"/>
              <w:ind w:left="16"/>
              <w:rPr>
                <w:sz w:val="20"/>
                <w:szCs w:val="20"/>
              </w:rPr>
            </w:pPr>
            <w:r>
              <w:rPr>
                <w:spacing w:val="7"/>
                <w:sz w:val="20"/>
                <w:szCs w:val="20"/>
              </w:rPr>
              <w:t>泥浆、钻井岩</w:t>
            </w:r>
          </w:p>
          <w:p w14:paraId="7D9D1EC8">
            <w:pPr>
              <w:pStyle w:val="6"/>
              <w:spacing w:before="72" w:line="229" w:lineRule="auto"/>
              <w:ind w:left="438"/>
              <w:rPr>
                <w:sz w:val="20"/>
                <w:szCs w:val="20"/>
              </w:rPr>
            </w:pPr>
            <w:r>
              <w:rPr>
                <w:spacing w:val="-2"/>
                <w:sz w:val="20"/>
                <w:szCs w:val="20"/>
              </w:rPr>
              <w:t>屑）</w:t>
            </w:r>
          </w:p>
        </w:tc>
        <w:tc>
          <w:tcPr>
            <w:tcW w:w="1964" w:type="dxa"/>
            <w:tcBorders>
              <w:left w:val="single" w:color="000000" w:sz="2" w:space="0"/>
              <w:right w:val="single" w:color="000000" w:sz="6" w:space="0"/>
            </w:tcBorders>
            <w:vAlign w:val="top"/>
          </w:tcPr>
          <w:p w14:paraId="20768C16">
            <w:pPr>
              <w:spacing w:line="282" w:lineRule="auto"/>
              <w:rPr>
                <w:rFonts w:ascii="Arial"/>
                <w:sz w:val="21"/>
              </w:rPr>
            </w:pPr>
          </w:p>
          <w:p w14:paraId="662CFE87">
            <w:pPr>
              <w:pStyle w:val="6"/>
              <w:spacing w:before="65" w:line="254" w:lineRule="auto"/>
              <w:ind w:left="95" w:right="188" w:firstLine="1"/>
              <w:rPr>
                <w:sz w:val="20"/>
                <w:szCs w:val="20"/>
              </w:rPr>
            </w:pPr>
            <w:r>
              <w:rPr>
                <w:spacing w:val="8"/>
                <w:sz w:val="20"/>
                <w:szCs w:val="20"/>
              </w:rPr>
              <w:t>拉运至油气田废弃物集中处理厂处理</w:t>
            </w:r>
          </w:p>
        </w:tc>
      </w:tr>
      <w:tr w14:paraId="033CFB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466" w:type="dxa"/>
            <w:vMerge w:val="continue"/>
            <w:tcBorders>
              <w:top w:val="nil"/>
              <w:left w:val="single" w:color="000000" w:sz="6" w:space="0"/>
              <w:bottom w:val="nil"/>
              <w:right w:val="single" w:color="000000" w:sz="2" w:space="0"/>
            </w:tcBorders>
            <w:vAlign w:val="top"/>
          </w:tcPr>
          <w:p w14:paraId="68CE8EFA">
            <w:pPr>
              <w:rPr>
                <w:rFonts w:ascii="Arial"/>
                <w:sz w:val="21"/>
              </w:rPr>
            </w:pPr>
          </w:p>
        </w:tc>
        <w:tc>
          <w:tcPr>
            <w:tcW w:w="660" w:type="dxa"/>
            <w:tcBorders>
              <w:left w:val="single" w:color="000000" w:sz="2" w:space="0"/>
            </w:tcBorders>
            <w:vAlign w:val="top"/>
          </w:tcPr>
          <w:p w14:paraId="301897A8">
            <w:pPr>
              <w:spacing w:before="190" w:line="195" w:lineRule="auto"/>
              <w:ind w:left="32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871" w:type="dxa"/>
            <w:vAlign w:val="top"/>
          </w:tcPr>
          <w:p w14:paraId="3C14CCE9">
            <w:pPr>
              <w:pStyle w:val="6"/>
              <w:spacing w:before="154" w:line="228" w:lineRule="auto"/>
              <w:ind w:left="222"/>
              <w:rPr>
                <w:sz w:val="20"/>
                <w:szCs w:val="20"/>
              </w:rPr>
            </w:pPr>
            <w:r>
              <w:rPr>
                <w:spacing w:val="4"/>
                <w:sz w:val="20"/>
                <w:szCs w:val="20"/>
              </w:rPr>
              <w:t>抑尘</w:t>
            </w:r>
          </w:p>
        </w:tc>
        <w:tc>
          <w:tcPr>
            <w:tcW w:w="992" w:type="dxa"/>
            <w:vAlign w:val="top"/>
          </w:tcPr>
          <w:p w14:paraId="1D584178">
            <w:pPr>
              <w:spacing w:before="170" w:line="216"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2m</w:t>
            </w:r>
            <w:r>
              <w:rPr>
                <w:rFonts w:ascii="Times New Roman" w:hAnsi="Times New Roman" w:eastAsia="Times New Roman" w:cs="Times New Roman"/>
                <w:spacing w:val="3"/>
                <w:position w:val="6"/>
                <w:sz w:val="13"/>
                <w:szCs w:val="13"/>
              </w:rPr>
              <w:t>3</w:t>
            </w:r>
            <w:r>
              <w:rPr>
                <w:rFonts w:ascii="Times New Roman" w:hAnsi="Times New Roman" w:eastAsia="Times New Roman" w:cs="Times New Roman"/>
                <w:spacing w:val="3"/>
                <w:sz w:val="20"/>
                <w:szCs w:val="20"/>
              </w:rPr>
              <w:t>/d</w:t>
            </w:r>
          </w:p>
        </w:tc>
        <w:tc>
          <w:tcPr>
            <w:tcW w:w="709" w:type="dxa"/>
            <w:vAlign w:val="top"/>
          </w:tcPr>
          <w:p w14:paraId="76DD9F30">
            <w:pPr>
              <w:pStyle w:val="6"/>
              <w:spacing w:before="154" w:line="228" w:lineRule="auto"/>
              <w:ind w:left="119"/>
              <w:rPr>
                <w:sz w:val="20"/>
                <w:szCs w:val="20"/>
              </w:rPr>
            </w:pPr>
            <w:r>
              <w:rPr>
                <w:rFonts w:ascii="Times New Roman" w:hAnsi="Times New Roman" w:eastAsia="Times New Roman" w:cs="Times New Roman"/>
                <w:sz w:val="20"/>
                <w:szCs w:val="20"/>
              </w:rPr>
              <w:t>90</w:t>
            </w:r>
            <w:r>
              <w:rPr>
                <w:rFonts w:ascii="Times New Roman" w:hAnsi="Times New Roman" w:eastAsia="Times New Roman" w:cs="Times New Roman"/>
                <w:spacing w:val="14"/>
                <w:w w:val="101"/>
                <w:sz w:val="20"/>
                <w:szCs w:val="20"/>
              </w:rPr>
              <w:t xml:space="preserve"> </w:t>
            </w:r>
            <w:r>
              <w:rPr>
                <w:sz w:val="20"/>
                <w:szCs w:val="20"/>
              </w:rPr>
              <w:t>天</w:t>
            </w:r>
          </w:p>
        </w:tc>
        <w:tc>
          <w:tcPr>
            <w:tcW w:w="990" w:type="dxa"/>
            <w:vAlign w:val="top"/>
          </w:tcPr>
          <w:p w14:paraId="12C1A77A">
            <w:pPr>
              <w:spacing w:before="190" w:line="195" w:lineRule="auto"/>
              <w:ind w:left="35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180</w:t>
            </w:r>
          </w:p>
        </w:tc>
        <w:tc>
          <w:tcPr>
            <w:tcW w:w="990" w:type="dxa"/>
            <w:tcBorders>
              <w:right w:val="single" w:color="000000" w:sz="2" w:space="0"/>
            </w:tcBorders>
            <w:vAlign w:val="top"/>
          </w:tcPr>
          <w:p w14:paraId="17A6B2AB">
            <w:pPr>
              <w:spacing w:before="190" w:line="195" w:lineRule="auto"/>
              <w:ind w:left="3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180</w:t>
            </w:r>
          </w:p>
        </w:tc>
        <w:tc>
          <w:tcPr>
            <w:tcW w:w="1273" w:type="dxa"/>
            <w:tcBorders>
              <w:left w:val="single" w:color="000000" w:sz="2" w:space="0"/>
              <w:right w:val="single" w:color="000000" w:sz="2" w:space="0"/>
            </w:tcBorders>
            <w:vAlign w:val="top"/>
          </w:tcPr>
          <w:p w14:paraId="01FEE184">
            <w:pPr>
              <w:spacing w:before="190" w:line="195" w:lineRule="auto"/>
              <w:ind w:left="59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964" w:type="dxa"/>
            <w:tcBorders>
              <w:left w:val="single" w:color="000000" w:sz="2" w:space="0"/>
              <w:right w:val="single" w:color="000000" w:sz="6" w:space="0"/>
            </w:tcBorders>
            <w:vAlign w:val="top"/>
          </w:tcPr>
          <w:p w14:paraId="37439FD3">
            <w:pPr>
              <w:spacing w:before="257" w:line="96" w:lineRule="exact"/>
              <w:ind w:left="86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14:paraId="576F28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4" w:hRule="atLeast"/>
        </w:trPr>
        <w:tc>
          <w:tcPr>
            <w:tcW w:w="466" w:type="dxa"/>
            <w:vMerge w:val="continue"/>
            <w:tcBorders>
              <w:top w:val="nil"/>
              <w:left w:val="single" w:color="000000" w:sz="6" w:space="0"/>
              <w:bottom w:val="nil"/>
              <w:right w:val="single" w:color="000000" w:sz="2" w:space="0"/>
            </w:tcBorders>
            <w:vAlign w:val="top"/>
          </w:tcPr>
          <w:p w14:paraId="6686343A">
            <w:pPr>
              <w:rPr>
                <w:rFonts w:ascii="Arial"/>
                <w:sz w:val="21"/>
              </w:rPr>
            </w:pPr>
          </w:p>
        </w:tc>
        <w:tc>
          <w:tcPr>
            <w:tcW w:w="660" w:type="dxa"/>
            <w:tcBorders>
              <w:left w:val="single" w:color="000000" w:sz="2" w:space="0"/>
            </w:tcBorders>
            <w:vAlign w:val="top"/>
          </w:tcPr>
          <w:p w14:paraId="7D43764B">
            <w:pPr>
              <w:spacing w:before="282" w:line="195" w:lineRule="auto"/>
              <w:ind w:left="32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871" w:type="dxa"/>
            <w:vAlign w:val="top"/>
          </w:tcPr>
          <w:p w14:paraId="068BF428">
            <w:pPr>
              <w:pStyle w:val="6"/>
              <w:spacing w:before="246" w:line="228" w:lineRule="auto"/>
              <w:ind w:left="15"/>
              <w:rPr>
                <w:sz w:val="20"/>
                <w:szCs w:val="20"/>
              </w:rPr>
            </w:pPr>
            <w:r>
              <w:rPr>
                <w:spacing w:val="6"/>
                <w:sz w:val="20"/>
                <w:szCs w:val="20"/>
              </w:rPr>
              <w:t>生活用水</w:t>
            </w:r>
          </w:p>
        </w:tc>
        <w:tc>
          <w:tcPr>
            <w:tcW w:w="992" w:type="dxa"/>
            <w:vAlign w:val="top"/>
          </w:tcPr>
          <w:p w14:paraId="521CC785">
            <w:pPr>
              <w:pStyle w:val="6"/>
              <w:spacing w:before="246" w:line="231" w:lineRule="auto"/>
              <w:ind w:left="107"/>
              <w:rPr>
                <w:sz w:val="20"/>
                <w:szCs w:val="20"/>
              </w:rPr>
            </w:pPr>
            <w:r>
              <w:rPr>
                <w:rFonts w:ascii="Times New Roman" w:hAnsi="Times New Roman" w:eastAsia="Times New Roman" w:cs="Times New Roman"/>
                <w:spacing w:val="3"/>
                <w:sz w:val="20"/>
                <w:szCs w:val="20"/>
              </w:rPr>
              <w:t>80L/d•</w:t>
            </w:r>
            <w:r>
              <w:rPr>
                <w:spacing w:val="3"/>
                <w:sz w:val="20"/>
                <w:szCs w:val="20"/>
              </w:rPr>
              <w:t>人</w:t>
            </w:r>
          </w:p>
        </w:tc>
        <w:tc>
          <w:tcPr>
            <w:tcW w:w="709" w:type="dxa"/>
            <w:vAlign w:val="top"/>
          </w:tcPr>
          <w:p w14:paraId="100CDD10">
            <w:pPr>
              <w:pStyle w:val="6"/>
              <w:spacing w:before="85" w:line="253" w:lineRule="auto"/>
              <w:ind w:left="118" w:right="63" w:hanging="110"/>
              <w:rPr>
                <w:sz w:val="20"/>
                <w:szCs w:val="20"/>
              </w:rPr>
            </w:pPr>
            <w:r>
              <w:rPr>
                <w:rFonts w:ascii="Times New Roman" w:hAnsi="Times New Roman" w:eastAsia="Times New Roman" w:cs="Times New Roman"/>
                <w:spacing w:val="-9"/>
                <w:sz w:val="20"/>
                <w:szCs w:val="20"/>
              </w:rPr>
              <w:t>40</w:t>
            </w:r>
            <w:r>
              <w:rPr>
                <w:rFonts w:ascii="Times New Roman" w:hAnsi="Times New Roman" w:eastAsia="Times New Roman" w:cs="Times New Roman"/>
                <w:spacing w:val="12"/>
                <w:sz w:val="20"/>
                <w:szCs w:val="20"/>
              </w:rPr>
              <w:t xml:space="preserve"> </w:t>
            </w:r>
            <w:r>
              <w:rPr>
                <w:spacing w:val="-9"/>
                <w:sz w:val="20"/>
                <w:szCs w:val="20"/>
              </w:rPr>
              <w:t>人，</w:t>
            </w:r>
            <w:r>
              <w:rPr>
                <w:sz w:val="20"/>
                <w:szCs w:val="20"/>
              </w:rPr>
              <w:t xml:space="preserve"> </w:t>
            </w:r>
            <w:r>
              <w:rPr>
                <w:rFonts w:ascii="Times New Roman" w:hAnsi="Times New Roman" w:eastAsia="Times New Roman" w:cs="Times New Roman"/>
                <w:sz w:val="20"/>
                <w:szCs w:val="20"/>
              </w:rPr>
              <w:t>90</w:t>
            </w:r>
            <w:r>
              <w:rPr>
                <w:rFonts w:ascii="Times New Roman" w:hAnsi="Times New Roman" w:eastAsia="Times New Roman" w:cs="Times New Roman"/>
                <w:spacing w:val="14"/>
                <w:w w:val="101"/>
                <w:sz w:val="20"/>
                <w:szCs w:val="20"/>
              </w:rPr>
              <w:t xml:space="preserve"> </w:t>
            </w:r>
            <w:r>
              <w:rPr>
                <w:sz w:val="20"/>
                <w:szCs w:val="20"/>
              </w:rPr>
              <w:t>天</w:t>
            </w:r>
          </w:p>
        </w:tc>
        <w:tc>
          <w:tcPr>
            <w:tcW w:w="990" w:type="dxa"/>
            <w:vAlign w:val="top"/>
          </w:tcPr>
          <w:p w14:paraId="6D14394A">
            <w:pPr>
              <w:spacing w:before="282" w:line="195" w:lineRule="auto"/>
              <w:ind w:left="3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288</w:t>
            </w:r>
          </w:p>
        </w:tc>
        <w:tc>
          <w:tcPr>
            <w:tcW w:w="990" w:type="dxa"/>
            <w:tcBorders>
              <w:right w:val="single" w:color="000000" w:sz="2" w:space="0"/>
            </w:tcBorders>
            <w:vAlign w:val="top"/>
          </w:tcPr>
          <w:p w14:paraId="047812A1">
            <w:pPr>
              <w:spacing w:before="282" w:line="195" w:lineRule="auto"/>
              <w:ind w:left="3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57.6</w:t>
            </w:r>
          </w:p>
        </w:tc>
        <w:tc>
          <w:tcPr>
            <w:tcW w:w="1273" w:type="dxa"/>
            <w:tcBorders>
              <w:left w:val="single" w:color="000000" w:sz="2" w:space="0"/>
              <w:right w:val="single" w:color="000000" w:sz="2" w:space="0"/>
            </w:tcBorders>
            <w:vAlign w:val="top"/>
          </w:tcPr>
          <w:p w14:paraId="52C013DA">
            <w:pPr>
              <w:spacing w:before="282" w:line="195" w:lineRule="auto"/>
              <w:ind w:left="4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230.4</w:t>
            </w:r>
          </w:p>
        </w:tc>
        <w:tc>
          <w:tcPr>
            <w:tcW w:w="1964" w:type="dxa"/>
            <w:tcBorders>
              <w:left w:val="single" w:color="000000" w:sz="2" w:space="0"/>
              <w:right w:val="single" w:color="000000" w:sz="6" w:space="0"/>
            </w:tcBorders>
            <w:vAlign w:val="top"/>
          </w:tcPr>
          <w:p w14:paraId="3BF6D63A">
            <w:pPr>
              <w:pStyle w:val="6"/>
              <w:spacing w:before="87" w:line="252" w:lineRule="auto"/>
              <w:ind w:left="725" w:right="104" w:hanging="712"/>
              <w:rPr>
                <w:sz w:val="20"/>
                <w:szCs w:val="20"/>
              </w:rPr>
            </w:pPr>
            <w:r>
              <w:rPr>
                <w:spacing w:val="3"/>
                <w:sz w:val="20"/>
                <w:szCs w:val="20"/>
              </w:rPr>
              <w:t>排入环保厕所，定期</w:t>
            </w:r>
            <w:r>
              <w:rPr>
                <w:spacing w:val="4"/>
                <w:sz w:val="20"/>
                <w:szCs w:val="20"/>
              </w:rPr>
              <w:t>清掏</w:t>
            </w:r>
          </w:p>
        </w:tc>
      </w:tr>
      <w:tr w14:paraId="098EDF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466" w:type="dxa"/>
            <w:vMerge w:val="continue"/>
            <w:tcBorders>
              <w:top w:val="nil"/>
              <w:left w:val="single" w:color="000000" w:sz="6" w:space="0"/>
              <w:bottom w:val="single" w:color="000000" w:sz="6" w:space="0"/>
              <w:right w:val="single" w:color="000000" w:sz="2" w:space="0"/>
            </w:tcBorders>
            <w:vAlign w:val="top"/>
          </w:tcPr>
          <w:p w14:paraId="67D310E4">
            <w:pPr>
              <w:rPr>
                <w:rFonts w:ascii="Arial"/>
                <w:sz w:val="21"/>
              </w:rPr>
            </w:pPr>
          </w:p>
        </w:tc>
        <w:tc>
          <w:tcPr>
            <w:tcW w:w="3232" w:type="dxa"/>
            <w:gridSpan w:val="4"/>
            <w:tcBorders>
              <w:left w:val="single" w:color="000000" w:sz="2" w:space="0"/>
              <w:bottom w:val="single" w:color="000000" w:sz="6" w:space="0"/>
            </w:tcBorders>
            <w:vAlign w:val="top"/>
          </w:tcPr>
          <w:p w14:paraId="02696C7E">
            <w:pPr>
              <w:pStyle w:val="6"/>
              <w:spacing w:before="154" w:line="229" w:lineRule="auto"/>
              <w:ind w:left="1457"/>
              <w:rPr>
                <w:sz w:val="20"/>
                <w:szCs w:val="20"/>
              </w:rPr>
            </w:pPr>
            <w:r>
              <w:rPr>
                <w:spacing w:val="4"/>
                <w:sz w:val="20"/>
                <w:szCs w:val="20"/>
              </w:rPr>
              <w:t>合计</w:t>
            </w:r>
          </w:p>
        </w:tc>
        <w:tc>
          <w:tcPr>
            <w:tcW w:w="990" w:type="dxa"/>
            <w:tcBorders>
              <w:bottom w:val="single" w:color="000000" w:sz="6" w:space="0"/>
            </w:tcBorders>
            <w:vAlign w:val="top"/>
          </w:tcPr>
          <w:p w14:paraId="0698D534">
            <w:pPr>
              <w:spacing w:before="190" w:line="195" w:lineRule="auto"/>
              <w:ind w:left="3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1138</w:t>
            </w:r>
          </w:p>
        </w:tc>
        <w:tc>
          <w:tcPr>
            <w:tcW w:w="990" w:type="dxa"/>
            <w:tcBorders>
              <w:bottom w:val="single" w:color="000000" w:sz="6" w:space="0"/>
              <w:right w:val="single" w:color="000000" w:sz="2" w:space="0"/>
            </w:tcBorders>
            <w:vAlign w:val="top"/>
          </w:tcPr>
          <w:p w14:paraId="6D3932F4">
            <w:pPr>
              <w:spacing w:before="190"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371.6</w:t>
            </w:r>
          </w:p>
        </w:tc>
        <w:tc>
          <w:tcPr>
            <w:tcW w:w="1273" w:type="dxa"/>
            <w:tcBorders>
              <w:left w:val="single" w:color="000000" w:sz="2" w:space="0"/>
              <w:bottom w:val="single" w:color="000000" w:sz="6" w:space="0"/>
              <w:right w:val="single" w:color="000000" w:sz="2" w:space="0"/>
            </w:tcBorders>
            <w:vAlign w:val="top"/>
          </w:tcPr>
          <w:p w14:paraId="4D48B745">
            <w:pPr>
              <w:spacing w:before="190" w:line="195" w:lineRule="auto"/>
              <w:ind w:left="40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766.4</w:t>
            </w:r>
          </w:p>
        </w:tc>
        <w:tc>
          <w:tcPr>
            <w:tcW w:w="1964" w:type="dxa"/>
            <w:tcBorders>
              <w:left w:val="single" w:color="000000" w:sz="2" w:space="0"/>
              <w:bottom w:val="single" w:color="000000" w:sz="6" w:space="0"/>
              <w:right w:val="single" w:color="000000" w:sz="6" w:space="0"/>
            </w:tcBorders>
            <w:vAlign w:val="top"/>
          </w:tcPr>
          <w:p w14:paraId="1A13682C">
            <w:pPr>
              <w:spacing w:before="278" w:line="97" w:lineRule="exact"/>
              <w:ind w:left="86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bl>
    <w:p w14:paraId="62BCB37A">
      <w:pPr>
        <w:rPr>
          <w:rFonts w:ascii="Arial"/>
          <w:sz w:val="21"/>
        </w:rPr>
      </w:pPr>
    </w:p>
    <w:p w14:paraId="5B080827">
      <w:pPr>
        <w:rPr>
          <w:rFonts w:ascii="Arial" w:hAnsi="Arial" w:eastAsia="Arial" w:cs="Arial"/>
          <w:sz w:val="21"/>
          <w:szCs w:val="21"/>
        </w:rPr>
        <w:sectPr>
          <w:footerReference r:id="rId38" w:type="default"/>
          <w:pgSz w:w="11906" w:h="16839"/>
          <w:pgMar w:top="400" w:right="1403" w:bottom="1240" w:left="1572" w:header="0" w:footer="1078" w:gutter="0"/>
          <w:cols w:space="720" w:num="1"/>
        </w:sectPr>
      </w:pPr>
    </w:p>
    <w:p w14:paraId="0FF6B046">
      <w:pPr>
        <w:spacing w:before="56"/>
      </w:pPr>
    </w:p>
    <w:p w14:paraId="6010138B">
      <w:pPr>
        <w:spacing w:before="56"/>
      </w:pPr>
    </w:p>
    <w:p w14:paraId="25711BC1">
      <w:pPr>
        <w:spacing w:before="55"/>
      </w:pPr>
    </w:p>
    <w:p w14:paraId="76047ED3">
      <w:pPr>
        <w:spacing w:before="55"/>
      </w:pPr>
    </w:p>
    <w:tbl>
      <w:tblPr>
        <w:tblStyle w:val="5"/>
        <w:tblW w:w="891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6"/>
        <w:gridCol w:w="8449"/>
      </w:tblGrid>
      <w:tr w14:paraId="3CF51D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52" w:hRule="atLeast"/>
        </w:trPr>
        <w:tc>
          <w:tcPr>
            <w:tcW w:w="466" w:type="dxa"/>
            <w:vMerge w:val="restart"/>
            <w:tcBorders>
              <w:bottom w:val="nil"/>
              <w:right w:val="single" w:color="000000" w:sz="2" w:space="0"/>
            </w:tcBorders>
            <w:vAlign w:val="top"/>
          </w:tcPr>
          <w:p w14:paraId="4D04D7F9">
            <w:pPr>
              <w:rPr>
                <w:rFonts w:ascii="Arial"/>
                <w:sz w:val="21"/>
              </w:rPr>
            </w:pPr>
          </w:p>
        </w:tc>
        <w:tc>
          <w:tcPr>
            <w:tcW w:w="8449" w:type="dxa"/>
            <w:tcBorders>
              <w:left w:val="single" w:color="000000" w:sz="2" w:space="0"/>
              <w:bottom w:val="nil"/>
            </w:tcBorders>
            <w:vAlign w:val="top"/>
          </w:tcPr>
          <w:p w14:paraId="49C0057F">
            <w:pPr>
              <w:spacing w:before="210" w:line="195" w:lineRule="auto"/>
              <w:ind w:left="320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134</w:t>
            </w:r>
          </w:p>
          <w:p w14:paraId="6FF42EB7">
            <w:pPr>
              <w:pStyle w:val="6"/>
              <w:spacing w:before="148" w:line="177" w:lineRule="auto"/>
              <w:ind w:left="2032"/>
              <w:rPr>
                <w:sz w:val="20"/>
                <w:szCs w:val="20"/>
              </w:rPr>
            </w:pPr>
            <w:r>
              <w:drawing>
                <wp:anchor distT="0" distB="0" distL="0" distR="0" simplePos="0" relativeHeight="251661312" behindDoc="1" locked="0" layoutInCell="1" allowOverlap="1">
                  <wp:simplePos x="0" y="0"/>
                  <wp:positionH relativeFrom="column">
                    <wp:posOffset>306070</wp:posOffset>
                  </wp:positionH>
                  <wp:positionV relativeFrom="paragraph">
                    <wp:posOffset>-90170</wp:posOffset>
                  </wp:positionV>
                  <wp:extent cx="4376420" cy="2056765"/>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78"/>
                          <a:stretch>
                            <a:fillRect/>
                          </a:stretch>
                        </pic:blipFill>
                        <pic:spPr>
                          <a:xfrm>
                            <a:off x="0" y="0"/>
                            <a:ext cx="4376115" cy="2056891"/>
                          </a:xfrm>
                          <a:prstGeom prst="rect">
                            <a:avLst/>
                          </a:prstGeom>
                        </pic:spPr>
                      </pic:pic>
                    </a:graphicData>
                  </a:graphic>
                </wp:anchor>
              </w:drawing>
            </w:r>
            <w:r>
              <w:pict>
                <v:shape id="_x0000_s1029" o:spid="_x0000_s1029" o:spt="202" type="#_x0000_t202" style="position:absolute;left:0pt;margin-left:22.3pt;margin-top:10pt;height:41pt;width:60.8pt;z-index:251664384;mso-width-relative:page;mso-height-relative:page;" filled="f" stroked="f" coordsize="21600,21600">
                  <v:path/>
                  <v:fill on="f" focussize="0,0"/>
                  <v:stroke on="f"/>
                  <v:imagedata o:title=""/>
                  <o:lock v:ext="edit" aspectratio="f"/>
                  <v:textbox inset="0mm,0mm,0mm,0mm">
                    <w:txbxContent>
                      <w:p w14:paraId="555176BB">
                        <w:pPr>
                          <w:pStyle w:val="6"/>
                          <w:spacing w:before="19" w:line="261" w:lineRule="auto"/>
                          <w:ind w:left="20" w:right="20" w:firstLine="868"/>
                          <w:rPr>
                            <w:sz w:val="20"/>
                            <w:szCs w:val="20"/>
                          </w:rPr>
                        </w:pPr>
                        <w:r>
                          <w:rPr>
                            <w:rFonts w:ascii="Times New Roman" w:hAnsi="Times New Roman" w:eastAsia="Times New Roman" w:cs="Times New Roman"/>
                            <w:spacing w:val="2"/>
                            <w:sz w:val="20"/>
                            <w:szCs w:val="20"/>
                          </w:rPr>
                          <w:t>670</w:t>
                        </w:r>
                        <w:r>
                          <w:rPr>
                            <w:spacing w:val="5"/>
                            <w:sz w:val="20"/>
                            <w:szCs w:val="20"/>
                          </w:rPr>
                          <w:t>市政中</w:t>
                        </w:r>
                      </w:p>
                      <w:p w14:paraId="1F9F8358">
                        <w:pPr>
                          <w:pStyle w:val="6"/>
                          <w:spacing w:line="227" w:lineRule="auto"/>
                          <w:ind w:left="40"/>
                          <w:rPr>
                            <w:rFonts w:ascii="Times New Roman" w:hAnsi="Times New Roman" w:eastAsia="Times New Roman" w:cs="Times New Roman"/>
                            <w:sz w:val="20"/>
                            <w:szCs w:val="20"/>
                          </w:rPr>
                        </w:pPr>
                        <w:r>
                          <w:rPr>
                            <w:sz w:val="20"/>
                            <w:szCs w:val="20"/>
                          </w:rPr>
                          <w:t>水</w:t>
                        </w:r>
                        <w:r>
                          <w:rPr>
                            <w:spacing w:val="-32"/>
                            <w:sz w:val="20"/>
                            <w:szCs w:val="20"/>
                          </w:rPr>
                          <w:t xml:space="preserve"> </w:t>
                        </w:r>
                        <w:r>
                          <w:rPr>
                            <w:rFonts w:ascii="Times New Roman" w:hAnsi="Times New Roman" w:eastAsia="Times New Roman" w:cs="Times New Roman"/>
                            <w:sz w:val="20"/>
                            <w:szCs w:val="20"/>
                          </w:rPr>
                          <w:t>850</w:t>
                        </w:r>
                      </w:p>
                    </w:txbxContent>
                  </v:textbox>
                </v:shape>
              </w:pict>
            </w:r>
            <w:r>
              <w:rPr>
                <w:spacing w:val="6"/>
                <w:position w:val="-8"/>
                <w:sz w:val="20"/>
                <w:szCs w:val="20"/>
              </w:rPr>
              <w:t>扎格</w:t>
            </w:r>
            <w:r>
              <w:rPr>
                <w:spacing w:val="-25"/>
                <w:position w:val="-8"/>
                <w:sz w:val="20"/>
                <w:szCs w:val="20"/>
              </w:rPr>
              <w:t xml:space="preserve"> </w:t>
            </w:r>
            <w:r>
              <w:rPr>
                <w:rFonts w:ascii="Times New Roman" w:hAnsi="Times New Roman" w:eastAsia="Times New Roman" w:cs="Times New Roman"/>
                <w:spacing w:val="6"/>
                <w:position w:val="-8"/>
                <w:sz w:val="20"/>
                <w:szCs w:val="20"/>
              </w:rPr>
              <w:t xml:space="preserve">9X </w:t>
            </w:r>
            <w:r>
              <w:rPr>
                <w:spacing w:val="6"/>
                <w:position w:val="-8"/>
                <w:sz w:val="20"/>
                <w:szCs w:val="20"/>
              </w:rPr>
              <w:t xml:space="preserve">井泥  </w:t>
            </w:r>
            <w:r>
              <w:rPr>
                <w:rFonts w:ascii="Times New Roman" w:hAnsi="Times New Roman" w:eastAsia="Times New Roman" w:cs="Times New Roman"/>
                <w:spacing w:val="6"/>
                <w:position w:val="-1"/>
                <w:sz w:val="20"/>
                <w:szCs w:val="20"/>
              </w:rPr>
              <w:t xml:space="preserve">536      </w:t>
            </w:r>
            <w:r>
              <w:rPr>
                <w:spacing w:val="6"/>
                <w:position w:val="3"/>
                <w:sz w:val="20"/>
                <w:szCs w:val="20"/>
              </w:rPr>
              <w:t>进入废弃泥浆、岩屑中，由罐车拉</w:t>
            </w:r>
          </w:p>
          <w:p w14:paraId="7D53E996">
            <w:pPr>
              <w:pStyle w:val="6"/>
              <w:spacing w:line="165" w:lineRule="auto"/>
              <w:ind w:left="4168"/>
              <w:rPr>
                <w:sz w:val="20"/>
                <w:szCs w:val="20"/>
              </w:rPr>
            </w:pPr>
            <w:r>
              <w:pict>
                <v:shape id="_x0000_s1030" o:spid="_x0000_s1030" o:spt="202" type="#_x0000_t202" style="position:absolute;left:0pt;margin-left:104.3pt;margin-top:3.6pt;height:12.45pt;width:53.95pt;z-index:251663360;mso-width-relative:page;mso-height-relative:page;" filled="f" stroked="f" coordsize="21600,21600">
                  <v:path/>
                  <v:fill on="f" focussize="0,0"/>
                  <v:stroke on="f"/>
                  <v:imagedata o:title=""/>
                  <o:lock v:ext="edit" aspectratio="f"/>
                  <v:textbox inset="0mm,0mm,0mm,0mm">
                    <w:txbxContent>
                      <w:p w14:paraId="2CA44B89">
                        <w:pPr>
                          <w:pStyle w:val="6"/>
                          <w:spacing w:before="19" w:line="193" w:lineRule="auto"/>
                          <w:ind w:left="20"/>
                          <w:rPr>
                            <w:sz w:val="20"/>
                            <w:szCs w:val="20"/>
                          </w:rPr>
                        </w:pPr>
                        <w:r>
                          <w:rPr>
                            <w:spacing w:val="7"/>
                            <w:sz w:val="20"/>
                            <w:szCs w:val="20"/>
                          </w:rPr>
                          <w:t>浆循环系统</w:t>
                        </w:r>
                      </w:p>
                    </w:txbxContent>
                  </v:textbox>
                </v:shape>
              </w:pict>
            </w:r>
            <w:r>
              <w:rPr>
                <w:spacing w:val="9"/>
                <w:sz w:val="20"/>
                <w:szCs w:val="20"/>
              </w:rPr>
              <w:t>运至内蒙古众宁环保科技有限公</w:t>
            </w:r>
          </w:p>
          <w:p w14:paraId="36E6A4C2">
            <w:pPr>
              <w:pStyle w:val="6"/>
              <w:spacing w:before="62" w:line="228" w:lineRule="auto"/>
              <w:ind w:left="4176"/>
              <w:rPr>
                <w:sz w:val="20"/>
                <w:szCs w:val="20"/>
              </w:rPr>
            </w:pPr>
            <w:r>
              <w:rPr>
                <w:spacing w:val="8"/>
                <w:sz w:val="20"/>
                <w:szCs w:val="20"/>
              </w:rPr>
              <w:t>司油气田废弃物集中处理厂处理</w:t>
            </w:r>
          </w:p>
          <w:p w14:paraId="2D6D7065">
            <w:pPr>
              <w:spacing w:before="255" w:line="195" w:lineRule="auto"/>
              <w:ind w:left="27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180</w:t>
            </w:r>
          </w:p>
          <w:p w14:paraId="1A1618E8">
            <w:pPr>
              <w:spacing w:before="214" w:line="127" w:lineRule="exact"/>
              <w:ind w:left="136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180</w:t>
            </w:r>
          </w:p>
          <w:p w14:paraId="55D218FA">
            <w:pPr>
              <w:pStyle w:val="6"/>
              <w:spacing w:before="1" w:line="210" w:lineRule="auto"/>
              <w:ind w:left="1982"/>
              <w:rPr>
                <w:sz w:val="20"/>
                <w:szCs w:val="20"/>
              </w:rPr>
            </w:pPr>
            <w:r>
              <w:rPr>
                <w:spacing w:val="6"/>
                <w:sz w:val="20"/>
                <w:szCs w:val="20"/>
              </w:rPr>
              <w:t>洒水降尘</w:t>
            </w:r>
          </w:p>
          <w:p w14:paraId="29BFC330">
            <w:pPr>
              <w:spacing w:before="257" w:line="195" w:lineRule="auto"/>
              <w:ind w:left="28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57.6</w:t>
            </w:r>
          </w:p>
          <w:p w14:paraId="1F7A8152">
            <w:pPr>
              <w:pStyle w:val="6"/>
              <w:spacing w:before="171" w:line="160" w:lineRule="auto"/>
              <w:ind w:left="1998" w:right="1511" w:firstLine="1528"/>
              <w:rPr>
                <w:sz w:val="20"/>
                <w:szCs w:val="20"/>
              </w:rPr>
            </w:pPr>
            <w:r>
              <w:pict>
                <v:shape id="_x0000_s1031" o:spid="_x0000_s1031" o:spt="202" type="#_x0000_t202" style="position:absolute;left:0pt;margin-left:34.5pt;margin-top:11.75pt;height:14.35pt;width:51.45pt;z-index:-251656192;mso-width-relative:page;mso-height-relative:page;" filled="f" stroked="f" coordsize="21600,21600">
                  <v:path/>
                  <v:fill on="f" focussize="0,0"/>
                  <v:stroke on="f"/>
                  <v:imagedata o:title=""/>
                  <o:lock v:ext="edit" aspectratio="f"/>
                  <v:textbox inset="0mm,0mm,0mm,0mm">
                    <w:txbxContent>
                      <w:p w14:paraId="6987C442">
                        <w:pPr>
                          <w:pStyle w:val="6"/>
                          <w:spacing w:before="19" w:line="228" w:lineRule="auto"/>
                          <w:ind w:left="20"/>
                          <w:rPr>
                            <w:rFonts w:ascii="Times New Roman" w:hAnsi="Times New Roman" w:eastAsia="Times New Roman" w:cs="Times New Roman"/>
                            <w:sz w:val="20"/>
                            <w:szCs w:val="20"/>
                          </w:rPr>
                        </w:pPr>
                        <w:r>
                          <w:rPr>
                            <w:spacing w:val="5"/>
                            <w:sz w:val="20"/>
                            <w:szCs w:val="20"/>
                          </w:rPr>
                          <w:t>新鲜水</w:t>
                        </w:r>
                        <w:r>
                          <w:rPr>
                            <w:spacing w:val="-43"/>
                            <w:sz w:val="20"/>
                            <w:szCs w:val="20"/>
                          </w:rPr>
                          <w:t xml:space="preserve"> </w:t>
                        </w:r>
                        <w:r>
                          <w:rPr>
                            <w:rFonts w:ascii="Times New Roman" w:hAnsi="Times New Roman" w:eastAsia="Times New Roman" w:cs="Times New Roman"/>
                            <w:spacing w:val="5"/>
                            <w:sz w:val="20"/>
                            <w:szCs w:val="20"/>
                          </w:rPr>
                          <w:t>288</w:t>
                        </w:r>
                      </w:p>
                    </w:txbxContent>
                  </v:textbox>
                </v:shape>
              </w:pict>
            </w:r>
            <w:r>
              <w:pict>
                <v:shape id="_x0000_s1032" o:spid="_x0000_s1032" o:spt="202" type="#_x0000_t202" style="position:absolute;left:0pt;margin-left:261.9pt;margin-top:21.2pt;height:14.4pt;width:85.45pt;z-index:251662336;mso-width-relative:page;mso-height-relative:page;" filled="f" stroked="f" coordsize="21600,21600">
                  <v:path/>
                  <v:fill on="f" focussize="0,0"/>
                  <v:stroke on="f"/>
                  <v:imagedata o:title=""/>
                  <o:lock v:ext="edit" aspectratio="f"/>
                  <v:textbox inset="0mm,0mm,0mm,0mm">
                    <w:txbxContent>
                      <w:p w14:paraId="566C92A8">
                        <w:pPr>
                          <w:pStyle w:val="6"/>
                          <w:spacing w:before="20" w:line="228" w:lineRule="auto"/>
                          <w:ind w:left="20"/>
                          <w:rPr>
                            <w:sz w:val="20"/>
                            <w:szCs w:val="20"/>
                          </w:rPr>
                        </w:pPr>
                        <w:r>
                          <w:rPr>
                            <w:spacing w:val="8"/>
                            <w:sz w:val="20"/>
                            <w:szCs w:val="20"/>
                          </w:rPr>
                          <w:t>保厕所，定期清掏</w:t>
                        </w:r>
                      </w:p>
                    </w:txbxContent>
                  </v:textbox>
                </v:shape>
              </w:pict>
            </w:r>
            <w:r>
              <w:rPr>
                <w:rFonts w:ascii="Times New Roman" w:hAnsi="Times New Roman" w:eastAsia="Times New Roman" w:cs="Times New Roman"/>
                <w:spacing w:val="4"/>
                <w:position w:val="-4"/>
                <w:sz w:val="20"/>
                <w:szCs w:val="20"/>
              </w:rPr>
              <w:t xml:space="preserve">230.4                        </w:t>
            </w:r>
            <w:r>
              <w:rPr>
                <w:spacing w:val="4"/>
                <w:sz w:val="20"/>
                <w:szCs w:val="20"/>
              </w:rPr>
              <w:t>排入井场设置的环</w:t>
            </w:r>
            <w:r>
              <w:rPr>
                <w:spacing w:val="6"/>
                <w:sz w:val="20"/>
                <w:szCs w:val="20"/>
              </w:rPr>
              <w:t>生活用水</w:t>
            </w:r>
          </w:p>
        </w:tc>
      </w:tr>
      <w:tr w14:paraId="4DA986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935" w:hRule="atLeast"/>
        </w:trPr>
        <w:tc>
          <w:tcPr>
            <w:tcW w:w="466" w:type="dxa"/>
            <w:vMerge w:val="continue"/>
            <w:tcBorders>
              <w:top w:val="nil"/>
              <w:right w:val="single" w:color="000000" w:sz="2" w:space="0"/>
            </w:tcBorders>
            <w:vAlign w:val="top"/>
          </w:tcPr>
          <w:p w14:paraId="37F72044">
            <w:pPr>
              <w:rPr>
                <w:rFonts w:ascii="Arial"/>
                <w:sz w:val="21"/>
              </w:rPr>
            </w:pPr>
          </w:p>
        </w:tc>
        <w:tc>
          <w:tcPr>
            <w:tcW w:w="8449" w:type="dxa"/>
            <w:tcBorders>
              <w:top w:val="nil"/>
              <w:left w:val="single" w:color="000000" w:sz="2" w:space="0"/>
            </w:tcBorders>
            <w:vAlign w:val="top"/>
          </w:tcPr>
          <w:p w14:paraId="619CBD24">
            <w:pPr>
              <w:spacing w:before="164" w:line="222" w:lineRule="auto"/>
              <w:ind w:left="2263"/>
              <w:rPr>
                <w:rFonts w:ascii="黑体" w:hAnsi="黑体" w:eastAsia="黑体" w:cs="黑体"/>
                <w:sz w:val="24"/>
                <w:szCs w:val="24"/>
              </w:rPr>
            </w:pPr>
            <w:r>
              <w:rPr>
                <w:rFonts w:ascii="黑体" w:hAnsi="黑体" w:eastAsia="黑体" w:cs="黑体"/>
                <w:spacing w:val="-3"/>
                <w:sz w:val="24"/>
                <w:szCs w:val="24"/>
              </w:rPr>
              <w:t>图</w:t>
            </w:r>
            <w:r>
              <w:rPr>
                <w:rFonts w:ascii="黑体" w:hAnsi="黑体" w:eastAsia="黑体" w:cs="黑体"/>
                <w:spacing w:val="-47"/>
                <w:sz w:val="24"/>
                <w:szCs w:val="24"/>
              </w:rPr>
              <w:t xml:space="preserve"> </w:t>
            </w:r>
            <w:r>
              <w:rPr>
                <w:rFonts w:ascii="Times New Roman" w:hAnsi="Times New Roman" w:eastAsia="Times New Roman" w:cs="Times New Roman"/>
                <w:spacing w:val="-3"/>
                <w:sz w:val="24"/>
                <w:szCs w:val="24"/>
              </w:rPr>
              <w:t>2-</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3"/>
                <w:sz w:val="24"/>
                <w:szCs w:val="24"/>
              </w:rPr>
              <w:t xml:space="preserve">1  </w:t>
            </w:r>
            <w:r>
              <w:rPr>
                <w:rFonts w:ascii="黑体" w:hAnsi="黑体" w:eastAsia="黑体" w:cs="黑体"/>
                <w:spacing w:val="-3"/>
                <w:sz w:val="24"/>
                <w:szCs w:val="24"/>
              </w:rPr>
              <w:t>项目总水平衡图（</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3"/>
                <w:sz w:val="24"/>
                <w:szCs w:val="24"/>
              </w:rPr>
              <w:t>/</w:t>
            </w:r>
            <w:r>
              <w:rPr>
                <w:rFonts w:ascii="黑体" w:hAnsi="黑体" w:eastAsia="黑体" w:cs="黑体"/>
                <w:spacing w:val="-3"/>
                <w:sz w:val="24"/>
                <w:szCs w:val="24"/>
              </w:rPr>
              <w:t>勘探期）</w:t>
            </w:r>
          </w:p>
          <w:p w14:paraId="23C1D0E9">
            <w:pPr>
              <w:pStyle w:val="6"/>
              <w:spacing w:before="179" w:line="219" w:lineRule="auto"/>
              <w:ind w:left="600"/>
            </w:pPr>
            <w:r>
              <w:rPr>
                <w:spacing w:val="-5"/>
              </w:rPr>
              <w:t>（</w:t>
            </w:r>
            <w:r>
              <w:rPr>
                <w:rFonts w:ascii="Times New Roman" w:hAnsi="Times New Roman" w:eastAsia="Times New Roman" w:cs="Times New Roman"/>
                <w:spacing w:val="-5"/>
              </w:rPr>
              <w:t>4</w:t>
            </w:r>
            <w:r>
              <w:rPr>
                <w:spacing w:val="-5"/>
              </w:rPr>
              <w:t>）供热</w:t>
            </w:r>
          </w:p>
          <w:p w14:paraId="4359C169">
            <w:pPr>
              <w:pStyle w:val="6"/>
              <w:spacing w:before="182" w:line="359" w:lineRule="auto"/>
              <w:ind w:left="111" w:right="102" w:firstLine="480"/>
            </w:pPr>
            <w:r>
              <w:rPr>
                <w:spacing w:val="2"/>
              </w:rPr>
              <w:t>项目不设置加热炉，如勘探期为冬季，则办公生活区采用电暖器取暖</w:t>
            </w:r>
            <w:r>
              <w:rPr>
                <w:spacing w:val="1"/>
              </w:rPr>
              <w:t>，采</w:t>
            </w:r>
            <w:r>
              <w:rPr>
                <w:spacing w:val="2"/>
              </w:rPr>
              <w:t>出液输送管线利用伴热带保温，单井储液罐使用电加热器加热。由</w:t>
            </w:r>
            <w:r>
              <w:rPr>
                <w:spacing w:val="1"/>
              </w:rPr>
              <w:t>柴油发电机</w:t>
            </w:r>
            <w:r>
              <w:rPr>
                <w:spacing w:val="-1"/>
              </w:rPr>
              <w:t>组提供电力，可以满足项目供暖的需求。</w:t>
            </w:r>
          </w:p>
          <w:p w14:paraId="7AA03566">
            <w:pPr>
              <w:pStyle w:val="6"/>
              <w:spacing w:line="219" w:lineRule="auto"/>
              <w:ind w:left="594"/>
            </w:pPr>
            <w:r>
              <w:rPr>
                <w:rFonts w:ascii="Times New Roman" w:hAnsi="Times New Roman" w:eastAsia="Times New Roman" w:cs="Times New Roman"/>
                <w:spacing w:val="-5"/>
              </w:rPr>
              <w:t>8</w:t>
            </w:r>
            <w:r>
              <w:rPr>
                <w:rFonts w:ascii="Times New Roman" w:hAnsi="Times New Roman" w:eastAsia="Times New Roman" w:cs="Times New Roman"/>
                <w:spacing w:val="-26"/>
              </w:rPr>
              <w:t xml:space="preserve"> </w:t>
            </w:r>
            <w:r>
              <w:rPr>
                <w:spacing w:val="-5"/>
              </w:rPr>
              <w:t>、总投资及投资来源</w:t>
            </w:r>
          </w:p>
          <w:p w14:paraId="383AEE8F">
            <w:pPr>
              <w:pStyle w:val="6"/>
              <w:spacing w:before="181" w:line="219" w:lineRule="auto"/>
              <w:ind w:left="592"/>
            </w:pPr>
            <w:r>
              <w:rPr>
                <w:spacing w:val="-2"/>
              </w:rPr>
              <w:t>项目总投资</w:t>
            </w:r>
            <w:r>
              <w:rPr>
                <w:spacing w:val="-46"/>
              </w:rPr>
              <w:t xml:space="preserve"> </w:t>
            </w:r>
            <w:r>
              <w:rPr>
                <w:rFonts w:ascii="Times New Roman" w:hAnsi="Times New Roman" w:eastAsia="Times New Roman" w:cs="Times New Roman"/>
                <w:spacing w:val="-2"/>
              </w:rPr>
              <w:t>7000</w:t>
            </w:r>
            <w:r>
              <w:rPr>
                <w:rFonts w:ascii="Times New Roman" w:hAnsi="Times New Roman" w:eastAsia="Times New Roman" w:cs="Times New Roman"/>
                <w:spacing w:val="15"/>
                <w:w w:val="101"/>
              </w:rPr>
              <w:t xml:space="preserve"> </w:t>
            </w:r>
            <w:r>
              <w:rPr>
                <w:spacing w:val="-2"/>
              </w:rPr>
              <w:t>万元，全部由企业自筹解决。</w:t>
            </w:r>
          </w:p>
          <w:p w14:paraId="79ABF415">
            <w:pPr>
              <w:pStyle w:val="6"/>
              <w:spacing w:before="183" w:line="219" w:lineRule="auto"/>
              <w:ind w:left="588"/>
            </w:pPr>
            <w:r>
              <w:rPr>
                <w:b/>
                <w:bCs/>
                <w:spacing w:val="-4"/>
              </w:rPr>
              <w:t>三、建设规模</w:t>
            </w:r>
          </w:p>
          <w:p w14:paraId="490B012C">
            <w:pPr>
              <w:pStyle w:val="6"/>
              <w:spacing w:before="180" w:line="219" w:lineRule="auto"/>
              <w:ind w:left="591"/>
            </w:pPr>
            <w:r>
              <w:rPr>
                <w:spacing w:val="-2"/>
              </w:rPr>
              <w:t>扎格</w:t>
            </w:r>
            <w:r>
              <w:rPr>
                <w:spacing w:val="-50"/>
              </w:rPr>
              <w:t xml:space="preserve"> </w:t>
            </w:r>
            <w:r>
              <w:rPr>
                <w:rFonts w:ascii="Times New Roman" w:hAnsi="Times New Roman" w:eastAsia="Times New Roman" w:cs="Times New Roman"/>
                <w:spacing w:val="-2"/>
              </w:rPr>
              <w:t xml:space="preserve">9X </w:t>
            </w:r>
            <w:r>
              <w:rPr>
                <w:spacing w:val="-2"/>
              </w:rPr>
              <w:t>井设计井深</w:t>
            </w:r>
            <w:r>
              <w:rPr>
                <w:spacing w:val="-49"/>
              </w:rPr>
              <w:t xml:space="preserve"> </w:t>
            </w:r>
            <w:r>
              <w:rPr>
                <w:rFonts w:ascii="Times New Roman" w:hAnsi="Times New Roman" w:eastAsia="Times New Roman" w:cs="Times New Roman"/>
                <w:spacing w:val="-2"/>
              </w:rPr>
              <w:t>6700m</w:t>
            </w:r>
            <w:r>
              <w:rPr>
                <w:rFonts w:ascii="Times New Roman" w:hAnsi="Times New Roman" w:eastAsia="Times New Roman" w:cs="Times New Roman"/>
                <w:spacing w:val="-31"/>
              </w:rPr>
              <w:t xml:space="preserve"> </w:t>
            </w:r>
            <w:r>
              <w:rPr>
                <w:spacing w:val="-2"/>
              </w:rPr>
              <w:t>，井型为斜井式，采用三开井身结构。</w:t>
            </w:r>
          </w:p>
          <w:p w14:paraId="1E3582CC">
            <w:pPr>
              <w:spacing w:before="185" w:line="212" w:lineRule="auto"/>
              <w:ind w:left="2781"/>
              <w:rPr>
                <w:rFonts w:ascii="黑体" w:hAnsi="黑体" w:eastAsia="黑体" w:cs="黑体"/>
                <w:sz w:val="24"/>
                <w:szCs w:val="24"/>
              </w:rPr>
            </w:pPr>
            <w:r>
              <w:rPr>
                <w:rFonts w:ascii="黑体" w:hAnsi="黑体" w:eastAsia="黑体" w:cs="黑体"/>
                <w:spacing w:val="-2"/>
                <w:sz w:val="24"/>
                <w:szCs w:val="24"/>
              </w:rPr>
              <w:t>表</w:t>
            </w:r>
            <w:r>
              <w:rPr>
                <w:rFonts w:ascii="黑体" w:hAnsi="黑体" w:eastAsia="黑体" w:cs="黑体"/>
                <w:spacing w:val="-45"/>
                <w:sz w:val="24"/>
                <w:szCs w:val="24"/>
              </w:rPr>
              <w:t xml:space="preserve"> </w:t>
            </w:r>
            <w:r>
              <w:rPr>
                <w:rFonts w:ascii="Times New Roman" w:hAnsi="Times New Roman" w:eastAsia="Times New Roman" w:cs="Times New Roman"/>
                <w:spacing w:val="-2"/>
                <w:sz w:val="24"/>
                <w:szCs w:val="24"/>
              </w:rPr>
              <w:t xml:space="preserve">2-9  </w:t>
            </w:r>
            <w:r>
              <w:rPr>
                <w:rFonts w:ascii="黑体" w:hAnsi="黑体" w:eastAsia="黑体" w:cs="黑体"/>
                <w:spacing w:val="-2"/>
                <w:sz w:val="24"/>
                <w:szCs w:val="24"/>
              </w:rPr>
              <w:t>井身结构设计数据表</w:t>
            </w:r>
          </w:p>
          <w:tbl>
            <w:tblPr>
              <w:tblStyle w:val="5"/>
              <w:tblW w:w="8237" w:type="dxa"/>
              <w:tblInd w:w="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73"/>
              <w:gridCol w:w="1046"/>
              <w:gridCol w:w="1274"/>
              <w:gridCol w:w="1416"/>
              <w:gridCol w:w="1755"/>
              <w:gridCol w:w="1373"/>
            </w:tblGrid>
            <w:tr w14:paraId="06087B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1373" w:type="dxa"/>
                  <w:tcBorders>
                    <w:top w:val="single" w:color="000000" w:sz="10" w:space="0"/>
                    <w:left w:val="nil"/>
                  </w:tcBorders>
                  <w:vAlign w:val="top"/>
                </w:tcPr>
                <w:p w14:paraId="2584B171">
                  <w:pPr>
                    <w:pStyle w:val="6"/>
                    <w:spacing w:before="137" w:line="228" w:lineRule="auto"/>
                    <w:ind w:left="271"/>
                    <w:rPr>
                      <w:sz w:val="20"/>
                      <w:szCs w:val="20"/>
                    </w:rPr>
                  </w:pPr>
                  <w:r>
                    <w:rPr>
                      <w:spacing w:val="7"/>
                      <w:sz w:val="20"/>
                      <w:szCs w:val="20"/>
                    </w:rPr>
                    <w:t>开钻次序</w:t>
                  </w:r>
                </w:p>
              </w:tc>
              <w:tc>
                <w:tcPr>
                  <w:tcW w:w="1046" w:type="dxa"/>
                  <w:tcBorders>
                    <w:top w:val="single" w:color="000000" w:sz="10" w:space="0"/>
                  </w:tcBorders>
                  <w:vAlign w:val="top"/>
                </w:tcPr>
                <w:p w14:paraId="3D846E0E">
                  <w:pPr>
                    <w:pStyle w:val="6"/>
                    <w:spacing w:before="138" w:line="228" w:lineRule="auto"/>
                    <w:ind w:left="207"/>
                    <w:rPr>
                      <w:rFonts w:ascii="Times New Roman" w:hAnsi="Times New Roman" w:eastAsia="Times New Roman" w:cs="Times New Roman"/>
                      <w:sz w:val="20"/>
                      <w:szCs w:val="20"/>
                    </w:rPr>
                  </w:pPr>
                  <w:r>
                    <w:rPr>
                      <w:spacing w:val="4"/>
                      <w:sz w:val="20"/>
                      <w:szCs w:val="20"/>
                    </w:rPr>
                    <w:t>井深</w:t>
                  </w:r>
                  <w:r>
                    <w:rPr>
                      <w:spacing w:val="-42"/>
                      <w:sz w:val="20"/>
                      <w:szCs w:val="20"/>
                    </w:rPr>
                    <w:t xml:space="preserve"> </w:t>
                  </w:r>
                  <w:r>
                    <w:rPr>
                      <w:rFonts w:ascii="Times New Roman" w:hAnsi="Times New Roman" w:eastAsia="Times New Roman" w:cs="Times New Roman"/>
                      <w:spacing w:val="4"/>
                      <w:sz w:val="20"/>
                      <w:szCs w:val="20"/>
                    </w:rPr>
                    <w:t>m</w:t>
                  </w:r>
                </w:p>
              </w:tc>
              <w:tc>
                <w:tcPr>
                  <w:tcW w:w="1274" w:type="dxa"/>
                  <w:tcBorders>
                    <w:top w:val="single" w:color="000000" w:sz="10" w:space="0"/>
                  </w:tcBorders>
                  <w:vAlign w:val="top"/>
                </w:tcPr>
                <w:p w14:paraId="095929B2">
                  <w:pPr>
                    <w:pStyle w:val="6"/>
                    <w:spacing w:before="138" w:line="227" w:lineRule="auto"/>
                    <w:ind w:left="30"/>
                    <w:rPr>
                      <w:rFonts w:ascii="Times New Roman" w:hAnsi="Times New Roman" w:eastAsia="Times New Roman" w:cs="Times New Roman"/>
                      <w:sz w:val="20"/>
                      <w:szCs w:val="20"/>
                    </w:rPr>
                  </w:pPr>
                  <w:r>
                    <w:rPr>
                      <w:spacing w:val="10"/>
                      <w:sz w:val="20"/>
                      <w:szCs w:val="20"/>
                    </w:rPr>
                    <w:t>钻头尺寸</w:t>
                  </w:r>
                  <w:r>
                    <w:rPr>
                      <w:spacing w:val="-45"/>
                      <w:sz w:val="20"/>
                      <w:szCs w:val="20"/>
                    </w:rPr>
                    <w:t xml:space="preserve"> </w:t>
                  </w:r>
                  <w:r>
                    <w:rPr>
                      <w:rFonts w:ascii="Times New Roman" w:hAnsi="Times New Roman" w:eastAsia="Times New Roman" w:cs="Times New Roman"/>
                      <w:sz w:val="20"/>
                      <w:szCs w:val="20"/>
                    </w:rPr>
                    <w:t>mm</w:t>
                  </w:r>
                </w:p>
              </w:tc>
              <w:tc>
                <w:tcPr>
                  <w:tcW w:w="1416" w:type="dxa"/>
                  <w:tcBorders>
                    <w:top w:val="single" w:color="000000" w:sz="10" w:space="0"/>
                    <w:right w:val="single" w:color="000000" w:sz="2" w:space="0"/>
                  </w:tcBorders>
                  <w:vAlign w:val="top"/>
                </w:tcPr>
                <w:p w14:paraId="6C6EEE41">
                  <w:pPr>
                    <w:pStyle w:val="6"/>
                    <w:spacing w:before="138" w:line="227" w:lineRule="auto"/>
                    <w:ind w:left="103"/>
                    <w:rPr>
                      <w:rFonts w:ascii="Times New Roman" w:hAnsi="Times New Roman" w:eastAsia="Times New Roman" w:cs="Times New Roman"/>
                      <w:sz w:val="20"/>
                      <w:szCs w:val="20"/>
                    </w:rPr>
                  </w:pPr>
                  <w:r>
                    <w:rPr>
                      <w:spacing w:val="9"/>
                      <w:sz w:val="20"/>
                      <w:szCs w:val="20"/>
                    </w:rPr>
                    <w:t>套管尺寸</w:t>
                  </w:r>
                  <w:r>
                    <w:rPr>
                      <w:spacing w:val="-42"/>
                      <w:sz w:val="20"/>
                      <w:szCs w:val="20"/>
                    </w:rPr>
                    <w:t xml:space="preserve"> </w:t>
                  </w:r>
                  <w:r>
                    <w:rPr>
                      <w:rFonts w:ascii="Times New Roman" w:hAnsi="Times New Roman" w:eastAsia="Times New Roman" w:cs="Times New Roman"/>
                      <w:sz w:val="20"/>
                      <w:szCs w:val="20"/>
                    </w:rPr>
                    <w:t>mm</w:t>
                  </w:r>
                </w:p>
              </w:tc>
              <w:tc>
                <w:tcPr>
                  <w:tcW w:w="1755" w:type="dxa"/>
                  <w:tcBorders>
                    <w:top w:val="single" w:color="000000" w:sz="10" w:space="0"/>
                    <w:left w:val="single" w:color="000000" w:sz="2" w:space="0"/>
                  </w:tcBorders>
                  <w:vAlign w:val="top"/>
                </w:tcPr>
                <w:p w14:paraId="5D507347">
                  <w:pPr>
                    <w:pStyle w:val="6"/>
                    <w:spacing w:before="137" w:line="228" w:lineRule="auto"/>
                    <w:ind w:left="144"/>
                    <w:rPr>
                      <w:rFonts w:ascii="Times New Roman" w:hAnsi="Times New Roman" w:eastAsia="Times New Roman" w:cs="Times New Roman"/>
                      <w:sz w:val="20"/>
                      <w:szCs w:val="20"/>
                    </w:rPr>
                  </w:pPr>
                  <w:r>
                    <w:rPr>
                      <w:spacing w:val="7"/>
                      <w:sz w:val="20"/>
                      <w:szCs w:val="20"/>
                    </w:rPr>
                    <w:t>套管下入深度</w:t>
                  </w:r>
                  <w:r>
                    <w:rPr>
                      <w:spacing w:val="-40"/>
                      <w:sz w:val="20"/>
                      <w:szCs w:val="20"/>
                    </w:rPr>
                    <w:t xml:space="preserve"> </w:t>
                  </w:r>
                  <w:r>
                    <w:rPr>
                      <w:rFonts w:ascii="Times New Roman" w:hAnsi="Times New Roman" w:eastAsia="Times New Roman" w:cs="Times New Roman"/>
                      <w:spacing w:val="7"/>
                      <w:sz w:val="20"/>
                      <w:szCs w:val="20"/>
                    </w:rPr>
                    <w:t>m</w:t>
                  </w:r>
                </w:p>
              </w:tc>
              <w:tc>
                <w:tcPr>
                  <w:tcW w:w="1373" w:type="dxa"/>
                  <w:tcBorders>
                    <w:top w:val="single" w:color="000000" w:sz="10" w:space="0"/>
                    <w:right w:val="nil"/>
                  </w:tcBorders>
                  <w:vAlign w:val="top"/>
                </w:tcPr>
                <w:p w14:paraId="49D835AE">
                  <w:pPr>
                    <w:pStyle w:val="6"/>
                    <w:spacing w:before="137" w:line="228" w:lineRule="auto"/>
                    <w:ind w:left="276"/>
                    <w:rPr>
                      <w:sz w:val="20"/>
                      <w:szCs w:val="20"/>
                    </w:rPr>
                  </w:pPr>
                  <w:r>
                    <w:rPr>
                      <w:spacing w:val="6"/>
                      <w:sz w:val="20"/>
                      <w:szCs w:val="20"/>
                    </w:rPr>
                    <w:t>设计说明</w:t>
                  </w:r>
                </w:p>
              </w:tc>
            </w:tr>
            <w:tr w14:paraId="0431DE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1373" w:type="dxa"/>
                  <w:tcBorders>
                    <w:left w:val="nil"/>
                  </w:tcBorders>
                  <w:vAlign w:val="top"/>
                </w:tcPr>
                <w:p w14:paraId="7CAAE883">
                  <w:pPr>
                    <w:pStyle w:val="6"/>
                    <w:spacing w:before="138" w:line="228" w:lineRule="auto"/>
                    <w:ind w:left="487"/>
                    <w:rPr>
                      <w:sz w:val="20"/>
                      <w:szCs w:val="20"/>
                    </w:rPr>
                  </w:pPr>
                  <w:r>
                    <w:rPr>
                      <w:spacing w:val="2"/>
                      <w:sz w:val="20"/>
                      <w:szCs w:val="20"/>
                    </w:rPr>
                    <w:t>导管</w:t>
                  </w:r>
                </w:p>
              </w:tc>
              <w:tc>
                <w:tcPr>
                  <w:tcW w:w="1046" w:type="dxa"/>
                  <w:vAlign w:val="top"/>
                </w:tcPr>
                <w:p w14:paraId="2F2416EF">
                  <w:pPr>
                    <w:spacing w:before="174" w:line="195" w:lineRule="auto"/>
                    <w:ind w:left="3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121</w:t>
                  </w:r>
                </w:p>
              </w:tc>
              <w:tc>
                <w:tcPr>
                  <w:tcW w:w="1274" w:type="dxa"/>
                  <w:vAlign w:val="top"/>
                </w:tcPr>
                <w:p w14:paraId="2837B154">
                  <w:pPr>
                    <w:spacing w:before="174" w:line="195" w:lineRule="auto"/>
                    <w:ind w:left="32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D660.4</w:t>
                  </w:r>
                </w:p>
              </w:tc>
              <w:tc>
                <w:tcPr>
                  <w:tcW w:w="1416" w:type="dxa"/>
                  <w:tcBorders>
                    <w:right w:val="single" w:color="000000" w:sz="2" w:space="0"/>
                  </w:tcBorders>
                  <w:vAlign w:val="top"/>
                </w:tcPr>
                <w:p w14:paraId="50CF2A2B">
                  <w:pPr>
                    <w:spacing w:before="174" w:line="195" w:lineRule="auto"/>
                    <w:ind w:left="39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D508.0</w:t>
                  </w:r>
                </w:p>
              </w:tc>
              <w:tc>
                <w:tcPr>
                  <w:tcW w:w="1755" w:type="dxa"/>
                  <w:tcBorders>
                    <w:left w:val="single" w:color="000000" w:sz="2" w:space="0"/>
                  </w:tcBorders>
                  <w:vAlign w:val="top"/>
                </w:tcPr>
                <w:p w14:paraId="5FF2B1ED">
                  <w:pPr>
                    <w:spacing w:before="174" w:line="195" w:lineRule="auto"/>
                    <w:ind w:left="7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120</w:t>
                  </w:r>
                </w:p>
              </w:tc>
              <w:tc>
                <w:tcPr>
                  <w:tcW w:w="1373" w:type="dxa"/>
                  <w:vMerge w:val="restart"/>
                  <w:tcBorders>
                    <w:bottom w:val="nil"/>
                    <w:right w:val="nil"/>
                  </w:tcBorders>
                  <w:vAlign w:val="top"/>
                </w:tcPr>
                <w:p w14:paraId="4756B18B">
                  <w:pPr>
                    <w:spacing w:line="271" w:lineRule="auto"/>
                    <w:rPr>
                      <w:rFonts w:ascii="Arial"/>
                      <w:sz w:val="21"/>
                    </w:rPr>
                  </w:pPr>
                </w:p>
                <w:p w14:paraId="63A56F74">
                  <w:pPr>
                    <w:spacing w:line="271" w:lineRule="auto"/>
                    <w:rPr>
                      <w:rFonts w:ascii="Arial"/>
                      <w:sz w:val="21"/>
                    </w:rPr>
                  </w:pPr>
                </w:p>
                <w:p w14:paraId="4E353281">
                  <w:pPr>
                    <w:pStyle w:val="6"/>
                    <w:spacing w:before="65" w:line="228" w:lineRule="auto"/>
                    <w:ind w:left="82"/>
                    <w:rPr>
                      <w:sz w:val="20"/>
                      <w:szCs w:val="20"/>
                    </w:rPr>
                  </w:pPr>
                  <w:r>
                    <w:rPr>
                      <w:spacing w:val="5"/>
                      <w:sz w:val="20"/>
                      <w:szCs w:val="20"/>
                    </w:rPr>
                    <w:t>固井水泥返至</w:t>
                  </w:r>
                </w:p>
                <w:p w14:paraId="63412FD5">
                  <w:pPr>
                    <w:pStyle w:val="6"/>
                    <w:spacing w:before="24" w:line="227" w:lineRule="auto"/>
                    <w:jc w:val="right"/>
                    <w:rPr>
                      <w:sz w:val="20"/>
                      <w:szCs w:val="20"/>
                    </w:rPr>
                  </w:pPr>
                  <w:r>
                    <w:rPr>
                      <w:spacing w:val="-7"/>
                      <w:sz w:val="20"/>
                      <w:szCs w:val="20"/>
                    </w:rPr>
                    <w:t>井口处，不会外</w:t>
                  </w:r>
                </w:p>
                <w:p w14:paraId="0E0E6AAB">
                  <w:pPr>
                    <w:pStyle w:val="6"/>
                    <w:spacing w:before="25" w:line="229" w:lineRule="auto"/>
                    <w:ind w:left="273"/>
                    <w:rPr>
                      <w:sz w:val="20"/>
                      <w:szCs w:val="20"/>
                    </w:rPr>
                  </w:pPr>
                  <w:r>
                    <w:rPr>
                      <w:spacing w:val="7"/>
                      <w:sz w:val="20"/>
                      <w:szCs w:val="20"/>
                    </w:rPr>
                    <w:t>流至地面</w:t>
                  </w:r>
                </w:p>
              </w:tc>
            </w:tr>
            <w:tr w14:paraId="7A748D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1373" w:type="dxa"/>
                  <w:tcBorders>
                    <w:left w:val="nil"/>
                  </w:tcBorders>
                  <w:vAlign w:val="top"/>
                </w:tcPr>
                <w:p w14:paraId="5008295C">
                  <w:pPr>
                    <w:pStyle w:val="6"/>
                    <w:spacing w:before="143" w:line="229" w:lineRule="auto"/>
                    <w:ind w:left="485"/>
                    <w:rPr>
                      <w:sz w:val="20"/>
                      <w:szCs w:val="20"/>
                    </w:rPr>
                  </w:pPr>
                  <w:r>
                    <w:rPr>
                      <w:spacing w:val="3"/>
                      <w:sz w:val="20"/>
                      <w:szCs w:val="20"/>
                    </w:rPr>
                    <w:t>一开</w:t>
                  </w:r>
                </w:p>
              </w:tc>
              <w:tc>
                <w:tcPr>
                  <w:tcW w:w="1046" w:type="dxa"/>
                  <w:vAlign w:val="top"/>
                </w:tcPr>
                <w:p w14:paraId="1860B0EC">
                  <w:pPr>
                    <w:spacing w:before="179" w:line="195" w:lineRule="auto"/>
                    <w:ind w:left="33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1202</w:t>
                  </w:r>
                </w:p>
              </w:tc>
              <w:tc>
                <w:tcPr>
                  <w:tcW w:w="1274" w:type="dxa"/>
                  <w:vAlign w:val="top"/>
                </w:tcPr>
                <w:p w14:paraId="1FD21AA8">
                  <w:pPr>
                    <w:spacing w:before="179" w:line="195" w:lineRule="auto"/>
                    <w:ind w:left="32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D444.5</w:t>
                  </w:r>
                </w:p>
              </w:tc>
              <w:tc>
                <w:tcPr>
                  <w:tcW w:w="1416" w:type="dxa"/>
                  <w:tcBorders>
                    <w:right w:val="single" w:color="000000" w:sz="2" w:space="0"/>
                  </w:tcBorders>
                  <w:vAlign w:val="top"/>
                </w:tcPr>
                <w:p w14:paraId="31CCF09B">
                  <w:pPr>
                    <w:spacing w:before="179" w:line="195" w:lineRule="auto"/>
                    <w:ind w:left="39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D339.7</w:t>
                  </w:r>
                </w:p>
              </w:tc>
              <w:tc>
                <w:tcPr>
                  <w:tcW w:w="1755" w:type="dxa"/>
                  <w:tcBorders>
                    <w:left w:val="single" w:color="000000" w:sz="2" w:space="0"/>
                  </w:tcBorders>
                  <w:vAlign w:val="top"/>
                </w:tcPr>
                <w:p w14:paraId="541A9BAD">
                  <w:pPr>
                    <w:spacing w:before="179" w:line="195" w:lineRule="auto"/>
                    <w:ind w:left="68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1200</w:t>
                  </w:r>
                </w:p>
              </w:tc>
              <w:tc>
                <w:tcPr>
                  <w:tcW w:w="1373" w:type="dxa"/>
                  <w:vMerge w:val="continue"/>
                  <w:tcBorders>
                    <w:top w:val="nil"/>
                    <w:bottom w:val="nil"/>
                    <w:right w:val="nil"/>
                  </w:tcBorders>
                  <w:vAlign w:val="top"/>
                </w:tcPr>
                <w:p w14:paraId="31D06FFB">
                  <w:pPr>
                    <w:rPr>
                      <w:rFonts w:ascii="Arial"/>
                      <w:sz w:val="21"/>
                    </w:rPr>
                  </w:pPr>
                </w:p>
              </w:tc>
            </w:tr>
            <w:tr w14:paraId="491A05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1373" w:type="dxa"/>
                  <w:tcBorders>
                    <w:left w:val="nil"/>
                  </w:tcBorders>
                  <w:vAlign w:val="top"/>
                </w:tcPr>
                <w:p w14:paraId="52507EE4">
                  <w:pPr>
                    <w:pStyle w:val="6"/>
                    <w:spacing w:before="148" w:line="229" w:lineRule="auto"/>
                    <w:ind w:left="485"/>
                    <w:rPr>
                      <w:sz w:val="20"/>
                      <w:szCs w:val="20"/>
                    </w:rPr>
                  </w:pPr>
                  <w:r>
                    <w:rPr>
                      <w:spacing w:val="3"/>
                      <w:sz w:val="20"/>
                      <w:szCs w:val="20"/>
                    </w:rPr>
                    <w:t>二开</w:t>
                  </w:r>
                </w:p>
              </w:tc>
              <w:tc>
                <w:tcPr>
                  <w:tcW w:w="1046" w:type="dxa"/>
                  <w:vAlign w:val="top"/>
                </w:tcPr>
                <w:p w14:paraId="4537E511">
                  <w:pPr>
                    <w:spacing w:before="183" w:line="195" w:lineRule="auto"/>
                    <w:ind w:left="31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4802</w:t>
                  </w:r>
                </w:p>
              </w:tc>
              <w:tc>
                <w:tcPr>
                  <w:tcW w:w="1274" w:type="dxa"/>
                  <w:vAlign w:val="top"/>
                </w:tcPr>
                <w:p w14:paraId="084FEE90">
                  <w:pPr>
                    <w:spacing w:before="183" w:line="195" w:lineRule="auto"/>
                    <w:ind w:left="3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D311.2</w:t>
                  </w:r>
                </w:p>
              </w:tc>
              <w:tc>
                <w:tcPr>
                  <w:tcW w:w="1416" w:type="dxa"/>
                  <w:tcBorders>
                    <w:right w:val="single" w:color="000000" w:sz="2" w:space="0"/>
                  </w:tcBorders>
                  <w:vAlign w:val="top"/>
                </w:tcPr>
                <w:p w14:paraId="08A4A9F9">
                  <w:pPr>
                    <w:spacing w:before="183" w:line="195" w:lineRule="auto"/>
                    <w:ind w:left="39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D244.5</w:t>
                  </w:r>
                </w:p>
              </w:tc>
              <w:tc>
                <w:tcPr>
                  <w:tcW w:w="1755" w:type="dxa"/>
                  <w:tcBorders>
                    <w:left w:val="single" w:color="000000" w:sz="2" w:space="0"/>
                  </w:tcBorders>
                  <w:vAlign w:val="top"/>
                </w:tcPr>
                <w:p w14:paraId="008BF0FF">
                  <w:pPr>
                    <w:spacing w:before="183" w:line="195" w:lineRule="auto"/>
                    <w:ind w:left="66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4800</w:t>
                  </w:r>
                </w:p>
              </w:tc>
              <w:tc>
                <w:tcPr>
                  <w:tcW w:w="1373" w:type="dxa"/>
                  <w:vMerge w:val="continue"/>
                  <w:tcBorders>
                    <w:top w:val="nil"/>
                    <w:bottom w:val="nil"/>
                    <w:right w:val="nil"/>
                  </w:tcBorders>
                  <w:vAlign w:val="top"/>
                </w:tcPr>
                <w:p w14:paraId="3A5DFC5D">
                  <w:pPr>
                    <w:rPr>
                      <w:rFonts w:ascii="Arial"/>
                      <w:sz w:val="21"/>
                    </w:rPr>
                  </w:pPr>
                </w:p>
              </w:tc>
            </w:tr>
            <w:tr w14:paraId="4B42F0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trPr>
              <w:tc>
                <w:tcPr>
                  <w:tcW w:w="1373" w:type="dxa"/>
                  <w:tcBorders>
                    <w:left w:val="nil"/>
                    <w:bottom w:val="single" w:color="000000" w:sz="10" w:space="0"/>
                  </w:tcBorders>
                  <w:vAlign w:val="top"/>
                </w:tcPr>
                <w:p w14:paraId="35307681">
                  <w:pPr>
                    <w:pStyle w:val="6"/>
                    <w:spacing w:before="152" w:line="229" w:lineRule="auto"/>
                    <w:ind w:left="481"/>
                    <w:rPr>
                      <w:sz w:val="20"/>
                      <w:szCs w:val="20"/>
                    </w:rPr>
                  </w:pPr>
                  <w:r>
                    <w:rPr>
                      <w:spacing w:val="4"/>
                      <w:sz w:val="20"/>
                      <w:szCs w:val="20"/>
                    </w:rPr>
                    <w:t>三开</w:t>
                  </w:r>
                </w:p>
              </w:tc>
              <w:tc>
                <w:tcPr>
                  <w:tcW w:w="1046" w:type="dxa"/>
                  <w:tcBorders>
                    <w:bottom w:val="single" w:color="000000" w:sz="10" w:space="0"/>
                  </w:tcBorders>
                  <w:vAlign w:val="top"/>
                </w:tcPr>
                <w:p w14:paraId="754DA977">
                  <w:pPr>
                    <w:spacing w:before="188" w:line="195" w:lineRule="auto"/>
                    <w:ind w:left="3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6700</w:t>
                  </w:r>
                </w:p>
              </w:tc>
              <w:tc>
                <w:tcPr>
                  <w:tcW w:w="1274" w:type="dxa"/>
                  <w:tcBorders>
                    <w:bottom w:val="single" w:color="000000" w:sz="10" w:space="0"/>
                  </w:tcBorders>
                  <w:vAlign w:val="top"/>
                </w:tcPr>
                <w:p w14:paraId="731D90E1">
                  <w:pPr>
                    <w:spacing w:before="188" w:line="195" w:lineRule="auto"/>
                    <w:ind w:left="32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D215.9</w:t>
                  </w:r>
                </w:p>
              </w:tc>
              <w:tc>
                <w:tcPr>
                  <w:tcW w:w="1416" w:type="dxa"/>
                  <w:tcBorders>
                    <w:bottom w:val="single" w:color="000000" w:sz="10" w:space="0"/>
                    <w:right w:val="single" w:color="000000" w:sz="2" w:space="0"/>
                  </w:tcBorders>
                  <w:vAlign w:val="top"/>
                </w:tcPr>
                <w:p w14:paraId="5474519D">
                  <w:pPr>
                    <w:spacing w:before="188" w:line="195" w:lineRule="auto"/>
                    <w:ind w:left="39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D177.8</w:t>
                  </w:r>
                </w:p>
              </w:tc>
              <w:tc>
                <w:tcPr>
                  <w:tcW w:w="1755" w:type="dxa"/>
                  <w:tcBorders>
                    <w:left w:val="single" w:color="000000" w:sz="2" w:space="0"/>
                    <w:bottom w:val="single" w:color="000000" w:sz="10" w:space="0"/>
                  </w:tcBorders>
                  <w:vAlign w:val="top"/>
                </w:tcPr>
                <w:p w14:paraId="4B1832EB">
                  <w:pPr>
                    <w:spacing w:before="188" w:line="195" w:lineRule="auto"/>
                    <w:ind w:left="67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6698</w:t>
                  </w:r>
                </w:p>
              </w:tc>
              <w:tc>
                <w:tcPr>
                  <w:tcW w:w="1373" w:type="dxa"/>
                  <w:vMerge w:val="continue"/>
                  <w:tcBorders>
                    <w:top w:val="nil"/>
                    <w:bottom w:val="single" w:color="000000" w:sz="10" w:space="0"/>
                    <w:right w:val="nil"/>
                  </w:tcBorders>
                  <w:vAlign w:val="top"/>
                </w:tcPr>
                <w:p w14:paraId="71D97FA3">
                  <w:pPr>
                    <w:rPr>
                      <w:rFonts w:ascii="Arial"/>
                      <w:sz w:val="21"/>
                    </w:rPr>
                  </w:pPr>
                </w:p>
              </w:tc>
            </w:tr>
          </w:tbl>
          <w:p w14:paraId="6DBB59C9">
            <w:pPr>
              <w:rPr>
                <w:rFonts w:ascii="Arial"/>
                <w:sz w:val="21"/>
              </w:rPr>
            </w:pPr>
          </w:p>
        </w:tc>
      </w:tr>
    </w:tbl>
    <w:p w14:paraId="31C95638">
      <w:pPr>
        <w:rPr>
          <w:rFonts w:ascii="Arial"/>
          <w:sz w:val="21"/>
        </w:rPr>
      </w:pPr>
    </w:p>
    <w:p w14:paraId="07BAF2AE">
      <w:pPr>
        <w:rPr>
          <w:rFonts w:ascii="Arial" w:hAnsi="Arial" w:eastAsia="Arial" w:cs="Arial"/>
          <w:sz w:val="21"/>
          <w:szCs w:val="21"/>
        </w:rPr>
        <w:sectPr>
          <w:footerReference r:id="rId39" w:type="default"/>
          <w:pgSz w:w="11906" w:h="16839"/>
          <w:pgMar w:top="400" w:right="1403" w:bottom="1240" w:left="1572" w:header="0" w:footer="1078" w:gutter="0"/>
          <w:cols w:space="720" w:num="1"/>
        </w:sectPr>
      </w:pPr>
    </w:p>
    <w:p w14:paraId="46F5FD84">
      <w:pPr>
        <w:spacing w:before="56"/>
      </w:pPr>
    </w:p>
    <w:p w14:paraId="14FC6C83">
      <w:pPr>
        <w:spacing w:before="56"/>
      </w:pPr>
    </w:p>
    <w:p w14:paraId="0437DE41">
      <w:pPr>
        <w:spacing w:before="55"/>
      </w:pPr>
    </w:p>
    <w:p w14:paraId="5ED3A308">
      <w:pPr>
        <w:spacing w:before="55"/>
      </w:pPr>
    </w:p>
    <w:tbl>
      <w:tblPr>
        <w:tblStyle w:val="5"/>
        <w:tblW w:w="891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6"/>
        <w:gridCol w:w="8449"/>
      </w:tblGrid>
      <w:tr w14:paraId="765662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762" w:hRule="atLeast"/>
        </w:trPr>
        <w:tc>
          <w:tcPr>
            <w:tcW w:w="466" w:type="dxa"/>
            <w:tcBorders>
              <w:right w:val="single" w:color="000000" w:sz="2" w:space="0"/>
            </w:tcBorders>
            <w:vAlign w:val="top"/>
          </w:tcPr>
          <w:p w14:paraId="629A6618">
            <w:pPr>
              <w:rPr>
                <w:rFonts w:ascii="Arial"/>
                <w:sz w:val="21"/>
              </w:rPr>
            </w:pPr>
          </w:p>
        </w:tc>
        <w:tc>
          <w:tcPr>
            <w:tcW w:w="8449" w:type="dxa"/>
            <w:tcBorders>
              <w:left w:val="single" w:color="000000" w:sz="2" w:space="0"/>
            </w:tcBorders>
            <w:vAlign w:val="top"/>
          </w:tcPr>
          <w:p w14:paraId="6104A525">
            <w:pPr>
              <w:spacing w:line="4423" w:lineRule="exact"/>
              <w:ind w:firstLine="3015"/>
            </w:pPr>
            <w:r>
              <w:rPr>
                <w:position w:val="-88"/>
              </w:rPr>
              <w:drawing>
                <wp:inline distT="0" distB="0" distL="0" distR="0">
                  <wp:extent cx="1528445" cy="280860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79"/>
                          <a:stretch>
                            <a:fillRect/>
                          </a:stretch>
                        </pic:blipFill>
                        <pic:spPr>
                          <a:xfrm>
                            <a:off x="0" y="0"/>
                            <a:ext cx="1528572" cy="2808858"/>
                          </a:xfrm>
                          <a:prstGeom prst="rect">
                            <a:avLst/>
                          </a:prstGeom>
                        </pic:spPr>
                      </pic:pic>
                    </a:graphicData>
                  </a:graphic>
                </wp:inline>
              </w:drawing>
            </w:r>
          </w:p>
          <w:p w14:paraId="56DB524C">
            <w:pPr>
              <w:spacing w:before="34" w:line="221" w:lineRule="auto"/>
              <w:ind w:left="2583"/>
              <w:rPr>
                <w:rFonts w:ascii="黑体" w:hAnsi="黑体" w:eastAsia="黑体" w:cs="黑体"/>
                <w:sz w:val="24"/>
                <w:szCs w:val="24"/>
              </w:rPr>
            </w:pPr>
            <w:r>
              <w:rPr>
                <w:rFonts w:ascii="黑体" w:hAnsi="黑体" w:eastAsia="黑体" w:cs="黑体"/>
                <w:spacing w:val="-3"/>
                <w:sz w:val="24"/>
                <w:szCs w:val="24"/>
              </w:rPr>
              <w:t>图</w:t>
            </w:r>
            <w:r>
              <w:rPr>
                <w:rFonts w:ascii="黑体" w:hAnsi="黑体" w:eastAsia="黑体" w:cs="黑体"/>
                <w:spacing w:val="-39"/>
                <w:sz w:val="24"/>
                <w:szCs w:val="24"/>
              </w:rPr>
              <w:t xml:space="preserve"> </w:t>
            </w:r>
            <w:r>
              <w:rPr>
                <w:rFonts w:ascii="Times New Roman" w:hAnsi="Times New Roman" w:eastAsia="Times New Roman" w:cs="Times New Roman"/>
                <w:spacing w:val="-3"/>
                <w:sz w:val="24"/>
                <w:szCs w:val="24"/>
              </w:rPr>
              <w:t xml:space="preserve">2-2  </w:t>
            </w:r>
            <w:r>
              <w:rPr>
                <w:rFonts w:ascii="黑体" w:hAnsi="黑体" w:eastAsia="黑体" w:cs="黑体"/>
                <w:spacing w:val="-3"/>
                <w:sz w:val="24"/>
                <w:szCs w:val="24"/>
              </w:rPr>
              <w:t>扎格</w:t>
            </w:r>
            <w:r>
              <w:rPr>
                <w:rFonts w:ascii="黑体" w:hAnsi="黑体" w:eastAsia="黑体" w:cs="黑体"/>
                <w:spacing w:val="-51"/>
                <w:sz w:val="24"/>
                <w:szCs w:val="24"/>
              </w:rPr>
              <w:t xml:space="preserve"> </w:t>
            </w:r>
            <w:r>
              <w:rPr>
                <w:rFonts w:ascii="Times New Roman" w:hAnsi="Times New Roman" w:eastAsia="Times New Roman" w:cs="Times New Roman"/>
                <w:spacing w:val="-3"/>
                <w:sz w:val="24"/>
                <w:szCs w:val="24"/>
              </w:rPr>
              <w:t xml:space="preserve">9X </w:t>
            </w:r>
            <w:r>
              <w:rPr>
                <w:rFonts w:ascii="黑体" w:hAnsi="黑体" w:eastAsia="黑体" w:cs="黑体"/>
                <w:spacing w:val="-3"/>
                <w:sz w:val="24"/>
                <w:szCs w:val="24"/>
              </w:rPr>
              <w:t>井身结构示意图</w:t>
            </w:r>
          </w:p>
          <w:p w14:paraId="79480058">
            <w:pPr>
              <w:pStyle w:val="6"/>
              <w:spacing w:before="177" w:line="219" w:lineRule="auto"/>
              <w:ind w:left="611"/>
            </w:pPr>
            <w:r>
              <w:rPr>
                <w:b/>
                <w:bCs/>
                <w:spacing w:val="-8"/>
              </w:rPr>
              <w:t>四、依托工程</w:t>
            </w:r>
          </w:p>
          <w:p w14:paraId="78278B44">
            <w:pPr>
              <w:pStyle w:val="6"/>
              <w:spacing w:before="184" w:line="219" w:lineRule="auto"/>
              <w:ind w:left="607"/>
            </w:pPr>
            <w:r>
              <w:rPr>
                <w:rFonts w:ascii="Times New Roman" w:hAnsi="Times New Roman" w:eastAsia="Times New Roman" w:cs="Times New Roman"/>
                <w:spacing w:val="-8"/>
              </w:rPr>
              <w:t>1</w:t>
            </w:r>
            <w:r>
              <w:rPr>
                <w:rFonts w:ascii="Times New Roman" w:hAnsi="Times New Roman" w:eastAsia="Times New Roman" w:cs="Times New Roman"/>
                <w:spacing w:val="-34"/>
              </w:rPr>
              <w:t xml:space="preserve"> </w:t>
            </w:r>
            <w:r>
              <w:rPr>
                <w:spacing w:val="-8"/>
              </w:rPr>
              <w:t>、临河联合站</w:t>
            </w:r>
          </w:p>
          <w:p w14:paraId="2CC58745">
            <w:pPr>
              <w:pStyle w:val="6"/>
              <w:spacing w:before="180" w:line="219" w:lineRule="auto"/>
              <w:ind w:left="600"/>
            </w:pPr>
            <w:r>
              <w:rPr>
                <w:spacing w:val="-3"/>
              </w:rPr>
              <w:t>（</w:t>
            </w:r>
            <w:r>
              <w:rPr>
                <w:rFonts w:ascii="Times New Roman" w:hAnsi="Times New Roman" w:eastAsia="Times New Roman" w:cs="Times New Roman"/>
                <w:spacing w:val="-3"/>
              </w:rPr>
              <w:t>1</w:t>
            </w:r>
            <w:r>
              <w:rPr>
                <w:spacing w:val="-3"/>
              </w:rPr>
              <w:t>）基本情况</w:t>
            </w:r>
          </w:p>
          <w:p w14:paraId="74AACA8F">
            <w:pPr>
              <w:pStyle w:val="6"/>
              <w:spacing w:before="183" w:line="359" w:lineRule="auto"/>
              <w:ind w:left="112" w:right="102" w:firstLine="479"/>
            </w:pPr>
            <w:r>
              <w:rPr>
                <w:spacing w:val="2"/>
              </w:rPr>
              <w:t>项目采出液拉运至临河联合站，进入站内采出液处理系统。临河联合</w:t>
            </w:r>
            <w:r>
              <w:rPr>
                <w:spacing w:val="1"/>
              </w:rPr>
              <w:t>站属</w:t>
            </w:r>
            <w:r>
              <w:rPr>
                <w:spacing w:val="-4"/>
              </w:rPr>
              <w:t>于巴彦油田兴华区块（兴华</w:t>
            </w:r>
            <w:r>
              <w:rPr>
                <w:spacing w:val="-32"/>
              </w:rPr>
              <w:t xml:space="preserve"> </w:t>
            </w:r>
            <w:r>
              <w:rPr>
                <w:rFonts w:ascii="Times New Roman" w:hAnsi="Times New Roman" w:eastAsia="Times New Roman" w:cs="Times New Roman"/>
                <w:spacing w:val="-4"/>
              </w:rPr>
              <w:t>1</w:t>
            </w:r>
            <w:r>
              <w:rPr>
                <w:spacing w:val="-4"/>
              </w:rPr>
              <w:t>）产能建设项目，为华北油田巴彦勘</w:t>
            </w:r>
            <w:r>
              <w:rPr>
                <w:spacing w:val="-5"/>
              </w:rPr>
              <w:t>探开发分公司</w:t>
            </w:r>
            <w:r>
              <w:rPr>
                <w:spacing w:val="-1"/>
              </w:rPr>
              <w:t>内部站场，位于内蒙古自治区巴彦淖尔市临河区。</w:t>
            </w:r>
          </w:p>
          <w:p w14:paraId="60DBBF4E">
            <w:pPr>
              <w:pStyle w:val="6"/>
              <w:spacing w:before="1" w:line="359" w:lineRule="auto"/>
              <w:ind w:left="109" w:right="102" w:firstLine="475"/>
              <w:jc w:val="both"/>
            </w:pPr>
            <w:r>
              <w:rPr>
                <w:rFonts w:ascii="Times New Roman" w:hAnsi="Times New Roman" w:eastAsia="Times New Roman" w:cs="Times New Roman"/>
                <w:spacing w:val="1"/>
              </w:rPr>
              <w:t xml:space="preserve">2023 </w:t>
            </w:r>
            <w:r>
              <w:rPr>
                <w:spacing w:val="1"/>
              </w:rPr>
              <w:t>年</w:t>
            </w:r>
            <w:r>
              <w:rPr>
                <w:spacing w:val="-50"/>
              </w:rPr>
              <w:t xml:space="preserve"> </w:t>
            </w:r>
            <w:r>
              <w:rPr>
                <w:rFonts w:ascii="Times New Roman" w:hAnsi="Times New Roman" w:eastAsia="Times New Roman" w:cs="Times New Roman"/>
                <w:spacing w:val="1"/>
              </w:rPr>
              <w:t xml:space="preserve">2 </w:t>
            </w:r>
            <w:r>
              <w:rPr>
                <w:spacing w:val="1"/>
              </w:rPr>
              <w:t>月巴彦淖尔市生态环境局对巴彦油田兴华区块（兴</w:t>
            </w:r>
            <w:r>
              <w:t>华</w:t>
            </w:r>
            <w:r>
              <w:rPr>
                <w:spacing w:val="-30"/>
              </w:rPr>
              <w:t xml:space="preserve"> </w:t>
            </w:r>
            <w:r>
              <w:rPr>
                <w:rFonts w:ascii="Times New Roman" w:hAnsi="Times New Roman" w:eastAsia="Times New Roman" w:cs="Times New Roman"/>
              </w:rPr>
              <w:t>1</w:t>
            </w:r>
            <w:r>
              <w:t>）产能建</w:t>
            </w:r>
            <w:r>
              <w:rPr>
                <w:spacing w:val="-3"/>
              </w:rPr>
              <w:t>设项目批复，批复文号：巴环审〔</w:t>
            </w:r>
            <w:r>
              <w:rPr>
                <w:rFonts w:ascii="Times New Roman" w:hAnsi="Times New Roman" w:eastAsia="Times New Roman" w:cs="Times New Roman"/>
                <w:spacing w:val="-3"/>
              </w:rPr>
              <w:t>2023</w:t>
            </w:r>
            <w:r>
              <w:rPr>
                <w:spacing w:val="-3"/>
              </w:rPr>
              <w:t>〕</w:t>
            </w:r>
            <w:r>
              <w:rPr>
                <w:rFonts w:ascii="Times New Roman" w:hAnsi="Times New Roman" w:eastAsia="Times New Roman" w:cs="Times New Roman"/>
                <w:spacing w:val="-3"/>
              </w:rPr>
              <w:t>2</w:t>
            </w:r>
            <w:r>
              <w:rPr>
                <w:rFonts w:ascii="Times New Roman" w:hAnsi="Times New Roman" w:eastAsia="Times New Roman" w:cs="Times New Roman"/>
                <w:spacing w:val="22"/>
                <w:w w:val="101"/>
              </w:rPr>
              <w:t xml:space="preserve"> </w:t>
            </w:r>
            <w:r>
              <w:rPr>
                <w:spacing w:val="-3"/>
              </w:rPr>
              <w:t>号；</w:t>
            </w:r>
            <w:r>
              <w:rPr>
                <w:rFonts w:ascii="Times New Roman" w:hAnsi="Times New Roman" w:eastAsia="Times New Roman" w:cs="Times New Roman"/>
                <w:spacing w:val="-3"/>
              </w:rPr>
              <w:t xml:space="preserve">2024 </w:t>
            </w:r>
            <w:r>
              <w:rPr>
                <w:spacing w:val="-3"/>
              </w:rPr>
              <w:t>年</w:t>
            </w:r>
            <w:r>
              <w:rPr>
                <w:spacing w:val="-32"/>
              </w:rPr>
              <w:t xml:space="preserve"> </w:t>
            </w:r>
            <w:r>
              <w:rPr>
                <w:rFonts w:ascii="Times New Roman" w:hAnsi="Times New Roman" w:eastAsia="Times New Roman" w:cs="Times New Roman"/>
                <w:spacing w:val="-3"/>
              </w:rPr>
              <w:t>11</w:t>
            </w:r>
            <w:r>
              <w:rPr>
                <w:rFonts w:ascii="Times New Roman" w:hAnsi="Times New Roman" w:eastAsia="Times New Roman" w:cs="Times New Roman"/>
                <w:spacing w:val="15"/>
              </w:rPr>
              <w:t xml:space="preserve"> </w:t>
            </w:r>
            <w:r>
              <w:rPr>
                <w:spacing w:val="-3"/>
              </w:rPr>
              <w:t>月通过了竣工环境保</w:t>
            </w:r>
            <w:r>
              <w:rPr>
                <w:spacing w:val="-14"/>
              </w:rPr>
              <w:t>护</w:t>
            </w:r>
            <w:r>
              <w:rPr>
                <w:spacing w:val="51"/>
              </w:rPr>
              <w:t xml:space="preserve"> </w:t>
            </w:r>
            <w:r>
              <w:rPr>
                <w:spacing w:val="-14"/>
              </w:rPr>
              <w:t>自 主 验</w:t>
            </w:r>
            <w:r>
              <w:rPr>
                <w:spacing w:val="23"/>
              </w:rPr>
              <w:t xml:space="preserve"> </w:t>
            </w:r>
            <w:r>
              <w:rPr>
                <w:spacing w:val="-14"/>
              </w:rPr>
              <w:t>收</w:t>
            </w:r>
            <w:r>
              <w:rPr>
                <w:spacing w:val="35"/>
              </w:rPr>
              <w:t xml:space="preserve"> </w:t>
            </w:r>
            <w:r>
              <w:rPr>
                <w:spacing w:val="-14"/>
              </w:rPr>
              <w:t>。</w:t>
            </w:r>
            <w:r>
              <w:rPr>
                <w:spacing w:val="16"/>
              </w:rPr>
              <w:t xml:space="preserve"> </w:t>
            </w:r>
            <w:r>
              <w:rPr>
                <w:spacing w:val="-14"/>
              </w:rPr>
              <w:t>企</w:t>
            </w:r>
            <w:r>
              <w:rPr>
                <w:spacing w:val="10"/>
              </w:rPr>
              <w:t xml:space="preserve"> </w:t>
            </w:r>
            <w:r>
              <w:rPr>
                <w:spacing w:val="-14"/>
              </w:rPr>
              <w:t>业</w:t>
            </w:r>
            <w:r>
              <w:rPr>
                <w:spacing w:val="41"/>
              </w:rPr>
              <w:t xml:space="preserve"> </w:t>
            </w:r>
            <w:r>
              <w:rPr>
                <w:spacing w:val="-14"/>
              </w:rPr>
              <w:t>已</w:t>
            </w:r>
            <w:r>
              <w:rPr>
                <w:spacing w:val="10"/>
              </w:rPr>
              <w:t xml:space="preserve"> </w:t>
            </w:r>
            <w:r>
              <w:rPr>
                <w:spacing w:val="-14"/>
              </w:rPr>
              <w:t>进</w:t>
            </w:r>
            <w:r>
              <w:rPr>
                <w:spacing w:val="15"/>
              </w:rPr>
              <w:t xml:space="preserve"> </w:t>
            </w:r>
            <w:r>
              <w:rPr>
                <w:spacing w:val="-14"/>
              </w:rPr>
              <w:t>行</w:t>
            </w:r>
            <w:r>
              <w:rPr>
                <w:spacing w:val="36"/>
              </w:rPr>
              <w:t xml:space="preserve"> </w:t>
            </w:r>
            <w:r>
              <w:rPr>
                <w:spacing w:val="-14"/>
              </w:rPr>
              <w:t>了</w:t>
            </w:r>
            <w:r>
              <w:rPr>
                <w:spacing w:val="14"/>
              </w:rPr>
              <w:t xml:space="preserve"> </w:t>
            </w:r>
            <w:r>
              <w:rPr>
                <w:spacing w:val="-14"/>
              </w:rPr>
              <w:t>排</w:t>
            </w:r>
            <w:r>
              <w:rPr>
                <w:spacing w:val="14"/>
              </w:rPr>
              <w:t xml:space="preserve"> </w:t>
            </w:r>
            <w:r>
              <w:rPr>
                <w:spacing w:val="-14"/>
              </w:rPr>
              <w:t>污</w:t>
            </w:r>
            <w:r>
              <w:rPr>
                <w:spacing w:val="15"/>
              </w:rPr>
              <w:t xml:space="preserve"> </w:t>
            </w:r>
            <w:r>
              <w:rPr>
                <w:spacing w:val="-14"/>
              </w:rPr>
              <w:t>许</w:t>
            </w:r>
            <w:r>
              <w:rPr>
                <w:spacing w:val="14"/>
              </w:rPr>
              <w:t xml:space="preserve"> </w:t>
            </w:r>
            <w:r>
              <w:rPr>
                <w:spacing w:val="-14"/>
              </w:rPr>
              <w:t>可</w:t>
            </w:r>
            <w:r>
              <w:rPr>
                <w:spacing w:val="19"/>
              </w:rPr>
              <w:t xml:space="preserve"> </w:t>
            </w:r>
            <w:r>
              <w:rPr>
                <w:spacing w:val="-14"/>
              </w:rPr>
              <w:t>登</w:t>
            </w:r>
            <w:r>
              <w:rPr>
                <w:spacing w:val="10"/>
              </w:rPr>
              <w:t xml:space="preserve"> </w:t>
            </w:r>
            <w:r>
              <w:rPr>
                <w:spacing w:val="-14"/>
              </w:rPr>
              <w:t>记</w:t>
            </w:r>
            <w:r>
              <w:rPr>
                <w:spacing w:val="34"/>
              </w:rPr>
              <w:t xml:space="preserve"> </w:t>
            </w:r>
            <w:r>
              <w:rPr>
                <w:spacing w:val="-15"/>
              </w:rPr>
              <w:t>，</w:t>
            </w:r>
            <w:r>
              <w:rPr>
                <w:spacing w:val="17"/>
              </w:rPr>
              <w:t xml:space="preserve"> </w:t>
            </w:r>
            <w:r>
              <w:rPr>
                <w:spacing w:val="-15"/>
              </w:rPr>
              <w:t>登</w:t>
            </w:r>
            <w:r>
              <w:rPr>
                <w:spacing w:val="11"/>
              </w:rPr>
              <w:t xml:space="preserve"> </w:t>
            </w:r>
            <w:r>
              <w:rPr>
                <w:spacing w:val="-15"/>
              </w:rPr>
              <w:t>记</w:t>
            </w:r>
            <w:r>
              <w:rPr>
                <w:spacing w:val="16"/>
              </w:rPr>
              <w:t xml:space="preserve"> </w:t>
            </w:r>
            <w:r>
              <w:rPr>
                <w:spacing w:val="-15"/>
              </w:rPr>
              <w:t>编</w:t>
            </w:r>
            <w:r>
              <w:rPr>
                <w:spacing w:val="20"/>
              </w:rPr>
              <w:t xml:space="preserve"> </w:t>
            </w:r>
            <w:r>
              <w:rPr>
                <w:spacing w:val="-15"/>
              </w:rPr>
              <w:t>号</w:t>
            </w:r>
            <w:r>
              <w:rPr>
                <w:rFonts w:ascii="Times New Roman" w:hAnsi="Times New Roman" w:eastAsia="Times New Roman" w:cs="Times New Roman"/>
                <w:spacing w:val="-3"/>
              </w:rPr>
              <w:t>91150800MA0Q4TL99T001Y</w:t>
            </w:r>
            <w:r>
              <w:rPr>
                <w:rFonts w:ascii="Times New Roman" w:hAnsi="Times New Roman" w:eastAsia="Times New Roman" w:cs="Times New Roman"/>
                <w:spacing w:val="-8"/>
              </w:rPr>
              <w:t xml:space="preserve"> </w:t>
            </w:r>
            <w:r>
              <w:rPr>
                <w:spacing w:val="-3"/>
              </w:rPr>
              <w:t>。项目批复、验收意见及登记许可回执见附件。</w:t>
            </w:r>
            <w:r>
              <w:rPr>
                <w:spacing w:val="-67"/>
              </w:rPr>
              <w:t xml:space="preserve"> </w:t>
            </w:r>
            <w:r>
              <w:rPr>
                <w:spacing w:val="-3"/>
              </w:rPr>
              <w:t>目</w:t>
            </w:r>
            <w:r>
              <w:rPr>
                <w:spacing w:val="-1"/>
              </w:rPr>
              <w:t>前，临河联合站正常稳定运行。</w:t>
            </w:r>
          </w:p>
          <w:p w14:paraId="0EE0E25D">
            <w:pPr>
              <w:pStyle w:val="6"/>
              <w:spacing w:before="1" w:line="359" w:lineRule="auto"/>
              <w:ind w:left="110" w:right="102" w:firstLine="491"/>
            </w:pPr>
            <w:r>
              <w:rPr>
                <w:spacing w:val="2"/>
              </w:rPr>
              <w:t>临河联合站建设有储罐区、油工艺区、水工艺区</w:t>
            </w:r>
            <w:r>
              <w:rPr>
                <w:spacing w:val="1"/>
              </w:rPr>
              <w:t>、气工艺区、办公及辅助</w:t>
            </w:r>
            <w:r>
              <w:rPr>
                <w:spacing w:val="-1"/>
              </w:rPr>
              <w:t>生产区、</w:t>
            </w:r>
            <w:r>
              <w:rPr>
                <w:rFonts w:ascii="Times New Roman" w:hAnsi="Times New Roman" w:eastAsia="Times New Roman" w:cs="Times New Roman"/>
                <w:spacing w:val="-1"/>
              </w:rPr>
              <w:t xml:space="preserve">35kV </w:t>
            </w:r>
            <w:r>
              <w:rPr>
                <w:spacing w:val="-1"/>
              </w:rPr>
              <w:t>变电站、装卸油区、候车区、火炬区共计</w:t>
            </w:r>
            <w:r>
              <w:rPr>
                <w:spacing w:val="-32"/>
              </w:rPr>
              <w:t xml:space="preserve"> </w:t>
            </w:r>
            <w:r>
              <w:rPr>
                <w:rFonts w:ascii="Times New Roman" w:hAnsi="Times New Roman" w:eastAsia="Times New Roman" w:cs="Times New Roman"/>
                <w:spacing w:val="-1"/>
              </w:rPr>
              <w:t>10</w:t>
            </w:r>
            <w:r>
              <w:rPr>
                <w:rFonts w:ascii="Times New Roman" w:hAnsi="Times New Roman" w:eastAsia="Times New Roman" w:cs="Times New Roman"/>
                <w:spacing w:val="-2"/>
              </w:rPr>
              <w:t xml:space="preserve"> </w:t>
            </w:r>
            <w:r>
              <w:rPr>
                <w:spacing w:val="-2"/>
              </w:rPr>
              <w:t>个功能区。</w:t>
            </w:r>
          </w:p>
          <w:p w14:paraId="17970657">
            <w:pPr>
              <w:pStyle w:val="6"/>
              <w:spacing w:line="218" w:lineRule="auto"/>
              <w:ind w:left="600"/>
            </w:pPr>
            <w:r>
              <w:rPr>
                <w:spacing w:val="-3"/>
              </w:rPr>
              <w:t>（</w:t>
            </w:r>
            <w:r>
              <w:rPr>
                <w:rFonts w:ascii="Times New Roman" w:hAnsi="Times New Roman" w:eastAsia="Times New Roman" w:cs="Times New Roman"/>
                <w:spacing w:val="-3"/>
              </w:rPr>
              <w:t>2</w:t>
            </w:r>
            <w:r>
              <w:rPr>
                <w:spacing w:val="-3"/>
              </w:rPr>
              <w:t>）依托可行性</w:t>
            </w:r>
          </w:p>
          <w:p w14:paraId="0407FF73">
            <w:pPr>
              <w:pStyle w:val="6"/>
              <w:spacing w:before="187" w:line="352" w:lineRule="auto"/>
              <w:ind w:left="108" w:right="102" w:firstLine="493"/>
            </w:pPr>
            <w:r>
              <w:rPr>
                <w:spacing w:val="-3"/>
              </w:rPr>
              <w:t>临河联合站原油处理规模</w:t>
            </w:r>
            <w:r>
              <w:rPr>
                <w:spacing w:val="-26"/>
              </w:rPr>
              <w:t xml:space="preserve"> </w:t>
            </w:r>
            <w:r>
              <w:rPr>
                <w:rFonts w:ascii="Times New Roman" w:hAnsi="Times New Roman" w:eastAsia="Times New Roman" w:cs="Times New Roman"/>
                <w:spacing w:val="-3"/>
              </w:rPr>
              <w:t>120×10</w:t>
            </w:r>
            <w:r>
              <w:rPr>
                <w:rFonts w:ascii="Times New Roman" w:hAnsi="Times New Roman" w:eastAsia="Times New Roman" w:cs="Times New Roman"/>
                <w:spacing w:val="-3"/>
                <w:position w:val="7"/>
                <w:sz w:val="15"/>
                <w:szCs w:val="15"/>
              </w:rPr>
              <w:t>4</w:t>
            </w:r>
            <w:r>
              <w:rPr>
                <w:rFonts w:ascii="Times New Roman" w:hAnsi="Times New Roman" w:eastAsia="Times New Roman" w:cs="Times New Roman"/>
                <w:spacing w:val="-3"/>
              </w:rPr>
              <w:t>t/a</w:t>
            </w:r>
            <w:r>
              <w:rPr>
                <w:rFonts w:ascii="Times New Roman" w:hAnsi="Times New Roman" w:eastAsia="Times New Roman" w:cs="Times New Roman"/>
                <w:spacing w:val="-29"/>
              </w:rPr>
              <w:t xml:space="preserve"> </w:t>
            </w:r>
            <w:r>
              <w:rPr>
                <w:spacing w:val="-3"/>
              </w:rPr>
              <w:t>，</w:t>
            </w:r>
            <w:r>
              <w:rPr>
                <w:spacing w:val="-64"/>
              </w:rPr>
              <w:t xml:space="preserve"> </w:t>
            </w:r>
            <w:r>
              <w:rPr>
                <w:spacing w:val="-3"/>
              </w:rPr>
              <w:t>日常生产运行规模约</w:t>
            </w:r>
            <w:r>
              <w:rPr>
                <w:spacing w:val="-30"/>
              </w:rPr>
              <w:t xml:space="preserve"> </w:t>
            </w:r>
            <w:r>
              <w:rPr>
                <w:rFonts w:ascii="Times New Roman" w:hAnsi="Times New Roman" w:eastAsia="Times New Roman" w:cs="Times New Roman"/>
                <w:spacing w:val="-3"/>
              </w:rPr>
              <w:t>110.5×10</w:t>
            </w:r>
            <w:r>
              <w:rPr>
                <w:rFonts w:ascii="Times New Roman" w:hAnsi="Times New Roman" w:eastAsia="Times New Roman" w:cs="Times New Roman"/>
                <w:spacing w:val="-3"/>
                <w:position w:val="7"/>
                <w:sz w:val="15"/>
                <w:szCs w:val="15"/>
              </w:rPr>
              <w:t>4</w:t>
            </w:r>
            <w:r>
              <w:rPr>
                <w:rFonts w:ascii="Times New Roman" w:hAnsi="Times New Roman" w:eastAsia="Times New Roman" w:cs="Times New Roman"/>
                <w:spacing w:val="-3"/>
              </w:rPr>
              <w:t>t/a</w:t>
            </w:r>
            <w:r>
              <w:rPr>
                <w:rFonts w:ascii="Times New Roman" w:hAnsi="Times New Roman" w:eastAsia="Times New Roman" w:cs="Times New Roman"/>
                <w:spacing w:val="-27"/>
              </w:rPr>
              <w:t xml:space="preserve"> </w:t>
            </w:r>
            <w:r>
              <w:rPr>
                <w:spacing w:val="-3"/>
              </w:rPr>
              <w:t>，</w:t>
            </w:r>
            <w:r>
              <w:rPr>
                <w:spacing w:val="2"/>
              </w:rPr>
              <w:t>剩余处理规模</w:t>
            </w:r>
            <w:r>
              <w:rPr>
                <w:spacing w:val="-48"/>
              </w:rPr>
              <w:t xml:space="preserve"> </w:t>
            </w:r>
            <w:r>
              <w:rPr>
                <w:rFonts w:ascii="Times New Roman" w:hAnsi="Times New Roman" w:eastAsia="Times New Roman" w:cs="Times New Roman"/>
                <w:spacing w:val="2"/>
              </w:rPr>
              <w:t>9.5×10</w:t>
            </w:r>
            <w:r>
              <w:rPr>
                <w:rFonts w:ascii="Times New Roman" w:hAnsi="Times New Roman" w:eastAsia="Times New Roman" w:cs="Times New Roman"/>
                <w:spacing w:val="2"/>
                <w:position w:val="7"/>
                <w:sz w:val="15"/>
                <w:szCs w:val="15"/>
              </w:rPr>
              <w:t>4</w:t>
            </w:r>
            <w:r>
              <w:rPr>
                <w:rFonts w:ascii="Times New Roman" w:hAnsi="Times New Roman" w:eastAsia="Times New Roman" w:cs="Times New Roman"/>
                <w:spacing w:val="2"/>
              </w:rPr>
              <w:t>t/a</w:t>
            </w:r>
            <w:r>
              <w:rPr>
                <w:spacing w:val="2"/>
              </w:rPr>
              <w:t>（约</w:t>
            </w:r>
            <w:r>
              <w:rPr>
                <w:spacing w:val="-51"/>
              </w:rPr>
              <w:t xml:space="preserve"> </w:t>
            </w:r>
            <w:r>
              <w:rPr>
                <w:rFonts w:ascii="Times New Roman" w:hAnsi="Times New Roman" w:eastAsia="Times New Roman" w:cs="Times New Roman"/>
                <w:spacing w:val="2"/>
              </w:rPr>
              <w:t>260t/d</w:t>
            </w:r>
            <w:r>
              <w:rPr>
                <w:spacing w:val="2"/>
              </w:rPr>
              <w:t>）。</w:t>
            </w:r>
            <w:r>
              <w:rPr>
                <w:spacing w:val="1"/>
              </w:rPr>
              <w:t>项目试油</w:t>
            </w:r>
            <w:r>
              <w:rPr>
                <w:spacing w:val="-27"/>
              </w:rPr>
              <w:t xml:space="preserve"> </w:t>
            </w:r>
            <w:r>
              <w:rPr>
                <w:rFonts w:ascii="Times New Roman" w:hAnsi="Times New Roman" w:eastAsia="Times New Roman" w:cs="Times New Roman"/>
                <w:spacing w:val="1"/>
              </w:rPr>
              <w:t>15</w:t>
            </w:r>
            <w:r>
              <w:rPr>
                <w:rFonts w:ascii="Times New Roman" w:hAnsi="Times New Roman" w:eastAsia="Times New Roman" w:cs="Times New Roman"/>
                <w:spacing w:val="19"/>
                <w:w w:val="101"/>
              </w:rPr>
              <w:t xml:space="preserve"> </w:t>
            </w:r>
            <w:r>
              <w:rPr>
                <w:spacing w:val="1"/>
              </w:rPr>
              <w:t>天，原油（采出液）按照</w:t>
            </w:r>
            <w:r>
              <w:rPr>
                <w:rFonts w:ascii="Times New Roman" w:hAnsi="Times New Roman" w:eastAsia="Times New Roman" w:cs="Times New Roman"/>
                <w:spacing w:val="-2"/>
              </w:rPr>
              <w:t xml:space="preserve">10t/d </w:t>
            </w:r>
            <w:r>
              <w:rPr>
                <w:spacing w:val="-2"/>
              </w:rPr>
              <w:t>计算，则采出液产生量为</w:t>
            </w:r>
            <w:r>
              <w:rPr>
                <w:spacing w:val="-32"/>
              </w:rPr>
              <w:t xml:space="preserve"> </w:t>
            </w:r>
            <w:r>
              <w:rPr>
                <w:rFonts w:ascii="Times New Roman" w:hAnsi="Times New Roman" w:eastAsia="Times New Roman" w:cs="Times New Roman"/>
                <w:spacing w:val="-2"/>
              </w:rPr>
              <w:t>150t</w:t>
            </w:r>
            <w:r>
              <w:rPr>
                <w:rFonts w:ascii="Times New Roman" w:hAnsi="Times New Roman" w:eastAsia="Times New Roman" w:cs="Times New Roman"/>
                <w:spacing w:val="-31"/>
              </w:rPr>
              <w:t xml:space="preserve"> </w:t>
            </w:r>
            <w:r>
              <w:rPr>
                <w:spacing w:val="-2"/>
              </w:rPr>
              <w:t>，平均</w:t>
            </w:r>
            <w:r>
              <w:rPr>
                <w:spacing w:val="-55"/>
              </w:rPr>
              <w:t xml:space="preserve"> </w:t>
            </w:r>
            <w:r>
              <w:rPr>
                <w:rFonts w:ascii="Times New Roman" w:hAnsi="Times New Roman" w:eastAsia="Times New Roman" w:cs="Times New Roman"/>
                <w:spacing w:val="-2"/>
              </w:rPr>
              <w:t xml:space="preserve">2~3 </w:t>
            </w:r>
            <w:r>
              <w:rPr>
                <w:spacing w:val="-2"/>
              </w:rPr>
              <w:t>天采用罐车拉运一次，则单</w:t>
            </w:r>
            <w:r>
              <w:rPr>
                <w:spacing w:val="-3"/>
              </w:rPr>
              <w:t>次拉</w:t>
            </w:r>
            <w:r>
              <w:rPr>
                <w:spacing w:val="-2"/>
              </w:rPr>
              <w:t>运的采出液量占临河联合站原油处理系统日处理剩余量约</w:t>
            </w:r>
            <w:r>
              <w:rPr>
                <w:spacing w:val="-29"/>
              </w:rPr>
              <w:t xml:space="preserve"> </w:t>
            </w:r>
            <w:r>
              <w:rPr>
                <w:rFonts w:ascii="Times New Roman" w:hAnsi="Times New Roman" w:eastAsia="Times New Roman" w:cs="Times New Roman"/>
                <w:spacing w:val="-2"/>
              </w:rPr>
              <w:t>11.54%</w:t>
            </w:r>
            <w:r>
              <w:rPr>
                <w:rFonts w:ascii="Times New Roman" w:hAnsi="Times New Roman" w:eastAsia="Times New Roman" w:cs="Times New Roman"/>
                <w:spacing w:val="-28"/>
              </w:rPr>
              <w:t xml:space="preserve"> </w:t>
            </w:r>
            <w:r>
              <w:rPr>
                <w:spacing w:val="-2"/>
              </w:rPr>
              <w:t>。临河</w:t>
            </w:r>
            <w:r>
              <w:rPr>
                <w:spacing w:val="-3"/>
              </w:rPr>
              <w:t>联合站</w:t>
            </w:r>
            <w:r>
              <w:rPr>
                <w:spacing w:val="-1"/>
              </w:rPr>
              <w:t>原油处理规模满足项目需求。</w:t>
            </w:r>
          </w:p>
        </w:tc>
      </w:tr>
    </w:tbl>
    <w:p w14:paraId="6E9C612E">
      <w:pPr>
        <w:spacing w:line="207" w:lineRule="exact"/>
        <w:rPr>
          <w:rFonts w:ascii="Arial"/>
          <w:sz w:val="18"/>
        </w:rPr>
      </w:pPr>
    </w:p>
    <w:p w14:paraId="268656C2">
      <w:pPr>
        <w:spacing w:line="207" w:lineRule="exact"/>
        <w:rPr>
          <w:rFonts w:ascii="Arial" w:hAnsi="Arial" w:eastAsia="Arial" w:cs="Arial"/>
          <w:sz w:val="18"/>
          <w:szCs w:val="18"/>
        </w:rPr>
        <w:sectPr>
          <w:footerReference r:id="rId40" w:type="default"/>
          <w:pgSz w:w="11906" w:h="16839"/>
          <w:pgMar w:top="400" w:right="1403" w:bottom="1240" w:left="1572" w:header="0" w:footer="1078" w:gutter="0"/>
          <w:cols w:space="720" w:num="1"/>
        </w:sectPr>
      </w:pPr>
    </w:p>
    <w:p w14:paraId="3A9B264C">
      <w:pPr>
        <w:spacing w:before="56"/>
      </w:pPr>
    </w:p>
    <w:p w14:paraId="1F2A7F03">
      <w:pPr>
        <w:spacing w:before="56"/>
      </w:pPr>
    </w:p>
    <w:p w14:paraId="33005593">
      <w:pPr>
        <w:spacing w:before="55"/>
      </w:pPr>
    </w:p>
    <w:p w14:paraId="6EB96C25">
      <w:pPr>
        <w:spacing w:before="55"/>
      </w:pPr>
    </w:p>
    <w:tbl>
      <w:tblPr>
        <w:tblStyle w:val="5"/>
        <w:tblW w:w="891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6"/>
        <w:gridCol w:w="8449"/>
      </w:tblGrid>
      <w:tr w14:paraId="55D37A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793" w:hRule="atLeast"/>
        </w:trPr>
        <w:tc>
          <w:tcPr>
            <w:tcW w:w="466" w:type="dxa"/>
            <w:tcBorders>
              <w:right w:val="single" w:color="000000" w:sz="2" w:space="0"/>
            </w:tcBorders>
            <w:vAlign w:val="top"/>
          </w:tcPr>
          <w:p w14:paraId="6D01A3B1">
            <w:pPr>
              <w:rPr>
                <w:rFonts w:ascii="Arial"/>
                <w:sz w:val="21"/>
              </w:rPr>
            </w:pPr>
          </w:p>
        </w:tc>
        <w:tc>
          <w:tcPr>
            <w:tcW w:w="8449" w:type="dxa"/>
            <w:tcBorders>
              <w:left w:val="single" w:color="000000" w:sz="2" w:space="0"/>
            </w:tcBorders>
            <w:vAlign w:val="top"/>
          </w:tcPr>
          <w:p w14:paraId="79A09DB9">
            <w:pPr>
              <w:spacing w:line="3398" w:lineRule="exact"/>
              <w:ind w:firstLine="579"/>
            </w:pPr>
            <w:r>
              <w:rPr>
                <w:position w:val="-67"/>
              </w:rPr>
              <w:drawing>
                <wp:inline distT="0" distB="0" distL="0" distR="0">
                  <wp:extent cx="4622165" cy="215773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80"/>
                          <a:stretch>
                            <a:fillRect/>
                          </a:stretch>
                        </pic:blipFill>
                        <pic:spPr>
                          <a:xfrm>
                            <a:off x="0" y="0"/>
                            <a:ext cx="4622291" cy="2158110"/>
                          </a:xfrm>
                          <a:prstGeom prst="rect">
                            <a:avLst/>
                          </a:prstGeom>
                        </pic:spPr>
                      </pic:pic>
                    </a:graphicData>
                  </a:graphic>
                </wp:inline>
              </w:drawing>
            </w:r>
          </w:p>
          <w:p w14:paraId="191B74EA">
            <w:pPr>
              <w:spacing w:before="157" w:line="221" w:lineRule="auto"/>
              <w:ind w:left="2311"/>
              <w:rPr>
                <w:rFonts w:ascii="黑体" w:hAnsi="黑体" w:eastAsia="黑体" w:cs="黑体"/>
                <w:sz w:val="24"/>
                <w:szCs w:val="24"/>
              </w:rPr>
            </w:pPr>
            <w:r>
              <w:rPr>
                <w:rFonts w:ascii="黑体" w:hAnsi="黑体" w:eastAsia="黑体" w:cs="黑体"/>
                <w:spacing w:val="-2"/>
                <w:sz w:val="24"/>
                <w:szCs w:val="24"/>
              </w:rPr>
              <w:t>图</w:t>
            </w:r>
            <w:r>
              <w:rPr>
                <w:rFonts w:ascii="黑体" w:hAnsi="黑体" w:eastAsia="黑体" w:cs="黑体"/>
                <w:spacing w:val="-48"/>
                <w:sz w:val="24"/>
                <w:szCs w:val="24"/>
              </w:rPr>
              <w:t xml:space="preserve"> </w:t>
            </w:r>
            <w:r>
              <w:rPr>
                <w:rFonts w:ascii="Times New Roman" w:hAnsi="Times New Roman" w:eastAsia="Times New Roman" w:cs="Times New Roman"/>
                <w:spacing w:val="-2"/>
                <w:sz w:val="24"/>
                <w:szCs w:val="24"/>
              </w:rPr>
              <w:t xml:space="preserve">2-3  </w:t>
            </w:r>
            <w:r>
              <w:rPr>
                <w:rFonts w:ascii="黑体" w:hAnsi="黑体" w:eastAsia="黑体" w:cs="黑体"/>
                <w:spacing w:val="-2"/>
                <w:sz w:val="24"/>
                <w:szCs w:val="24"/>
              </w:rPr>
              <w:t>临河联合站油处理工艺流程图</w:t>
            </w:r>
          </w:p>
          <w:p w14:paraId="1990A159">
            <w:pPr>
              <w:pStyle w:val="6"/>
              <w:spacing w:before="178" w:line="359" w:lineRule="auto"/>
              <w:ind w:left="122" w:right="102" w:firstLine="467"/>
            </w:pPr>
            <w:r>
              <w:rPr>
                <w:spacing w:val="2"/>
              </w:rPr>
              <w:t>此外，此次勘探井采出液成分与原油处理系统处理的采出液相同，可进入</w:t>
            </w:r>
            <w:r>
              <w:rPr>
                <w:spacing w:val="-2"/>
              </w:rPr>
              <w:t>临河联合站原油处理系统处理。</w:t>
            </w:r>
          </w:p>
          <w:p w14:paraId="0CAADA15">
            <w:pPr>
              <w:pStyle w:val="6"/>
              <w:spacing w:line="218" w:lineRule="auto"/>
              <w:ind w:left="584"/>
            </w:pPr>
            <w:r>
              <w:rPr>
                <w:rFonts w:ascii="Times New Roman" w:hAnsi="Times New Roman" w:eastAsia="Times New Roman" w:cs="Times New Roman"/>
                <w:spacing w:val="-1"/>
              </w:rPr>
              <w:t>2</w:t>
            </w:r>
            <w:r>
              <w:rPr>
                <w:rFonts w:ascii="Times New Roman" w:hAnsi="Times New Roman" w:eastAsia="Times New Roman" w:cs="Times New Roman"/>
                <w:spacing w:val="-34"/>
              </w:rPr>
              <w:t xml:space="preserve"> </w:t>
            </w:r>
            <w:r>
              <w:rPr>
                <w:spacing w:val="-1"/>
              </w:rPr>
              <w:t>、内蒙古众宁环保科技有限公司油气田废</w:t>
            </w:r>
            <w:r>
              <w:rPr>
                <w:spacing w:val="-2"/>
              </w:rPr>
              <w:t>弃物集中处理厂</w:t>
            </w:r>
          </w:p>
          <w:p w14:paraId="282795A3">
            <w:pPr>
              <w:pStyle w:val="6"/>
              <w:spacing w:before="183" w:line="359" w:lineRule="auto"/>
              <w:ind w:left="108" w:right="102" w:firstLine="484"/>
            </w:pPr>
            <w:r>
              <w:rPr>
                <w:spacing w:val="2"/>
              </w:rPr>
              <w:t>项目钻井过程产生的废弃泥浆、钻井岩屑收集至泥浆不落地循环系统</w:t>
            </w:r>
            <w:r>
              <w:rPr>
                <w:spacing w:val="1"/>
              </w:rPr>
              <w:t>装置</w:t>
            </w:r>
            <w:r>
              <w:rPr>
                <w:spacing w:val="2"/>
              </w:rPr>
              <w:t>旁的可移动废水罐临时贮存，定期拉运至内蒙古众宁环保科技有限公司油气田废弃物集中处理厂，经絮凝、压滤处理后，固相废弃泥浆、钻井岩屑（泥饼）</w:t>
            </w:r>
          </w:p>
          <w:p w14:paraId="638841B4">
            <w:pPr>
              <w:pStyle w:val="6"/>
              <w:spacing w:line="219" w:lineRule="auto"/>
              <w:ind w:left="108"/>
            </w:pPr>
            <w:r>
              <w:t>运至有资质的填埋场填埋，废水由密闭罐车</w:t>
            </w:r>
            <w:r>
              <w:rPr>
                <w:spacing w:val="-1"/>
              </w:rPr>
              <w:t>拉运至有资质单位处理。</w:t>
            </w:r>
          </w:p>
          <w:p w14:paraId="5C48E3E7">
            <w:pPr>
              <w:pStyle w:val="6"/>
              <w:spacing w:before="183" w:line="359" w:lineRule="auto"/>
              <w:ind w:left="110" w:right="3" w:firstLine="478"/>
              <w:jc w:val="both"/>
            </w:pPr>
            <w:r>
              <w:rPr>
                <w:spacing w:val="2"/>
              </w:rPr>
              <w:t>根据《内蒙古众宁环保科技有限公司油气田废弃物集中处理厂建设项目竣工环境保护验收检测报告表》及实际运行情况，压滤废水由罐车运输</w:t>
            </w:r>
            <w:r>
              <w:rPr>
                <w:spacing w:val="1"/>
              </w:rPr>
              <w:t>至内蒙古</w:t>
            </w:r>
            <w:r>
              <w:rPr>
                <w:spacing w:val="-2"/>
              </w:rPr>
              <w:t>正水威禾生物科技有限公司污水处理站处理，固相废弃泥浆、钻</w:t>
            </w:r>
            <w:r>
              <w:rPr>
                <w:spacing w:val="-3"/>
              </w:rPr>
              <w:t>井岩屑（泥饼）</w:t>
            </w:r>
            <w:r>
              <w:rPr>
                <w:spacing w:val="-1"/>
              </w:rPr>
              <w:t>拉运至乌海市科兆恒升环保建材有限责任公司填埋场填埋。</w:t>
            </w:r>
          </w:p>
          <w:p w14:paraId="2D7219ED">
            <w:pPr>
              <w:pStyle w:val="6"/>
              <w:spacing w:before="1" w:line="218" w:lineRule="auto"/>
              <w:ind w:left="600"/>
            </w:pPr>
            <w:r>
              <w:rPr>
                <w:spacing w:val="-3"/>
              </w:rPr>
              <w:t>（</w:t>
            </w:r>
            <w:r>
              <w:rPr>
                <w:rFonts w:ascii="Times New Roman" w:hAnsi="Times New Roman" w:eastAsia="Times New Roman" w:cs="Times New Roman"/>
                <w:spacing w:val="-3"/>
              </w:rPr>
              <w:t>1</w:t>
            </w:r>
            <w:r>
              <w:rPr>
                <w:spacing w:val="-3"/>
              </w:rPr>
              <w:t>）基本情况</w:t>
            </w:r>
          </w:p>
          <w:p w14:paraId="0D864B8C">
            <w:pPr>
              <w:pStyle w:val="6"/>
              <w:spacing w:before="184" w:line="359" w:lineRule="auto"/>
              <w:ind w:left="109" w:right="102" w:firstLine="475"/>
            </w:pPr>
            <w:r>
              <w:rPr>
                <w:rFonts w:ascii="Times New Roman" w:hAnsi="Times New Roman" w:eastAsia="Times New Roman" w:cs="Times New Roman"/>
                <w:spacing w:val="-2"/>
              </w:rPr>
              <w:t xml:space="preserve">2022 </w:t>
            </w:r>
            <w:r>
              <w:rPr>
                <w:spacing w:val="-2"/>
              </w:rPr>
              <w:t>年</w:t>
            </w:r>
            <w:r>
              <w:rPr>
                <w:spacing w:val="-50"/>
              </w:rPr>
              <w:t xml:space="preserve"> </w:t>
            </w:r>
            <w:r>
              <w:rPr>
                <w:rFonts w:ascii="Times New Roman" w:hAnsi="Times New Roman" w:eastAsia="Times New Roman" w:cs="Times New Roman"/>
                <w:spacing w:val="-2"/>
              </w:rPr>
              <w:t>3</w:t>
            </w:r>
            <w:r>
              <w:rPr>
                <w:rFonts w:ascii="Times New Roman" w:hAnsi="Times New Roman" w:eastAsia="Times New Roman" w:cs="Times New Roman"/>
                <w:spacing w:val="15"/>
                <w:w w:val="101"/>
              </w:rPr>
              <w:t xml:space="preserve"> </w:t>
            </w:r>
            <w:r>
              <w:rPr>
                <w:spacing w:val="-2"/>
              </w:rPr>
              <w:t>月</w:t>
            </w:r>
            <w:r>
              <w:rPr>
                <w:spacing w:val="-51"/>
              </w:rPr>
              <w:t xml:space="preserve"> </w:t>
            </w:r>
            <w:r>
              <w:rPr>
                <w:rFonts w:ascii="Times New Roman" w:hAnsi="Times New Roman" w:eastAsia="Times New Roman" w:cs="Times New Roman"/>
                <w:spacing w:val="-2"/>
              </w:rPr>
              <w:t xml:space="preserve">7  </w:t>
            </w:r>
            <w:r>
              <w:rPr>
                <w:spacing w:val="-2"/>
              </w:rPr>
              <w:t>日巴彦淖尔市生态环境局对内蒙古众</w:t>
            </w:r>
            <w:r>
              <w:rPr>
                <w:spacing w:val="-3"/>
              </w:rPr>
              <w:t>宁环保科技有限公司油</w:t>
            </w:r>
            <w:r>
              <w:rPr>
                <w:spacing w:val="2"/>
              </w:rPr>
              <w:t>气田废弃物集中处理厂项目批复，批复文号：巴环审〔</w:t>
            </w:r>
            <w:r>
              <w:rPr>
                <w:rFonts w:ascii="Times New Roman" w:hAnsi="Times New Roman" w:eastAsia="Times New Roman" w:cs="Times New Roman"/>
                <w:spacing w:val="2"/>
              </w:rPr>
              <w:t>2022</w:t>
            </w:r>
            <w:r>
              <w:rPr>
                <w:spacing w:val="2"/>
              </w:rPr>
              <w:t>〕</w:t>
            </w:r>
            <w:r>
              <w:rPr>
                <w:rFonts w:ascii="Times New Roman" w:hAnsi="Times New Roman" w:eastAsia="Times New Roman" w:cs="Times New Roman"/>
                <w:spacing w:val="2"/>
              </w:rPr>
              <w:t>9</w:t>
            </w:r>
            <w:r>
              <w:rPr>
                <w:rFonts w:ascii="Times New Roman" w:hAnsi="Times New Roman" w:eastAsia="Times New Roman" w:cs="Times New Roman"/>
                <w:spacing w:val="23"/>
              </w:rPr>
              <w:t xml:space="preserve"> </w:t>
            </w:r>
            <w:r>
              <w:rPr>
                <w:spacing w:val="2"/>
              </w:rPr>
              <w:t>号</w:t>
            </w:r>
            <w:r>
              <w:rPr>
                <w:spacing w:val="1"/>
              </w:rPr>
              <w:t>。</w:t>
            </w:r>
            <w:r>
              <w:rPr>
                <w:rFonts w:ascii="Times New Roman" w:hAnsi="Times New Roman" w:eastAsia="Times New Roman" w:cs="Times New Roman"/>
                <w:spacing w:val="1"/>
              </w:rPr>
              <w:t xml:space="preserve">2025 </w:t>
            </w:r>
            <w:r>
              <w:rPr>
                <w:spacing w:val="1"/>
              </w:rPr>
              <w:t>年</w:t>
            </w:r>
            <w:r>
              <w:rPr>
                <w:spacing w:val="-27"/>
              </w:rPr>
              <w:t xml:space="preserve"> </w:t>
            </w:r>
            <w:r>
              <w:rPr>
                <w:rFonts w:ascii="Times New Roman" w:hAnsi="Times New Roman" w:eastAsia="Times New Roman" w:cs="Times New Roman"/>
                <w:spacing w:val="1"/>
              </w:rPr>
              <w:t>1</w:t>
            </w:r>
            <w:r>
              <w:rPr>
                <w:spacing w:val="7"/>
              </w:rPr>
              <w:t>月通过了竣工环境保护自主验收。</w:t>
            </w:r>
            <w:r>
              <w:rPr>
                <w:spacing w:val="-45"/>
              </w:rPr>
              <w:t xml:space="preserve"> </w:t>
            </w:r>
            <w:r>
              <w:rPr>
                <w:spacing w:val="7"/>
              </w:rPr>
              <w:t>目前，企业已申领排污许可证，证书编号</w:t>
            </w:r>
            <w:r>
              <w:rPr>
                <w:rFonts w:ascii="Times New Roman" w:hAnsi="Times New Roman" w:eastAsia="Times New Roman" w:cs="Times New Roman"/>
                <w:spacing w:val="-1"/>
              </w:rPr>
              <w:t>91150802MA13T8TJIJ001V</w:t>
            </w:r>
            <w:r>
              <w:rPr>
                <w:rFonts w:ascii="Times New Roman" w:hAnsi="Times New Roman" w:eastAsia="Times New Roman" w:cs="Times New Roman"/>
                <w:spacing w:val="-30"/>
              </w:rPr>
              <w:t xml:space="preserve"> </w:t>
            </w:r>
            <w:r>
              <w:rPr>
                <w:spacing w:val="-1"/>
              </w:rPr>
              <w:t>。项目批复、验收意见</w:t>
            </w:r>
            <w:r>
              <w:rPr>
                <w:spacing w:val="-2"/>
              </w:rPr>
              <w:t>及排污许可证见附件。</w:t>
            </w:r>
          </w:p>
          <w:p w14:paraId="79F017F6">
            <w:pPr>
              <w:pStyle w:val="6"/>
              <w:spacing w:before="3" w:line="352" w:lineRule="auto"/>
              <w:ind w:left="109" w:right="102" w:firstLine="508"/>
              <w:jc w:val="both"/>
            </w:pPr>
            <w:r>
              <w:rPr>
                <w:spacing w:val="1"/>
              </w:rPr>
              <w:t>内蒙古众宁环保科技有限公司油气田废弃物集中处理厂位于巴彦淖尔经济</w:t>
            </w:r>
            <w:r>
              <w:rPr>
                <w:spacing w:val="2"/>
              </w:rPr>
              <w:t>技术开发区建材东路，为中国石油华北油田公司在兴隆勘探区的配套工</w:t>
            </w:r>
            <w:r>
              <w:rPr>
                <w:spacing w:val="1"/>
              </w:rPr>
              <w:t>程，主</w:t>
            </w:r>
            <w:r>
              <w:rPr>
                <w:spacing w:val="-4"/>
              </w:rPr>
              <w:t>要处理中国石油华北油田在巴彦淖尔钻井产生的废弃水基泥浆，规模为年处理</w:t>
            </w:r>
            <w:r>
              <w:rPr>
                <w:spacing w:val="-35"/>
              </w:rPr>
              <w:t xml:space="preserve"> </w:t>
            </w:r>
            <w:r>
              <w:rPr>
                <w:rFonts w:ascii="Times New Roman" w:hAnsi="Times New Roman" w:eastAsia="Times New Roman" w:cs="Times New Roman"/>
                <w:spacing w:val="-4"/>
              </w:rPr>
              <w:t>6</w:t>
            </w:r>
            <w:r>
              <w:rPr>
                <w:spacing w:val="-3"/>
              </w:rPr>
              <w:t>万吨泥浆，处理工艺为“絮凝</w:t>
            </w:r>
            <w:r>
              <w:rPr>
                <w:rFonts w:ascii="Times New Roman" w:hAnsi="Times New Roman" w:eastAsia="Times New Roman" w:cs="Times New Roman"/>
                <w:spacing w:val="-3"/>
              </w:rPr>
              <w:t>+</w:t>
            </w:r>
            <w:r>
              <w:rPr>
                <w:spacing w:val="-3"/>
              </w:rPr>
              <w:t>压滤</w:t>
            </w:r>
            <w:r>
              <w:rPr>
                <w:spacing w:val="-85"/>
              </w:rPr>
              <w:t xml:space="preserve"> </w:t>
            </w:r>
            <w:r>
              <w:rPr>
                <w:spacing w:val="-3"/>
              </w:rPr>
              <w:t>”，采用高效压滤设备。项目距离内蒙古众</w:t>
            </w:r>
            <w:r>
              <w:rPr>
                <w:spacing w:val="-1"/>
              </w:rPr>
              <w:t>宁环保科技有限公司油气田废弃物集中处理厂东北约</w:t>
            </w:r>
            <w:r>
              <w:rPr>
                <w:spacing w:val="-44"/>
              </w:rPr>
              <w:t xml:space="preserve"> </w:t>
            </w:r>
            <w:r>
              <w:rPr>
                <w:rFonts w:ascii="Times New Roman" w:hAnsi="Times New Roman" w:eastAsia="Times New Roman" w:cs="Times New Roman"/>
                <w:spacing w:val="-1"/>
              </w:rPr>
              <w:t>56km</w:t>
            </w:r>
            <w:r>
              <w:rPr>
                <w:spacing w:val="-1"/>
              </w:rPr>
              <w:t>。</w:t>
            </w:r>
          </w:p>
        </w:tc>
      </w:tr>
    </w:tbl>
    <w:p w14:paraId="15581B32">
      <w:pPr>
        <w:spacing w:line="176" w:lineRule="exact"/>
        <w:rPr>
          <w:rFonts w:ascii="Arial"/>
          <w:sz w:val="15"/>
        </w:rPr>
      </w:pPr>
    </w:p>
    <w:p w14:paraId="10B8C11F">
      <w:pPr>
        <w:spacing w:line="176" w:lineRule="exact"/>
        <w:rPr>
          <w:rFonts w:ascii="Arial" w:hAnsi="Arial" w:eastAsia="Arial" w:cs="Arial"/>
          <w:sz w:val="15"/>
          <w:szCs w:val="15"/>
        </w:rPr>
        <w:sectPr>
          <w:footerReference r:id="rId41" w:type="default"/>
          <w:pgSz w:w="11906" w:h="16839"/>
          <w:pgMar w:top="400" w:right="1403" w:bottom="1240" w:left="1572" w:header="0" w:footer="1078" w:gutter="0"/>
          <w:cols w:space="720" w:num="1"/>
        </w:sectPr>
      </w:pPr>
    </w:p>
    <w:p w14:paraId="4D9FCA2A">
      <w:pPr>
        <w:spacing w:before="56"/>
      </w:pPr>
    </w:p>
    <w:p w14:paraId="61FE7B65">
      <w:pPr>
        <w:spacing w:before="56"/>
      </w:pPr>
    </w:p>
    <w:p w14:paraId="7847C965">
      <w:pPr>
        <w:spacing w:before="55"/>
      </w:pPr>
    </w:p>
    <w:p w14:paraId="6E55B04F">
      <w:pPr>
        <w:spacing w:before="55"/>
      </w:pPr>
    </w:p>
    <w:tbl>
      <w:tblPr>
        <w:tblStyle w:val="5"/>
        <w:tblW w:w="891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6"/>
        <w:gridCol w:w="8449"/>
      </w:tblGrid>
      <w:tr w14:paraId="31C13E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95" w:hRule="atLeast"/>
        </w:trPr>
        <w:tc>
          <w:tcPr>
            <w:tcW w:w="466" w:type="dxa"/>
            <w:tcBorders>
              <w:right w:val="single" w:color="000000" w:sz="2" w:space="0"/>
            </w:tcBorders>
            <w:vAlign w:val="top"/>
          </w:tcPr>
          <w:p w14:paraId="01756705">
            <w:pPr>
              <w:rPr>
                <w:rFonts w:ascii="Arial"/>
                <w:sz w:val="21"/>
              </w:rPr>
            </w:pPr>
          </w:p>
        </w:tc>
        <w:tc>
          <w:tcPr>
            <w:tcW w:w="8449" w:type="dxa"/>
            <w:tcBorders>
              <w:left w:val="single" w:color="000000" w:sz="2" w:space="0"/>
            </w:tcBorders>
            <w:vAlign w:val="top"/>
          </w:tcPr>
          <w:p w14:paraId="2F4F4AA3">
            <w:pPr>
              <w:pStyle w:val="6"/>
              <w:spacing w:before="30" w:line="220" w:lineRule="auto"/>
              <w:ind w:left="600"/>
            </w:pPr>
            <w:r>
              <w:rPr>
                <w:spacing w:val="-3"/>
              </w:rPr>
              <w:t>（</w:t>
            </w:r>
            <w:r>
              <w:rPr>
                <w:rFonts w:ascii="Times New Roman" w:hAnsi="Times New Roman" w:eastAsia="Times New Roman" w:cs="Times New Roman"/>
                <w:spacing w:val="-3"/>
              </w:rPr>
              <w:t>2</w:t>
            </w:r>
            <w:r>
              <w:rPr>
                <w:spacing w:val="-3"/>
              </w:rPr>
              <w:t>）工艺流程</w:t>
            </w:r>
          </w:p>
          <w:p w14:paraId="46C156FA">
            <w:pPr>
              <w:pStyle w:val="6"/>
              <w:spacing w:before="178" w:line="354" w:lineRule="auto"/>
              <w:ind w:left="108" w:right="102" w:firstLine="481"/>
            </w:pPr>
            <w:r>
              <w:rPr>
                <w:spacing w:val="2"/>
              </w:rPr>
              <w:t>泥浆不落地集中处理系统对钻井过程中产生的废弃泥浆、钻井岩屑进</w:t>
            </w:r>
            <w:r>
              <w:rPr>
                <w:spacing w:val="1"/>
              </w:rPr>
              <w:t>行处</w:t>
            </w:r>
            <w:r>
              <w:rPr>
                <w:spacing w:val="2"/>
              </w:rPr>
              <w:t>理，这部分废弃物经过滤、稀释、絮凝、压滤等工艺，分离成固相和液相</w:t>
            </w:r>
            <w:r>
              <w:rPr>
                <w:spacing w:val="1"/>
              </w:rPr>
              <w:t>两部</w:t>
            </w:r>
            <w:r>
              <w:rPr>
                <w:spacing w:val="2"/>
              </w:rPr>
              <w:t>分。泥浆不落地集中处理系统为终端处理，钻井现场不需修建泥浆池，既</w:t>
            </w:r>
            <w:r>
              <w:rPr>
                <w:spacing w:val="1"/>
              </w:rPr>
              <w:t>有效</w:t>
            </w:r>
            <w:r>
              <w:rPr>
                <w:spacing w:val="2"/>
              </w:rPr>
              <w:t>减小了钻井废物的环境污染隐患，也减少了钻前施工及占地成本。工艺流</w:t>
            </w:r>
            <w:r>
              <w:rPr>
                <w:spacing w:val="1"/>
              </w:rPr>
              <w:t>程如</w:t>
            </w:r>
            <w:r>
              <w:rPr>
                <w:spacing w:val="-5"/>
              </w:rPr>
              <w:t>下：</w:t>
            </w:r>
          </w:p>
          <w:p w14:paraId="1A70FDF8">
            <w:pPr>
              <w:spacing w:line="3288" w:lineRule="exact"/>
              <w:ind w:firstLine="663"/>
            </w:pPr>
            <w:r>
              <w:rPr>
                <w:position w:val="-65"/>
              </w:rPr>
              <w:drawing>
                <wp:inline distT="0" distB="0" distL="0" distR="0">
                  <wp:extent cx="4512310" cy="208788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81"/>
                          <a:stretch>
                            <a:fillRect/>
                          </a:stretch>
                        </pic:blipFill>
                        <pic:spPr>
                          <a:xfrm>
                            <a:off x="0" y="0"/>
                            <a:ext cx="4512563" cy="2087880"/>
                          </a:xfrm>
                          <a:prstGeom prst="rect">
                            <a:avLst/>
                          </a:prstGeom>
                        </pic:spPr>
                      </pic:pic>
                    </a:graphicData>
                  </a:graphic>
                </wp:inline>
              </w:drawing>
            </w:r>
          </w:p>
          <w:p w14:paraId="3587B17D">
            <w:pPr>
              <w:pStyle w:val="6"/>
              <w:spacing w:before="174" w:line="359" w:lineRule="auto"/>
              <w:ind w:left="600" w:right="1722" w:firstLine="1620"/>
            </w:pPr>
            <w:r>
              <w:rPr>
                <w:rFonts w:ascii="黑体" w:hAnsi="黑体" w:eastAsia="黑体" w:cs="黑体"/>
                <w:spacing w:val="-2"/>
              </w:rPr>
              <w:t>图</w:t>
            </w:r>
            <w:r>
              <w:rPr>
                <w:rFonts w:ascii="Times New Roman" w:hAnsi="Times New Roman" w:eastAsia="Times New Roman" w:cs="Times New Roman"/>
                <w:spacing w:val="-2"/>
              </w:rPr>
              <w:t xml:space="preserve">2-4  </w:t>
            </w:r>
            <w:r>
              <w:rPr>
                <w:rFonts w:ascii="黑体" w:hAnsi="黑体" w:eastAsia="黑体" w:cs="黑体"/>
                <w:spacing w:val="-2"/>
              </w:rPr>
              <w:t>众宁废弃泥浆岩屑处理系系统流程图</w:t>
            </w:r>
            <w:r>
              <w:rPr>
                <w:spacing w:val="-3"/>
              </w:rPr>
              <w:t>（</w:t>
            </w:r>
            <w:r>
              <w:rPr>
                <w:rFonts w:ascii="Times New Roman" w:hAnsi="Times New Roman" w:eastAsia="Times New Roman" w:cs="Times New Roman"/>
                <w:spacing w:val="-3"/>
              </w:rPr>
              <w:t>3</w:t>
            </w:r>
            <w:r>
              <w:rPr>
                <w:spacing w:val="-3"/>
              </w:rPr>
              <w:t>）依托分析</w:t>
            </w:r>
          </w:p>
          <w:p w14:paraId="5BB70CAB">
            <w:pPr>
              <w:pStyle w:val="6"/>
              <w:spacing w:before="4" w:line="356" w:lineRule="auto"/>
              <w:ind w:left="108" w:right="102" w:firstLine="509"/>
              <w:jc w:val="both"/>
            </w:pPr>
            <w:r>
              <w:t>内蒙古众宁环保科技有限公司油气田废弃物集中处理厂建有</w:t>
            </w:r>
            <w:r>
              <w:rPr>
                <w:spacing w:val="-26"/>
              </w:rPr>
              <w:t xml:space="preserve"> </w:t>
            </w:r>
            <w:r>
              <w:rPr>
                <w:rFonts w:ascii="Times New Roman" w:hAnsi="Times New Roman" w:eastAsia="Times New Roman" w:cs="Times New Roman"/>
              </w:rPr>
              <w:t xml:space="preserve">1 </w:t>
            </w:r>
            <w:r>
              <w:t>座泥浆储存</w:t>
            </w:r>
            <w:r>
              <w:rPr>
                <w:spacing w:val="-2"/>
              </w:rPr>
              <w:t>池，容积</w:t>
            </w:r>
            <w:r>
              <w:rPr>
                <w:spacing w:val="-55"/>
              </w:rPr>
              <w:t xml:space="preserve"> </w:t>
            </w:r>
            <w:r>
              <w:rPr>
                <w:rFonts w:ascii="Times New Roman" w:hAnsi="Times New Roman" w:eastAsia="Times New Roman" w:cs="Times New Roman"/>
                <w:spacing w:val="-2"/>
              </w:rPr>
              <w:t>2400m</w:t>
            </w:r>
            <w:r>
              <w:rPr>
                <w:rFonts w:ascii="Times New Roman" w:hAnsi="Times New Roman" w:eastAsia="Times New Roman" w:cs="Times New Roman"/>
                <w:spacing w:val="-2"/>
                <w:position w:val="8"/>
                <w:sz w:val="15"/>
                <w:szCs w:val="15"/>
              </w:rPr>
              <w:t>3</w:t>
            </w:r>
            <w:r>
              <w:rPr>
                <w:spacing w:val="-2"/>
              </w:rPr>
              <w:t>（</w:t>
            </w:r>
            <w:r>
              <w:rPr>
                <w:rFonts w:ascii="Times New Roman" w:hAnsi="Times New Roman" w:eastAsia="Times New Roman" w:cs="Times New Roman"/>
                <w:spacing w:val="-2"/>
              </w:rPr>
              <w:t>50×12×4m</w:t>
            </w:r>
            <w:r>
              <w:rPr>
                <w:spacing w:val="27"/>
              </w:rPr>
              <w:t>），</w:t>
            </w:r>
            <w:r>
              <w:rPr>
                <w:spacing w:val="-2"/>
              </w:rPr>
              <w:t>中间设有隔断，分为</w:t>
            </w:r>
            <w:r>
              <w:rPr>
                <w:spacing w:val="-30"/>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31"/>
              </w:rPr>
              <w:t xml:space="preserve"> </w:t>
            </w:r>
            <w:r>
              <w:rPr>
                <w:spacing w:val="-2"/>
              </w:rPr>
              <w:t>、</w:t>
            </w:r>
            <w:r>
              <w:rPr>
                <w:rFonts w:ascii="Times New Roman" w:hAnsi="Times New Roman" w:eastAsia="Times New Roman" w:cs="Times New Roman"/>
                <w:spacing w:val="-2"/>
              </w:rPr>
              <w:t>2#</w:t>
            </w:r>
            <w:r>
              <w:rPr>
                <w:rFonts w:ascii="Times New Roman" w:hAnsi="Times New Roman" w:eastAsia="Times New Roman" w:cs="Times New Roman"/>
                <w:spacing w:val="-29"/>
              </w:rPr>
              <w:t xml:space="preserve"> </w:t>
            </w:r>
            <w:r>
              <w:rPr>
                <w:spacing w:val="-2"/>
              </w:rPr>
              <w:t>、</w:t>
            </w:r>
            <w:r>
              <w:rPr>
                <w:rFonts w:ascii="Times New Roman" w:hAnsi="Times New Roman" w:eastAsia="Times New Roman" w:cs="Times New Roman"/>
                <w:spacing w:val="-2"/>
              </w:rPr>
              <w:t>3#</w:t>
            </w:r>
            <w:r>
              <w:rPr>
                <w:spacing w:val="-2"/>
              </w:rPr>
              <w:t>存储池；压</w:t>
            </w:r>
            <w:r>
              <w:rPr>
                <w:spacing w:val="1"/>
              </w:rPr>
              <w:t>滤装置区内设置</w:t>
            </w:r>
            <w:r>
              <w:rPr>
                <w:spacing w:val="-55"/>
              </w:rPr>
              <w:t xml:space="preserve"> </w:t>
            </w:r>
            <w:r>
              <w:rPr>
                <w:rFonts w:ascii="Times New Roman" w:hAnsi="Times New Roman" w:eastAsia="Times New Roman" w:cs="Times New Roman"/>
                <w:spacing w:val="1"/>
              </w:rPr>
              <w:t xml:space="preserve">2 </w:t>
            </w:r>
            <w:r>
              <w:rPr>
                <w:spacing w:val="1"/>
              </w:rPr>
              <w:t>条泥浆压滤处理线，共布设</w:t>
            </w:r>
            <w:r>
              <w:rPr>
                <w:spacing w:val="-54"/>
              </w:rPr>
              <w:t xml:space="preserve"> </w:t>
            </w:r>
            <w:r>
              <w:rPr>
                <w:rFonts w:ascii="Times New Roman" w:hAnsi="Times New Roman" w:eastAsia="Times New Roman" w:cs="Times New Roman"/>
                <w:spacing w:val="1"/>
              </w:rPr>
              <w:t>4</w:t>
            </w:r>
            <w:r>
              <w:rPr>
                <w:rFonts w:ascii="Times New Roman" w:hAnsi="Times New Roman" w:eastAsia="Times New Roman" w:cs="Times New Roman"/>
                <w:spacing w:val="31"/>
              </w:rPr>
              <w:t xml:space="preserve"> </w:t>
            </w:r>
            <w:r>
              <w:rPr>
                <w:spacing w:val="1"/>
              </w:rPr>
              <w:t>台高</w:t>
            </w:r>
            <w:r>
              <w:t>压隔膜压滤机，用于泥浆</w:t>
            </w:r>
            <w:r>
              <w:rPr>
                <w:spacing w:val="1"/>
              </w:rPr>
              <w:t>的压滤。压滤废水由水泵打入钢制水箱（</w:t>
            </w:r>
            <w:r>
              <w:rPr>
                <w:rFonts w:ascii="Times New Roman" w:hAnsi="Times New Roman" w:eastAsia="Times New Roman" w:cs="Times New Roman"/>
                <w:spacing w:val="1"/>
              </w:rPr>
              <w:t>5×21.6m</w:t>
            </w:r>
            <w:r>
              <w:rPr>
                <w:rFonts w:ascii="Times New Roman" w:hAnsi="Times New Roman" w:eastAsia="Times New Roman" w:cs="Times New Roman"/>
                <w:spacing w:val="1"/>
                <w:position w:val="1"/>
                <w:sz w:val="15"/>
                <w:szCs w:val="15"/>
              </w:rPr>
              <w:t xml:space="preserve">3 </w:t>
            </w:r>
            <w:r>
              <w:rPr>
                <w:spacing w:val="1"/>
                <w:position w:val="1"/>
              </w:rPr>
              <w:t>）</w:t>
            </w:r>
            <w:r>
              <w:rPr>
                <w:spacing w:val="1"/>
              </w:rPr>
              <w:t>暂存，由罐车运输至污水</w:t>
            </w:r>
            <w:r>
              <w:rPr>
                <w:spacing w:val="6"/>
              </w:rPr>
              <w:t>处理站进行处理；泥饼经皮带输送至全封闭综合车间泥饼堆放区（</w:t>
            </w:r>
            <w:r>
              <w:rPr>
                <w:spacing w:val="-12"/>
              </w:rPr>
              <w:t xml:space="preserve"> </w:t>
            </w:r>
            <w:r>
              <w:rPr>
                <w:spacing w:val="6"/>
              </w:rPr>
              <w:t>占地面积</w:t>
            </w:r>
            <w:r>
              <w:rPr>
                <w:rFonts w:ascii="Times New Roman" w:hAnsi="Times New Roman" w:eastAsia="Times New Roman" w:cs="Times New Roman"/>
                <w:spacing w:val="-1"/>
              </w:rPr>
              <w:t>3500m</w:t>
            </w:r>
            <w:r>
              <w:rPr>
                <w:rFonts w:ascii="Times New Roman" w:hAnsi="Times New Roman" w:eastAsia="Times New Roman" w:cs="Times New Roman"/>
                <w:spacing w:val="-1"/>
                <w:position w:val="1"/>
                <w:sz w:val="15"/>
                <w:szCs w:val="15"/>
              </w:rPr>
              <w:t>2</w:t>
            </w:r>
            <w:r>
              <w:rPr>
                <w:spacing w:val="-1"/>
                <w:position w:val="1"/>
              </w:rPr>
              <w:t>）</w:t>
            </w:r>
            <w:r>
              <w:rPr>
                <w:spacing w:val="-1"/>
              </w:rPr>
              <w:t>暂存，定期拉运至填埋场填埋。</w:t>
            </w:r>
          </w:p>
          <w:p w14:paraId="0FC84D33">
            <w:pPr>
              <w:pStyle w:val="6"/>
              <w:spacing w:line="355" w:lineRule="auto"/>
              <w:ind w:left="109" w:right="41" w:firstLine="508"/>
              <w:jc w:val="both"/>
            </w:pPr>
            <w:r>
              <w:rPr>
                <w:spacing w:val="-2"/>
              </w:rPr>
              <w:t>内蒙古众宁环保科技有限公司油气田废弃物集中处理厂处理规模为</w:t>
            </w:r>
            <w:r>
              <w:rPr>
                <w:spacing w:val="-41"/>
              </w:rPr>
              <w:t xml:space="preserve"> </w:t>
            </w:r>
            <w:r>
              <w:rPr>
                <w:rFonts w:ascii="Times New Roman" w:hAnsi="Times New Roman" w:eastAsia="Times New Roman" w:cs="Times New Roman"/>
                <w:spacing w:val="-2"/>
              </w:rPr>
              <w:t>6</w:t>
            </w:r>
            <w:r>
              <w:rPr>
                <w:rFonts w:ascii="Times New Roman" w:hAnsi="Times New Roman" w:eastAsia="Times New Roman" w:cs="Times New Roman"/>
                <w:spacing w:val="17"/>
                <w:w w:val="101"/>
              </w:rPr>
              <w:t xml:space="preserve"> </w:t>
            </w:r>
            <w:r>
              <w:rPr>
                <w:spacing w:val="-2"/>
              </w:rPr>
              <w:t>万吨</w:t>
            </w:r>
            <w:r>
              <w:rPr>
                <w:rFonts w:ascii="Times New Roman" w:hAnsi="Times New Roman" w:eastAsia="Times New Roman" w:cs="Times New Roman"/>
                <w:spacing w:val="-2"/>
              </w:rPr>
              <w:t>/</w:t>
            </w:r>
            <w:r>
              <w:rPr>
                <w:spacing w:val="2"/>
              </w:rPr>
              <w:t>年（</w:t>
            </w:r>
            <w:r>
              <w:rPr>
                <w:rFonts w:ascii="Times New Roman" w:hAnsi="Times New Roman" w:eastAsia="Times New Roman" w:cs="Times New Roman"/>
                <w:spacing w:val="2"/>
              </w:rPr>
              <w:t>250t/d</w:t>
            </w:r>
            <w:r>
              <w:rPr>
                <w:spacing w:val="2"/>
              </w:rPr>
              <w:t>）。项目钻井期为</w:t>
            </w:r>
            <w:r>
              <w:rPr>
                <w:spacing w:val="-42"/>
              </w:rPr>
              <w:t xml:space="preserve"> </w:t>
            </w:r>
            <w:r>
              <w:rPr>
                <w:rFonts w:ascii="Times New Roman" w:hAnsi="Times New Roman" w:eastAsia="Times New Roman" w:cs="Times New Roman"/>
                <w:spacing w:val="2"/>
              </w:rPr>
              <w:t>65</w:t>
            </w:r>
            <w:r>
              <w:rPr>
                <w:rFonts w:ascii="Times New Roman" w:hAnsi="Times New Roman" w:eastAsia="Times New Roman" w:cs="Times New Roman"/>
                <w:spacing w:val="21"/>
                <w:w w:val="101"/>
              </w:rPr>
              <w:t xml:space="preserve"> </w:t>
            </w:r>
            <w:r>
              <w:rPr>
                <w:spacing w:val="2"/>
              </w:rPr>
              <w:t>天，废弃泥浆、钻井岩屑产生量为</w:t>
            </w:r>
            <w:r>
              <w:rPr>
                <w:spacing w:val="-27"/>
              </w:rPr>
              <w:t xml:space="preserve"> </w:t>
            </w:r>
            <w:r>
              <w:rPr>
                <w:rFonts w:ascii="Times New Roman" w:hAnsi="Times New Roman" w:eastAsia="Times New Roman" w:cs="Times New Roman"/>
                <w:spacing w:val="2"/>
              </w:rPr>
              <w:t>1546</w:t>
            </w:r>
            <w:r>
              <w:rPr>
                <w:rFonts w:ascii="Times New Roman" w:hAnsi="Times New Roman" w:eastAsia="Times New Roman" w:cs="Times New Roman"/>
                <w:spacing w:val="1"/>
              </w:rPr>
              <w:t>.76m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position w:val="8"/>
                <w:sz w:val="15"/>
                <w:szCs w:val="15"/>
              </w:rPr>
              <w:t xml:space="preserve"> </w:t>
            </w:r>
            <w:r>
              <w:rPr>
                <w:spacing w:val="-7"/>
              </w:rPr>
              <w:t>（</w:t>
            </w:r>
            <w:r>
              <w:rPr>
                <w:rFonts w:ascii="Times New Roman" w:hAnsi="Times New Roman" w:eastAsia="Times New Roman" w:cs="Times New Roman"/>
                <w:spacing w:val="-7"/>
              </w:rPr>
              <w:t>23.8m</w:t>
            </w:r>
            <w:r>
              <w:rPr>
                <w:rFonts w:ascii="Times New Roman" w:hAnsi="Times New Roman" w:eastAsia="Times New Roman" w:cs="Times New Roman"/>
                <w:spacing w:val="-7"/>
                <w:position w:val="8"/>
                <w:sz w:val="15"/>
                <w:szCs w:val="15"/>
              </w:rPr>
              <w:t>3</w:t>
            </w:r>
            <w:r>
              <w:rPr>
                <w:rFonts w:ascii="Times New Roman" w:hAnsi="Times New Roman" w:eastAsia="Times New Roman" w:cs="Times New Roman"/>
                <w:spacing w:val="-7"/>
              </w:rPr>
              <w:t>/d</w:t>
            </w:r>
            <w:r>
              <w:rPr>
                <w:spacing w:val="-44"/>
                <w:w w:val="70"/>
              </w:rPr>
              <w:t>），</w:t>
            </w:r>
            <w:r>
              <w:rPr>
                <w:spacing w:val="-7"/>
              </w:rPr>
              <w:t>密度按</w:t>
            </w:r>
            <w:r>
              <w:rPr>
                <w:spacing w:val="-49"/>
              </w:rPr>
              <w:t xml:space="preserve"> </w:t>
            </w:r>
            <w:r>
              <w:rPr>
                <w:rFonts w:ascii="Times New Roman" w:hAnsi="Times New Roman" w:eastAsia="Times New Roman" w:cs="Times New Roman"/>
                <w:spacing w:val="-7"/>
              </w:rPr>
              <w:t>1.5t/m</w:t>
            </w:r>
            <w:r>
              <w:rPr>
                <w:rFonts w:ascii="Times New Roman" w:hAnsi="Times New Roman" w:eastAsia="Times New Roman" w:cs="Times New Roman"/>
                <w:spacing w:val="-7"/>
                <w:position w:val="8"/>
                <w:sz w:val="15"/>
                <w:szCs w:val="15"/>
              </w:rPr>
              <w:t xml:space="preserve">3 </w:t>
            </w:r>
            <w:r>
              <w:rPr>
                <w:spacing w:val="-7"/>
              </w:rPr>
              <w:t>计算，则</w:t>
            </w:r>
            <w:r>
              <w:rPr>
                <w:spacing w:val="-8"/>
              </w:rPr>
              <w:t>含水废弃泥浆、钻井岩屑日产生量为</w:t>
            </w:r>
            <w:r>
              <w:rPr>
                <w:spacing w:val="-67"/>
              </w:rPr>
              <w:t xml:space="preserve"> </w:t>
            </w:r>
            <w:r>
              <w:rPr>
                <w:rFonts w:ascii="Times New Roman" w:hAnsi="Times New Roman" w:eastAsia="Times New Roman" w:cs="Times New Roman"/>
                <w:spacing w:val="-8"/>
              </w:rPr>
              <w:t>35.7t/d</w:t>
            </w:r>
            <w:r>
              <w:rPr>
                <w:spacing w:val="-8"/>
              </w:rPr>
              <w:t>，</w:t>
            </w:r>
            <w:r>
              <w:rPr>
                <w:spacing w:val="2"/>
              </w:rPr>
              <w:t>日产日清，废弃泥浆、钻井岩屑日输送量占油气田废弃物集中处理厂日</w:t>
            </w:r>
            <w:r>
              <w:rPr>
                <w:spacing w:val="1"/>
              </w:rPr>
              <w:t>处理量</w:t>
            </w:r>
            <w:r>
              <w:rPr>
                <w:spacing w:val="-3"/>
              </w:rPr>
              <w:t>的</w:t>
            </w:r>
            <w:r>
              <w:rPr>
                <w:spacing w:val="-32"/>
              </w:rPr>
              <w:t xml:space="preserve"> </w:t>
            </w:r>
            <w:r>
              <w:rPr>
                <w:rFonts w:ascii="Times New Roman" w:hAnsi="Times New Roman" w:eastAsia="Times New Roman" w:cs="Times New Roman"/>
                <w:spacing w:val="-3"/>
              </w:rPr>
              <w:t>14.28%</w:t>
            </w:r>
            <w:r>
              <w:rPr>
                <w:rFonts w:ascii="Times New Roman" w:hAnsi="Times New Roman" w:eastAsia="Times New Roman" w:cs="Times New Roman"/>
                <w:spacing w:val="-30"/>
              </w:rPr>
              <w:t xml:space="preserve"> </w:t>
            </w:r>
            <w:r>
              <w:rPr>
                <w:spacing w:val="-3"/>
              </w:rPr>
              <w:t>。</w:t>
            </w:r>
            <w:r>
              <w:rPr>
                <w:spacing w:val="-65"/>
              </w:rPr>
              <w:t xml:space="preserve"> </w:t>
            </w:r>
            <w:r>
              <w:rPr>
                <w:spacing w:val="-3"/>
              </w:rPr>
              <w:t>目前巴彦勘探开发分公司部</w:t>
            </w:r>
            <w:r>
              <w:rPr>
                <w:spacing w:val="-4"/>
              </w:rPr>
              <w:t>署的探井分批次建设，同批次开工建设的探井约为</w:t>
            </w:r>
            <w:r>
              <w:rPr>
                <w:spacing w:val="-48"/>
              </w:rPr>
              <w:t xml:space="preserve"> </w:t>
            </w:r>
            <w:r>
              <w:rPr>
                <w:rFonts w:ascii="Times New Roman" w:hAnsi="Times New Roman" w:eastAsia="Times New Roman" w:cs="Times New Roman"/>
                <w:spacing w:val="-4"/>
              </w:rPr>
              <w:t>5~</w:t>
            </w:r>
            <w:r>
              <w:rPr>
                <w:rFonts w:ascii="Times New Roman" w:hAnsi="Times New Roman" w:eastAsia="Times New Roman" w:cs="Times New Roman"/>
                <w:spacing w:val="-32"/>
              </w:rPr>
              <w:t xml:space="preserve"> </w:t>
            </w:r>
            <w:r>
              <w:rPr>
                <w:rFonts w:ascii="Times New Roman" w:hAnsi="Times New Roman" w:eastAsia="Times New Roman" w:cs="Times New Roman"/>
                <w:spacing w:val="-4"/>
              </w:rPr>
              <w:t>10</w:t>
            </w:r>
            <w:r>
              <w:rPr>
                <w:rFonts w:ascii="Times New Roman" w:hAnsi="Times New Roman" w:eastAsia="Times New Roman" w:cs="Times New Roman"/>
                <w:spacing w:val="43"/>
                <w:w w:val="101"/>
              </w:rPr>
              <w:t xml:space="preserve"> </w:t>
            </w:r>
            <w:r>
              <w:rPr>
                <w:spacing w:val="-4"/>
              </w:rPr>
              <w:t>口，每口井井深不同，施工进度不同，因此根据各个</w:t>
            </w:r>
            <w:r>
              <w:rPr>
                <w:spacing w:val="-5"/>
              </w:rPr>
              <w:t>井场废弃</w:t>
            </w:r>
            <w:r>
              <w:rPr>
                <w:spacing w:val="2"/>
              </w:rPr>
              <w:t>泥浆、钻井岩屑产生情况，具体调度安排拉运工作，同时油气田废弃物</w:t>
            </w:r>
            <w:r>
              <w:rPr>
                <w:spacing w:val="1"/>
              </w:rPr>
              <w:t>集中处</w:t>
            </w:r>
            <w:r>
              <w:rPr>
                <w:spacing w:val="-2"/>
              </w:rPr>
              <w:t>理厂有一座</w:t>
            </w:r>
            <w:r>
              <w:rPr>
                <w:spacing w:val="-51"/>
              </w:rPr>
              <w:t xml:space="preserve"> </w:t>
            </w:r>
            <w:r>
              <w:rPr>
                <w:rFonts w:ascii="Times New Roman" w:hAnsi="Times New Roman" w:eastAsia="Times New Roman" w:cs="Times New Roman"/>
                <w:spacing w:val="-2"/>
              </w:rPr>
              <w:t>2400m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11"/>
                <w:position w:val="8"/>
                <w:sz w:val="15"/>
                <w:szCs w:val="15"/>
              </w:rPr>
              <w:t xml:space="preserve"> </w:t>
            </w:r>
            <w:r>
              <w:rPr>
                <w:spacing w:val="-2"/>
              </w:rPr>
              <w:t>泥浆储存池，可以确保不影响钻井现场及油气田废弃物集中</w:t>
            </w:r>
          </w:p>
        </w:tc>
      </w:tr>
    </w:tbl>
    <w:p w14:paraId="0252EF06">
      <w:pPr>
        <w:rPr>
          <w:rFonts w:ascii="Arial"/>
          <w:sz w:val="21"/>
        </w:rPr>
      </w:pPr>
    </w:p>
    <w:p w14:paraId="389C0471">
      <w:pPr>
        <w:rPr>
          <w:rFonts w:ascii="Arial" w:hAnsi="Arial" w:eastAsia="Arial" w:cs="Arial"/>
          <w:sz w:val="21"/>
          <w:szCs w:val="21"/>
        </w:rPr>
        <w:sectPr>
          <w:footerReference r:id="rId42" w:type="default"/>
          <w:pgSz w:w="11906" w:h="16839"/>
          <w:pgMar w:top="400" w:right="1403" w:bottom="1240" w:left="1572" w:header="0" w:footer="1078" w:gutter="0"/>
          <w:cols w:space="720" w:num="1"/>
        </w:sectPr>
      </w:pPr>
    </w:p>
    <w:p w14:paraId="227A081B">
      <w:pPr>
        <w:spacing w:before="56"/>
      </w:pPr>
    </w:p>
    <w:p w14:paraId="2604A59E">
      <w:pPr>
        <w:spacing w:before="56"/>
      </w:pPr>
    </w:p>
    <w:p w14:paraId="39E28C9D">
      <w:pPr>
        <w:spacing w:before="55"/>
      </w:pPr>
    </w:p>
    <w:p w14:paraId="7F5E5E25">
      <w:pPr>
        <w:spacing w:before="55"/>
      </w:pPr>
    </w:p>
    <w:tbl>
      <w:tblPr>
        <w:tblStyle w:val="5"/>
        <w:tblW w:w="891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6"/>
        <w:gridCol w:w="8449"/>
      </w:tblGrid>
      <w:tr w14:paraId="5F366B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995" w:hRule="atLeast"/>
        </w:trPr>
        <w:tc>
          <w:tcPr>
            <w:tcW w:w="466" w:type="dxa"/>
            <w:tcBorders>
              <w:bottom w:val="single" w:color="000000" w:sz="2" w:space="0"/>
              <w:right w:val="single" w:color="000000" w:sz="2" w:space="0"/>
            </w:tcBorders>
            <w:vAlign w:val="top"/>
          </w:tcPr>
          <w:p w14:paraId="2BDA3412">
            <w:pPr>
              <w:rPr>
                <w:rFonts w:ascii="Arial"/>
                <w:sz w:val="21"/>
              </w:rPr>
            </w:pPr>
          </w:p>
        </w:tc>
        <w:tc>
          <w:tcPr>
            <w:tcW w:w="8449" w:type="dxa"/>
            <w:tcBorders>
              <w:left w:val="single" w:color="000000" w:sz="2" w:space="0"/>
              <w:bottom w:val="single" w:color="000000" w:sz="2" w:space="0"/>
            </w:tcBorders>
            <w:vAlign w:val="top"/>
          </w:tcPr>
          <w:p w14:paraId="215E87A3">
            <w:pPr>
              <w:pStyle w:val="6"/>
              <w:spacing w:before="30" w:line="220" w:lineRule="auto"/>
              <w:ind w:left="113"/>
            </w:pPr>
            <w:r>
              <w:rPr>
                <w:spacing w:val="-2"/>
              </w:rPr>
              <w:t>处理厂的正常运行。</w:t>
            </w:r>
          </w:p>
          <w:p w14:paraId="28701B5E">
            <w:pPr>
              <w:pStyle w:val="6"/>
              <w:spacing w:before="179" w:line="360" w:lineRule="auto"/>
              <w:ind w:left="108" w:right="102" w:firstLine="526"/>
            </w:pPr>
            <w:r>
              <w:rPr>
                <w:spacing w:val="1"/>
              </w:rPr>
              <w:t>目前，企业已于众宁公司签订了委托处理合同</w:t>
            </w:r>
            <w:r>
              <w:t>，钻探过程产生的废弃泥浆</w:t>
            </w:r>
            <w:r>
              <w:rPr>
                <w:spacing w:val="-1"/>
              </w:rPr>
              <w:t>及岩屑已纳入其处置计划。</w:t>
            </w:r>
          </w:p>
          <w:p w14:paraId="2C20C1D2">
            <w:pPr>
              <w:pStyle w:val="6"/>
              <w:spacing w:line="359" w:lineRule="auto"/>
              <w:ind w:left="108" w:right="102" w:firstLine="483"/>
            </w:pPr>
            <w:r>
              <w:rPr>
                <w:spacing w:val="2"/>
              </w:rPr>
              <w:t>综上，内蒙古众宁环保科技有限公司油气田废弃物集中处理厂的处理能力</w:t>
            </w:r>
            <w:r>
              <w:rPr>
                <w:spacing w:val="-1"/>
              </w:rPr>
              <w:t>及处理工艺均满足项目要求，依托可行。</w:t>
            </w:r>
          </w:p>
          <w:p w14:paraId="1BEEF1AB">
            <w:pPr>
              <w:pStyle w:val="6"/>
              <w:spacing w:line="219" w:lineRule="auto"/>
              <w:ind w:left="589"/>
            </w:pPr>
            <w:r>
              <w:rPr>
                <w:rFonts w:ascii="Times New Roman" w:hAnsi="Times New Roman" w:eastAsia="Times New Roman" w:cs="Times New Roman"/>
                <w:spacing w:val="-5"/>
              </w:rPr>
              <w:t>3</w:t>
            </w:r>
            <w:r>
              <w:rPr>
                <w:rFonts w:ascii="Times New Roman" w:hAnsi="Times New Roman" w:eastAsia="Times New Roman" w:cs="Times New Roman"/>
                <w:spacing w:val="-31"/>
              </w:rPr>
              <w:t xml:space="preserve"> </w:t>
            </w:r>
            <w:r>
              <w:rPr>
                <w:spacing w:val="-5"/>
              </w:rPr>
              <w:t>、运输管理要求</w:t>
            </w:r>
          </w:p>
          <w:p w14:paraId="09966B61">
            <w:pPr>
              <w:pStyle w:val="6"/>
              <w:spacing w:before="180" w:line="355" w:lineRule="auto"/>
              <w:ind w:left="108" w:right="41" w:firstLine="479"/>
            </w:pPr>
            <w:r>
              <w:rPr>
                <w:spacing w:val="-3"/>
              </w:rPr>
              <w:t>采出液、废弃泥浆及钻井岩屑运输前应该先检</w:t>
            </w:r>
            <w:r>
              <w:rPr>
                <w:spacing w:val="-4"/>
              </w:rPr>
              <w:t>查包装容器是否完整、密封，</w:t>
            </w:r>
            <w:r>
              <w:rPr>
                <w:spacing w:val="2"/>
              </w:rPr>
              <w:t>在运输过程中加强运输环保管理。建设单位应建立固体废物管理台账，在运输</w:t>
            </w:r>
            <w:r>
              <w:rPr>
                <w:spacing w:val="-3"/>
              </w:rPr>
              <w:t>过程中严格执行三联单制度；建设单位在做好各项防范措施和应</w:t>
            </w:r>
            <w:r>
              <w:rPr>
                <w:spacing w:val="-4"/>
              </w:rPr>
              <w:t>急措施的同时，</w:t>
            </w:r>
            <w:r>
              <w:rPr>
                <w:spacing w:val="2"/>
              </w:rPr>
              <w:t>加强对转运车辆的监督和指导，使意外事故危害降到最小。运输路线应选择避开环境敏感区，运输过程中应当严格根据已经选定的路线进行转运，不得擅自更改运输路线，并严格控制车速，尽可能降低运输噪声和扬尘。对运输参与人员进行环境保护教育培训，提升应对泄漏等风险事故的应对能力。制作运输路线需要穿越的各个行政区域相应的环境保护等主管部门的通讯录，提升应急反</w:t>
            </w:r>
            <w:r>
              <w:rPr>
                <w:spacing w:val="-1"/>
              </w:rPr>
              <w:t>应能力，将可能造成的环境影响降至最低。</w:t>
            </w:r>
          </w:p>
        </w:tc>
      </w:tr>
      <w:tr w14:paraId="040EC0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64" w:hRule="atLeast"/>
        </w:trPr>
        <w:tc>
          <w:tcPr>
            <w:tcW w:w="466" w:type="dxa"/>
            <w:tcBorders>
              <w:top w:val="single" w:color="000000" w:sz="2" w:space="0"/>
              <w:right w:val="single" w:color="000000" w:sz="2" w:space="0"/>
            </w:tcBorders>
            <w:textDirection w:val="tbRlV"/>
            <w:vAlign w:val="top"/>
          </w:tcPr>
          <w:p w14:paraId="1054EF8F">
            <w:pPr>
              <w:pStyle w:val="6"/>
              <w:spacing w:before="113" w:line="209" w:lineRule="auto"/>
              <w:ind w:left="1775"/>
            </w:pPr>
            <w:r>
              <w:rPr>
                <w:b/>
                <w:bCs/>
                <w:spacing w:val="23"/>
                <w:w w:val="115"/>
              </w:rPr>
              <w:t>总平面及现场布置</w:t>
            </w:r>
          </w:p>
        </w:tc>
        <w:tc>
          <w:tcPr>
            <w:tcW w:w="8449" w:type="dxa"/>
            <w:tcBorders>
              <w:top w:val="single" w:color="000000" w:sz="2" w:space="0"/>
              <w:left w:val="single" w:color="000000" w:sz="2" w:space="0"/>
            </w:tcBorders>
            <w:vAlign w:val="top"/>
          </w:tcPr>
          <w:p w14:paraId="554A7487">
            <w:pPr>
              <w:pStyle w:val="6"/>
              <w:spacing w:before="42" w:line="219" w:lineRule="auto"/>
              <w:ind w:left="592"/>
            </w:pPr>
            <w:r>
              <w:rPr>
                <w:spacing w:val="-1"/>
              </w:rPr>
              <w:t>项目分钻井阶段和试油阶段两个阶段进行平面布置。</w:t>
            </w:r>
          </w:p>
          <w:p w14:paraId="2A95CEFF">
            <w:pPr>
              <w:pStyle w:val="6"/>
              <w:spacing w:before="181" w:line="362" w:lineRule="auto"/>
              <w:ind w:left="126" w:right="102" w:firstLine="462"/>
            </w:pPr>
            <w:r>
              <w:rPr>
                <w:spacing w:val="2"/>
              </w:rPr>
              <w:t>钻井阶段井场布置钻井平台、泥浆不落地循环系统装置区、钻具区、材料</w:t>
            </w:r>
            <w:r>
              <w:rPr>
                <w:spacing w:val="-1"/>
              </w:rPr>
              <w:t>区、值班室、仪器室、录井室、井控房等设备及办公生活</w:t>
            </w:r>
            <w:r>
              <w:rPr>
                <w:spacing w:val="-2"/>
              </w:rPr>
              <w:t>区。</w:t>
            </w:r>
          </w:p>
        </w:tc>
      </w:tr>
    </w:tbl>
    <w:p w14:paraId="4D714DA6">
      <w:pPr>
        <w:rPr>
          <w:rFonts w:ascii="Arial"/>
          <w:sz w:val="21"/>
        </w:rPr>
      </w:pPr>
    </w:p>
    <w:p w14:paraId="4FC04BD7">
      <w:pPr>
        <w:rPr>
          <w:rFonts w:ascii="Arial" w:hAnsi="Arial" w:eastAsia="Arial" w:cs="Arial"/>
          <w:sz w:val="21"/>
          <w:szCs w:val="21"/>
        </w:rPr>
        <w:sectPr>
          <w:footerReference r:id="rId43" w:type="default"/>
          <w:pgSz w:w="11906" w:h="16839"/>
          <w:pgMar w:top="400" w:right="1403" w:bottom="1240" w:left="1572" w:header="0" w:footer="1078" w:gutter="0"/>
          <w:cols w:space="720" w:num="1"/>
        </w:sectPr>
      </w:pPr>
    </w:p>
    <w:p w14:paraId="4B1BD197">
      <w:pPr>
        <w:spacing w:before="56"/>
      </w:pPr>
    </w:p>
    <w:p w14:paraId="70852F00">
      <w:pPr>
        <w:spacing w:before="56"/>
      </w:pPr>
    </w:p>
    <w:p w14:paraId="1706085D">
      <w:pPr>
        <w:spacing w:before="55"/>
      </w:pPr>
    </w:p>
    <w:p w14:paraId="36EEC5E6">
      <w:pPr>
        <w:spacing w:before="55"/>
      </w:pPr>
    </w:p>
    <w:tbl>
      <w:tblPr>
        <w:tblStyle w:val="5"/>
        <w:tblW w:w="891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6"/>
        <w:gridCol w:w="8449"/>
      </w:tblGrid>
      <w:tr w14:paraId="283352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92" w:hRule="atLeast"/>
        </w:trPr>
        <w:tc>
          <w:tcPr>
            <w:tcW w:w="466" w:type="dxa"/>
            <w:tcBorders>
              <w:right w:val="single" w:color="000000" w:sz="2" w:space="0"/>
            </w:tcBorders>
            <w:vAlign w:val="top"/>
          </w:tcPr>
          <w:p w14:paraId="0EFB96A2">
            <w:pPr>
              <w:rPr>
                <w:rFonts w:ascii="Arial"/>
                <w:sz w:val="21"/>
              </w:rPr>
            </w:pPr>
          </w:p>
        </w:tc>
        <w:tc>
          <w:tcPr>
            <w:tcW w:w="8449" w:type="dxa"/>
            <w:tcBorders>
              <w:left w:val="single" w:color="000000" w:sz="2" w:space="0"/>
            </w:tcBorders>
            <w:vAlign w:val="top"/>
          </w:tcPr>
          <w:p w14:paraId="325D32A6">
            <w:pPr>
              <w:spacing w:line="5558" w:lineRule="exact"/>
              <w:ind w:firstLine="2461"/>
            </w:pPr>
            <w:r>
              <w:rPr>
                <w:position w:val="-111"/>
              </w:rPr>
              <w:drawing>
                <wp:inline distT="0" distB="0" distL="0" distR="0">
                  <wp:extent cx="2229485" cy="352933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82"/>
                          <a:stretch>
                            <a:fillRect/>
                          </a:stretch>
                        </pic:blipFill>
                        <pic:spPr>
                          <a:xfrm>
                            <a:off x="0" y="0"/>
                            <a:ext cx="2229611" cy="3529710"/>
                          </a:xfrm>
                          <a:prstGeom prst="rect">
                            <a:avLst/>
                          </a:prstGeom>
                        </pic:spPr>
                      </pic:pic>
                    </a:graphicData>
                  </a:graphic>
                </wp:inline>
              </w:drawing>
            </w:r>
          </w:p>
          <w:p w14:paraId="31F551EF">
            <w:pPr>
              <w:spacing w:before="156" w:line="222" w:lineRule="auto"/>
              <w:ind w:left="2311"/>
              <w:rPr>
                <w:rFonts w:ascii="黑体" w:hAnsi="黑体" w:eastAsia="黑体" w:cs="黑体"/>
                <w:sz w:val="24"/>
                <w:szCs w:val="24"/>
              </w:rPr>
            </w:pPr>
            <w:r>
              <w:rPr>
                <w:rFonts w:ascii="黑体" w:hAnsi="黑体" w:eastAsia="黑体" w:cs="黑体"/>
                <w:spacing w:val="-2"/>
                <w:sz w:val="24"/>
                <w:szCs w:val="24"/>
              </w:rPr>
              <w:t>图</w:t>
            </w:r>
            <w:r>
              <w:rPr>
                <w:rFonts w:ascii="黑体" w:hAnsi="黑体" w:eastAsia="黑体" w:cs="黑体"/>
                <w:spacing w:val="-48"/>
                <w:sz w:val="24"/>
                <w:szCs w:val="24"/>
              </w:rPr>
              <w:t xml:space="preserve"> </w:t>
            </w:r>
            <w:r>
              <w:rPr>
                <w:rFonts w:ascii="Times New Roman" w:hAnsi="Times New Roman" w:eastAsia="Times New Roman" w:cs="Times New Roman"/>
                <w:spacing w:val="-2"/>
                <w:sz w:val="24"/>
                <w:szCs w:val="24"/>
              </w:rPr>
              <w:t xml:space="preserve">2-5  </w:t>
            </w:r>
            <w:r>
              <w:rPr>
                <w:rFonts w:ascii="黑体" w:hAnsi="黑体" w:eastAsia="黑体" w:cs="黑体"/>
                <w:spacing w:val="-2"/>
                <w:sz w:val="24"/>
                <w:szCs w:val="24"/>
              </w:rPr>
              <w:t>钻井阶段井场平面布置示意图</w:t>
            </w:r>
          </w:p>
          <w:p w14:paraId="0C08DD73">
            <w:pPr>
              <w:pStyle w:val="6"/>
              <w:spacing w:before="179" w:line="350" w:lineRule="auto"/>
              <w:ind w:left="108" w:right="102" w:firstLine="479"/>
              <w:jc w:val="both"/>
            </w:pPr>
            <w:r>
              <w:rPr>
                <w:spacing w:val="2"/>
              </w:rPr>
              <w:t>钻井完成后进入试油阶段，试油前拆除井架，撤离钻井平台、泥浆不落地循环系统装置等设施，试油阶段平面布置主要为井口采油机、集油管线、</w:t>
            </w:r>
            <w:r>
              <w:rPr>
                <w:spacing w:val="1"/>
              </w:rPr>
              <w:t>储液</w:t>
            </w:r>
            <w:r>
              <w:rPr>
                <w:spacing w:val="-2"/>
              </w:rPr>
              <w:t>罐、值班室等。</w:t>
            </w:r>
          </w:p>
          <w:p w14:paraId="2B6021C5">
            <w:pPr>
              <w:spacing w:line="5455" w:lineRule="exact"/>
              <w:ind w:firstLine="2538"/>
            </w:pPr>
            <w:r>
              <w:rPr>
                <w:position w:val="-109"/>
              </w:rPr>
              <w:drawing>
                <wp:inline distT="0" distB="0" distL="0" distR="0">
                  <wp:extent cx="2199005" cy="346392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83"/>
                          <a:stretch>
                            <a:fillRect/>
                          </a:stretch>
                        </pic:blipFill>
                        <pic:spPr>
                          <a:xfrm>
                            <a:off x="0" y="0"/>
                            <a:ext cx="2199132" cy="3464052"/>
                          </a:xfrm>
                          <a:prstGeom prst="rect">
                            <a:avLst/>
                          </a:prstGeom>
                        </pic:spPr>
                      </pic:pic>
                    </a:graphicData>
                  </a:graphic>
                </wp:inline>
              </w:drawing>
            </w:r>
          </w:p>
          <w:p w14:paraId="2D2FB8E7">
            <w:pPr>
              <w:spacing w:before="154" w:line="221" w:lineRule="auto"/>
              <w:ind w:left="2311"/>
              <w:rPr>
                <w:rFonts w:ascii="黑体" w:hAnsi="黑体" w:eastAsia="黑体" w:cs="黑体"/>
                <w:sz w:val="24"/>
                <w:szCs w:val="24"/>
              </w:rPr>
            </w:pPr>
            <w:r>
              <w:rPr>
                <w:rFonts w:ascii="黑体" w:hAnsi="黑体" w:eastAsia="黑体" w:cs="黑体"/>
                <w:spacing w:val="-2"/>
                <w:sz w:val="24"/>
                <w:szCs w:val="24"/>
              </w:rPr>
              <w:t>图</w:t>
            </w:r>
            <w:r>
              <w:rPr>
                <w:rFonts w:ascii="黑体" w:hAnsi="黑体" w:eastAsia="黑体" w:cs="黑体"/>
                <w:spacing w:val="-48"/>
                <w:sz w:val="24"/>
                <w:szCs w:val="24"/>
              </w:rPr>
              <w:t xml:space="preserve"> </w:t>
            </w:r>
            <w:r>
              <w:rPr>
                <w:rFonts w:ascii="Times New Roman" w:hAnsi="Times New Roman" w:eastAsia="Times New Roman" w:cs="Times New Roman"/>
                <w:spacing w:val="-2"/>
                <w:sz w:val="24"/>
                <w:szCs w:val="24"/>
              </w:rPr>
              <w:t xml:space="preserve">2-6  </w:t>
            </w:r>
            <w:r>
              <w:rPr>
                <w:rFonts w:ascii="黑体" w:hAnsi="黑体" w:eastAsia="黑体" w:cs="黑体"/>
                <w:spacing w:val="-2"/>
                <w:sz w:val="24"/>
                <w:szCs w:val="24"/>
              </w:rPr>
              <w:t>试油阶段井场平面布置示意图</w:t>
            </w:r>
          </w:p>
        </w:tc>
      </w:tr>
    </w:tbl>
    <w:p w14:paraId="058B4129">
      <w:pPr>
        <w:rPr>
          <w:rFonts w:ascii="Arial"/>
          <w:sz w:val="21"/>
        </w:rPr>
      </w:pPr>
    </w:p>
    <w:p w14:paraId="42C2DABF">
      <w:pPr>
        <w:rPr>
          <w:rFonts w:ascii="Arial" w:hAnsi="Arial" w:eastAsia="Arial" w:cs="Arial"/>
          <w:sz w:val="21"/>
          <w:szCs w:val="21"/>
        </w:rPr>
        <w:sectPr>
          <w:footerReference r:id="rId44" w:type="default"/>
          <w:pgSz w:w="11906" w:h="16839"/>
          <w:pgMar w:top="400" w:right="1403" w:bottom="1240" w:left="1572" w:header="0" w:footer="1078" w:gutter="0"/>
          <w:cols w:space="720" w:num="1"/>
        </w:sectPr>
      </w:pPr>
    </w:p>
    <w:p w14:paraId="23AD4570">
      <w:pPr>
        <w:spacing w:before="56"/>
      </w:pPr>
    </w:p>
    <w:p w14:paraId="3296AA23">
      <w:pPr>
        <w:spacing w:before="56"/>
      </w:pPr>
    </w:p>
    <w:p w14:paraId="2D6F7DCA">
      <w:pPr>
        <w:spacing w:before="55"/>
      </w:pPr>
    </w:p>
    <w:p w14:paraId="0FFD9940">
      <w:pPr>
        <w:spacing w:before="55"/>
      </w:pPr>
    </w:p>
    <w:tbl>
      <w:tblPr>
        <w:tblStyle w:val="5"/>
        <w:tblW w:w="891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6"/>
        <w:gridCol w:w="8449"/>
      </w:tblGrid>
      <w:tr w14:paraId="34D42B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53" w:hRule="atLeast"/>
        </w:trPr>
        <w:tc>
          <w:tcPr>
            <w:tcW w:w="466" w:type="dxa"/>
            <w:tcBorders>
              <w:right w:val="single" w:color="000000" w:sz="2" w:space="0"/>
            </w:tcBorders>
            <w:textDirection w:val="tbRlV"/>
            <w:vAlign w:val="top"/>
          </w:tcPr>
          <w:p w14:paraId="031B0E77">
            <w:pPr>
              <w:pStyle w:val="6"/>
              <w:spacing w:before="114" w:line="209" w:lineRule="auto"/>
              <w:ind w:left="6241"/>
            </w:pPr>
            <w:r>
              <w:rPr>
                <w:b/>
                <w:bCs/>
                <w:spacing w:val="50"/>
              </w:rPr>
              <w:t>施工方案</w:t>
            </w:r>
          </w:p>
        </w:tc>
        <w:tc>
          <w:tcPr>
            <w:tcW w:w="8449" w:type="dxa"/>
            <w:tcBorders>
              <w:left w:val="single" w:color="000000" w:sz="2" w:space="0"/>
            </w:tcBorders>
            <w:vAlign w:val="top"/>
          </w:tcPr>
          <w:p w14:paraId="7B93C1D3">
            <w:pPr>
              <w:pStyle w:val="6"/>
              <w:spacing w:before="40" w:line="222" w:lineRule="auto"/>
              <w:ind w:left="592"/>
            </w:pPr>
            <w:r>
              <w:rPr>
                <w:b/>
                <w:bCs/>
                <w:spacing w:val="-4"/>
              </w:rPr>
              <w:t>一、施工工艺</w:t>
            </w:r>
          </w:p>
          <w:p w14:paraId="1F25AD0C">
            <w:pPr>
              <w:pStyle w:val="6"/>
              <w:spacing w:before="178" w:line="345" w:lineRule="auto"/>
              <w:ind w:left="112" w:right="161" w:firstLine="479"/>
            </w:pPr>
            <w:r>
              <w:t>项目主要包括钻前工程、钻井工程、试油工程及封井工程，均为施工期，</w:t>
            </w:r>
            <w:r>
              <w:rPr>
                <w:spacing w:val="-1"/>
              </w:rPr>
              <w:t>不涉及运营期。项目工艺流程及产污环节如下图所示。</w:t>
            </w:r>
          </w:p>
          <w:p w14:paraId="0417B9A0">
            <w:pPr>
              <w:spacing w:line="7825" w:lineRule="exact"/>
              <w:ind w:firstLine="951"/>
            </w:pPr>
            <w:r>
              <w:rPr>
                <w:position w:val="-156"/>
              </w:rPr>
              <w:drawing>
                <wp:inline distT="0" distB="0" distL="0" distR="0">
                  <wp:extent cx="4133850" cy="496887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84"/>
                          <a:stretch>
                            <a:fillRect/>
                          </a:stretch>
                        </pic:blipFill>
                        <pic:spPr>
                          <a:xfrm>
                            <a:off x="0" y="0"/>
                            <a:ext cx="4134232" cy="4969348"/>
                          </a:xfrm>
                          <a:prstGeom prst="rect">
                            <a:avLst/>
                          </a:prstGeom>
                        </pic:spPr>
                      </pic:pic>
                    </a:graphicData>
                  </a:graphic>
                </wp:inline>
              </w:drawing>
            </w:r>
          </w:p>
          <w:p w14:paraId="4C60EB05">
            <w:pPr>
              <w:spacing w:before="253" w:line="221" w:lineRule="auto"/>
              <w:ind w:left="2580"/>
              <w:rPr>
                <w:rFonts w:ascii="黑体" w:hAnsi="黑体" w:eastAsia="黑体" w:cs="黑体"/>
                <w:sz w:val="24"/>
                <w:szCs w:val="24"/>
              </w:rPr>
            </w:pPr>
            <w:r>
              <w:rPr>
                <w:rFonts w:ascii="黑体" w:hAnsi="黑体" w:eastAsia="黑体" w:cs="黑体"/>
                <w:spacing w:val="-2"/>
                <w:sz w:val="24"/>
                <w:szCs w:val="24"/>
              </w:rPr>
              <w:t>图</w:t>
            </w:r>
            <w:r>
              <w:rPr>
                <w:rFonts w:ascii="Times New Roman" w:hAnsi="Times New Roman" w:eastAsia="Times New Roman" w:cs="Times New Roman"/>
                <w:spacing w:val="-2"/>
                <w:sz w:val="24"/>
                <w:szCs w:val="24"/>
              </w:rPr>
              <w:t xml:space="preserve">2-7  </w:t>
            </w:r>
            <w:r>
              <w:rPr>
                <w:rFonts w:ascii="黑体" w:hAnsi="黑体" w:eastAsia="黑体" w:cs="黑体"/>
                <w:spacing w:val="-2"/>
                <w:sz w:val="24"/>
                <w:szCs w:val="24"/>
              </w:rPr>
              <w:t>工艺流程及产排污节点图</w:t>
            </w:r>
          </w:p>
          <w:p w14:paraId="795E7704">
            <w:pPr>
              <w:pStyle w:val="6"/>
              <w:spacing w:before="182" w:line="359" w:lineRule="auto"/>
              <w:ind w:left="108" w:right="22" w:firstLine="479"/>
              <w:jc w:val="both"/>
            </w:pPr>
            <w:r>
              <w:rPr>
                <w:spacing w:val="-3"/>
              </w:rPr>
              <w:t>钻前工程包括进场场地平整及钻井设备安装等，钻井工程包括钻井及固井、</w:t>
            </w:r>
            <w:r>
              <w:rPr>
                <w:spacing w:val="2"/>
              </w:rPr>
              <w:t>测井、录井等，试油工程包括射孔、试油等，封井工程包括临时封井或永</w:t>
            </w:r>
            <w:r>
              <w:rPr>
                <w:spacing w:val="1"/>
              </w:rPr>
              <w:t>久封</w:t>
            </w:r>
            <w:r>
              <w:rPr>
                <w:spacing w:val="-5"/>
              </w:rPr>
              <w:t>井。</w:t>
            </w:r>
          </w:p>
          <w:p w14:paraId="16521AFF">
            <w:pPr>
              <w:pStyle w:val="6"/>
              <w:spacing w:line="220" w:lineRule="auto"/>
              <w:ind w:left="607"/>
            </w:pPr>
            <w:r>
              <w:rPr>
                <w:rFonts w:ascii="Times New Roman" w:hAnsi="Times New Roman" w:eastAsia="Times New Roman" w:cs="Times New Roman"/>
                <w:spacing w:val="-10"/>
              </w:rPr>
              <w:t>1</w:t>
            </w:r>
            <w:r>
              <w:rPr>
                <w:rFonts w:ascii="Times New Roman" w:hAnsi="Times New Roman" w:eastAsia="Times New Roman" w:cs="Times New Roman"/>
                <w:spacing w:val="-30"/>
              </w:rPr>
              <w:t xml:space="preserve"> </w:t>
            </w:r>
            <w:r>
              <w:rPr>
                <w:spacing w:val="-10"/>
              </w:rPr>
              <w:t>、钻前工程</w:t>
            </w:r>
          </w:p>
          <w:p w14:paraId="5049F3A9">
            <w:pPr>
              <w:pStyle w:val="6"/>
              <w:spacing w:before="180" w:line="359" w:lineRule="auto"/>
              <w:ind w:left="108" w:right="102" w:firstLine="479"/>
            </w:pPr>
            <w:r>
              <w:rPr>
                <w:spacing w:val="2"/>
              </w:rPr>
              <w:t>钻前工程主要包括：表土剥离和平整井场、钻井设备安装等以及配套设施</w:t>
            </w:r>
            <w:r>
              <w:rPr>
                <w:spacing w:val="-1"/>
              </w:rPr>
              <w:t>布置与建设。项目由现有乡村道路到井场无需修建进场道路。</w:t>
            </w:r>
          </w:p>
          <w:p w14:paraId="329B6E3A">
            <w:pPr>
              <w:pStyle w:val="6"/>
              <w:spacing w:before="1" w:line="342" w:lineRule="auto"/>
              <w:ind w:left="108" w:right="102" w:firstLine="484"/>
            </w:pPr>
            <w:r>
              <w:rPr>
                <w:spacing w:val="-4"/>
              </w:rPr>
              <w:t>项目实施表土剥离，剥离厚度为</w:t>
            </w:r>
            <w:r>
              <w:rPr>
                <w:spacing w:val="-45"/>
              </w:rPr>
              <w:t xml:space="preserve"> </w:t>
            </w:r>
            <w:r>
              <w:rPr>
                <w:rFonts w:ascii="Times New Roman" w:hAnsi="Times New Roman" w:eastAsia="Times New Roman" w:cs="Times New Roman"/>
                <w:spacing w:val="-4"/>
              </w:rPr>
              <w:t>0.30m</w:t>
            </w:r>
            <w:r>
              <w:rPr>
                <w:spacing w:val="-4"/>
              </w:rPr>
              <w:t>，在井场临时占地范围内设置表土堆</w:t>
            </w:r>
            <w:r>
              <w:rPr>
                <w:spacing w:val="-2"/>
              </w:rPr>
              <w:t>存区，面积</w:t>
            </w:r>
            <w:r>
              <w:rPr>
                <w:spacing w:val="-54"/>
              </w:rPr>
              <w:t xml:space="preserve"> </w:t>
            </w:r>
            <w:r>
              <w:rPr>
                <w:rFonts w:ascii="Times New Roman" w:hAnsi="Times New Roman" w:eastAsia="Times New Roman" w:cs="Times New Roman"/>
                <w:spacing w:val="-2"/>
              </w:rPr>
              <w:t xml:space="preserve">2000 </w:t>
            </w:r>
            <w:r>
              <w:rPr>
                <w:spacing w:val="-2"/>
              </w:rPr>
              <w:t>平方米（</w:t>
            </w:r>
            <w:r>
              <w:rPr>
                <w:rFonts w:ascii="Times New Roman" w:hAnsi="Times New Roman" w:eastAsia="Times New Roman" w:cs="Times New Roman"/>
                <w:spacing w:val="-2"/>
              </w:rPr>
              <w:t>40×50m</w:t>
            </w:r>
            <w:r>
              <w:rPr>
                <w:spacing w:val="2"/>
              </w:rPr>
              <w:t>），</w:t>
            </w:r>
            <w:r>
              <w:rPr>
                <w:spacing w:val="-2"/>
              </w:rPr>
              <w:t>表土堆放采用台</w:t>
            </w:r>
            <w:r>
              <w:rPr>
                <w:spacing w:val="-3"/>
              </w:rPr>
              <w:t>体形，边坡为</w:t>
            </w:r>
            <w:r>
              <w:rPr>
                <w:spacing w:val="-32"/>
              </w:rPr>
              <w:t xml:space="preserve"> </w:t>
            </w:r>
            <w:r>
              <w:rPr>
                <w:rFonts w:ascii="Times New Roman" w:hAnsi="Times New Roman" w:eastAsia="Times New Roman" w:cs="Times New Roman"/>
                <w:spacing w:val="-3"/>
              </w:rPr>
              <w:t>1:1</w:t>
            </w:r>
            <w:r>
              <w:rPr>
                <w:rFonts w:ascii="Times New Roman" w:hAnsi="Times New Roman" w:eastAsia="Times New Roman" w:cs="Times New Roman"/>
                <w:spacing w:val="-30"/>
              </w:rPr>
              <w:t xml:space="preserve"> </w:t>
            </w:r>
            <w:r>
              <w:rPr>
                <w:spacing w:val="-3"/>
              </w:rPr>
              <w:t>。在土</w:t>
            </w:r>
          </w:p>
        </w:tc>
      </w:tr>
    </w:tbl>
    <w:p w14:paraId="2BD0D244">
      <w:pPr>
        <w:rPr>
          <w:rFonts w:ascii="Arial"/>
          <w:sz w:val="21"/>
        </w:rPr>
      </w:pPr>
    </w:p>
    <w:p w14:paraId="3432B6F7">
      <w:pPr>
        <w:rPr>
          <w:rFonts w:ascii="Arial" w:hAnsi="Arial" w:eastAsia="Arial" w:cs="Arial"/>
          <w:sz w:val="21"/>
          <w:szCs w:val="21"/>
        </w:rPr>
        <w:sectPr>
          <w:footerReference r:id="rId45" w:type="default"/>
          <w:pgSz w:w="11906" w:h="16839"/>
          <w:pgMar w:top="400" w:right="1403" w:bottom="1240" w:left="1572" w:header="0" w:footer="1078" w:gutter="0"/>
          <w:cols w:space="720" w:num="1"/>
        </w:sectPr>
      </w:pPr>
    </w:p>
    <w:p w14:paraId="4309E255">
      <w:pPr>
        <w:spacing w:before="56"/>
      </w:pPr>
    </w:p>
    <w:p w14:paraId="04A2E989">
      <w:pPr>
        <w:spacing w:before="56"/>
      </w:pPr>
    </w:p>
    <w:p w14:paraId="17D6A983">
      <w:pPr>
        <w:spacing w:before="55"/>
      </w:pPr>
    </w:p>
    <w:p w14:paraId="4658443B">
      <w:pPr>
        <w:spacing w:before="55"/>
      </w:pPr>
    </w:p>
    <w:tbl>
      <w:tblPr>
        <w:tblStyle w:val="5"/>
        <w:tblW w:w="891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6"/>
        <w:gridCol w:w="8449"/>
      </w:tblGrid>
      <w:tr w14:paraId="454B6F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83" w:hRule="atLeast"/>
        </w:trPr>
        <w:tc>
          <w:tcPr>
            <w:tcW w:w="466" w:type="dxa"/>
            <w:tcBorders>
              <w:right w:val="single" w:color="000000" w:sz="2" w:space="0"/>
            </w:tcBorders>
            <w:vAlign w:val="top"/>
          </w:tcPr>
          <w:p w14:paraId="45C690EC">
            <w:pPr>
              <w:rPr>
                <w:rFonts w:ascii="Arial"/>
                <w:sz w:val="21"/>
              </w:rPr>
            </w:pPr>
          </w:p>
        </w:tc>
        <w:tc>
          <w:tcPr>
            <w:tcW w:w="8449" w:type="dxa"/>
            <w:tcBorders>
              <w:left w:val="single" w:color="000000" w:sz="2" w:space="0"/>
            </w:tcBorders>
            <w:vAlign w:val="top"/>
          </w:tcPr>
          <w:p w14:paraId="7DE6055C">
            <w:pPr>
              <w:pStyle w:val="6"/>
              <w:spacing w:before="41" w:line="359" w:lineRule="auto"/>
              <w:ind w:left="108" w:right="102"/>
              <w:jc w:val="both"/>
            </w:pPr>
            <w:r>
              <w:drawing>
                <wp:anchor distT="0" distB="0" distL="0" distR="0" simplePos="0" relativeHeight="251681792" behindDoc="0" locked="0" layoutInCell="1" allowOverlap="1">
                  <wp:simplePos x="0" y="0"/>
                  <wp:positionH relativeFrom="rightMargin">
                    <wp:posOffset>-5176520</wp:posOffset>
                  </wp:positionH>
                  <wp:positionV relativeFrom="topMargin">
                    <wp:posOffset>2078355</wp:posOffset>
                  </wp:positionV>
                  <wp:extent cx="2372995" cy="2340610"/>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85"/>
                          <a:stretch>
                            <a:fillRect/>
                          </a:stretch>
                        </pic:blipFill>
                        <pic:spPr>
                          <a:xfrm>
                            <a:off x="0" y="0"/>
                            <a:ext cx="2372867" cy="2340864"/>
                          </a:xfrm>
                          <a:prstGeom prst="rect">
                            <a:avLst/>
                          </a:prstGeom>
                        </pic:spPr>
                      </pic:pic>
                    </a:graphicData>
                  </a:graphic>
                </wp:anchor>
              </w:drawing>
            </w:r>
            <w:r>
              <w:rPr>
                <w:spacing w:val="2"/>
              </w:rPr>
              <w:t>壤堆存期间，为了防止水力与风力的侵蚀，用密目网遮盖，对施工场地临</w:t>
            </w:r>
            <w:r>
              <w:rPr>
                <w:spacing w:val="1"/>
              </w:rPr>
              <w:t>时堆</w:t>
            </w:r>
            <w:r>
              <w:rPr>
                <w:spacing w:val="2"/>
              </w:rPr>
              <w:t>表土进行拦挡防护。勘探施工结束后对临时用地进行翻耕，将剥离的表层土壤</w:t>
            </w:r>
            <w:r>
              <w:rPr>
                <w:spacing w:val="-2"/>
              </w:rPr>
              <w:t>铺在最上层。</w:t>
            </w:r>
          </w:p>
          <w:p w14:paraId="0C8C1442">
            <w:pPr>
              <w:pStyle w:val="6"/>
              <w:spacing w:line="220" w:lineRule="auto"/>
              <w:ind w:left="584"/>
            </w:pPr>
            <w:r>
              <w:rPr>
                <w:rFonts w:ascii="Times New Roman" w:hAnsi="Times New Roman" w:eastAsia="Times New Roman" w:cs="Times New Roman"/>
                <w:spacing w:val="-6"/>
              </w:rPr>
              <w:t>2</w:t>
            </w:r>
            <w:r>
              <w:rPr>
                <w:rFonts w:ascii="Times New Roman" w:hAnsi="Times New Roman" w:eastAsia="Times New Roman" w:cs="Times New Roman"/>
                <w:spacing w:val="-31"/>
              </w:rPr>
              <w:t xml:space="preserve"> </w:t>
            </w:r>
            <w:r>
              <w:rPr>
                <w:spacing w:val="-6"/>
              </w:rPr>
              <w:t>、钻井工程</w:t>
            </w:r>
          </w:p>
          <w:p w14:paraId="0B52677C">
            <w:pPr>
              <w:pStyle w:val="6"/>
              <w:spacing w:before="179" w:line="219" w:lineRule="auto"/>
              <w:ind w:left="588"/>
            </w:pPr>
            <w:r>
              <w:rPr>
                <w:spacing w:val="-1"/>
              </w:rPr>
              <w:t>钻井工序主要包含钻井、录井、测井、固井等。</w:t>
            </w:r>
          </w:p>
          <w:p w14:paraId="79F753E3">
            <w:pPr>
              <w:pStyle w:val="6"/>
              <w:spacing w:before="182" w:line="346" w:lineRule="auto"/>
              <w:ind w:left="108" w:right="161" w:firstLine="480"/>
            </w:pPr>
            <w:r>
              <w:t>根据本区域石油埋藏的地理、地质特征及油井产能大小和开发井网设计，</w:t>
            </w:r>
            <w:r>
              <w:rPr>
                <w:spacing w:val="-1"/>
              </w:rPr>
              <w:t>采用分段钻探方式（一开、二开、三开等</w:t>
            </w:r>
            <w:r>
              <w:rPr>
                <w:spacing w:val="8"/>
              </w:rPr>
              <w:t>），</w:t>
            </w:r>
            <w:r>
              <w:rPr>
                <w:spacing w:val="-1"/>
              </w:rPr>
              <w:t>项目采用三开钻井。</w:t>
            </w:r>
          </w:p>
          <w:p w14:paraId="025EB796">
            <w:pPr>
              <w:spacing w:line="3686" w:lineRule="exact"/>
              <w:ind w:firstLine="4378"/>
            </w:pPr>
            <w:r>
              <w:rPr>
                <w:position w:val="-73"/>
              </w:rPr>
              <w:drawing>
                <wp:inline distT="0" distB="0" distL="0" distR="0">
                  <wp:extent cx="2395220" cy="234061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86"/>
                          <a:stretch>
                            <a:fillRect/>
                          </a:stretch>
                        </pic:blipFill>
                        <pic:spPr>
                          <a:xfrm>
                            <a:off x="0" y="0"/>
                            <a:ext cx="2395728" cy="2340864"/>
                          </a:xfrm>
                          <a:prstGeom prst="rect">
                            <a:avLst/>
                          </a:prstGeom>
                        </pic:spPr>
                      </pic:pic>
                    </a:graphicData>
                  </a:graphic>
                </wp:inline>
              </w:drawing>
            </w:r>
          </w:p>
          <w:p w14:paraId="066949BD">
            <w:pPr>
              <w:spacing w:before="154" w:line="221" w:lineRule="auto"/>
              <w:ind w:left="2820"/>
              <w:rPr>
                <w:rFonts w:ascii="黑体" w:hAnsi="黑体" w:eastAsia="黑体" w:cs="黑体"/>
                <w:sz w:val="24"/>
                <w:szCs w:val="24"/>
              </w:rPr>
            </w:pPr>
            <w:r>
              <w:rPr>
                <w:rFonts w:ascii="黑体" w:hAnsi="黑体" w:eastAsia="黑体" w:cs="黑体"/>
                <w:spacing w:val="-2"/>
                <w:sz w:val="24"/>
                <w:szCs w:val="24"/>
              </w:rPr>
              <w:t>图</w:t>
            </w:r>
            <w:r>
              <w:rPr>
                <w:rFonts w:ascii="Times New Roman" w:hAnsi="Times New Roman" w:eastAsia="Times New Roman" w:cs="Times New Roman"/>
                <w:spacing w:val="-2"/>
                <w:sz w:val="24"/>
                <w:szCs w:val="24"/>
              </w:rPr>
              <w:t xml:space="preserve">2-8  </w:t>
            </w:r>
            <w:r>
              <w:rPr>
                <w:rFonts w:ascii="黑体" w:hAnsi="黑体" w:eastAsia="黑体" w:cs="黑体"/>
                <w:spacing w:val="-2"/>
                <w:sz w:val="24"/>
                <w:szCs w:val="24"/>
              </w:rPr>
              <w:t>钻井泥浆循环示意图</w:t>
            </w:r>
          </w:p>
          <w:p w14:paraId="5CCD99F8">
            <w:pPr>
              <w:pStyle w:val="6"/>
              <w:spacing w:before="146" w:line="359" w:lineRule="auto"/>
              <w:ind w:left="108" w:right="22" w:firstLine="480"/>
              <w:jc w:val="both"/>
            </w:pPr>
            <w:r>
              <w:rPr>
                <w:spacing w:val="2"/>
              </w:rPr>
              <w:t>钻井工艺采用过平衡或近平衡钻井技术，作用于井底的液柱压力大于该处地层孔隙压力情况下的钻井作业。钻井作业时，依靠钻机的动力带动钻杆和钻头旋转，钻头逐次向下破碎遇到的岩层，并形成一个井筒（井眼）。钻头在破碎岩层的同时，通过空心的钻杆向地下注入钻井泥浆，将钻头在破碎地层而产生的大量钻井岩屑由循环的钻井泥浆带到地面。地面钻井泥浆固控装置包括高性能振动筛和离心机等，将钻井泥浆中的钻井岩屑清除后，通过钻井泥浆泵再次将钻井泥浆打入井内。钻井泥浆经过钻杆内孔到达钻头水眼处，再从井壁与钻柱形成的环形空间返回流至地面。整个过程循环进行，使井深不断增加，直至目的井深。钻井中途会停钻，以便起下钻具更换钻头、下套管、测井和后续</w:t>
            </w:r>
            <w:r>
              <w:rPr>
                <w:spacing w:val="-3"/>
              </w:rPr>
              <w:t>井身固井作业。项目全井段采用水基环保钻井泥浆，钻井作业为</w:t>
            </w:r>
            <w:r>
              <w:rPr>
                <w:spacing w:val="-42"/>
              </w:rPr>
              <w:t xml:space="preserve"> </w:t>
            </w:r>
            <w:r>
              <w:rPr>
                <w:rFonts w:ascii="Times New Roman" w:hAnsi="Times New Roman" w:eastAsia="Times New Roman" w:cs="Times New Roman"/>
                <w:spacing w:val="-3"/>
              </w:rPr>
              <w:t xml:space="preserve">24h </w:t>
            </w:r>
            <w:r>
              <w:rPr>
                <w:spacing w:val="-3"/>
              </w:rPr>
              <w:t>连续进行。</w:t>
            </w:r>
          </w:p>
          <w:p w14:paraId="18607932">
            <w:pPr>
              <w:pStyle w:val="6"/>
              <w:spacing w:line="220" w:lineRule="auto"/>
              <w:ind w:left="590"/>
            </w:pPr>
            <w:r>
              <w:rPr>
                <w:spacing w:val="-3"/>
              </w:rPr>
              <w:t>主要过程：</w:t>
            </w:r>
          </w:p>
          <w:p w14:paraId="666547F2">
            <w:pPr>
              <w:pStyle w:val="6"/>
              <w:spacing w:before="183" w:line="342" w:lineRule="auto"/>
              <w:ind w:left="108" w:right="102" w:firstLine="492"/>
            </w:pPr>
            <w:r>
              <w:rPr>
                <w:spacing w:val="-2"/>
              </w:rPr>
              <w:t>（</w:t>
            </w:r>
            <w:r>
              <w:rPr>
                <w:rFonts w:ascii="Times New Roman" w:hAnsi="Times New Roman" w:eastAsia="Times New Roman" w:cs="Times New Roman"/>
                <w:spacing w:val="-2"/>
              </w:rPr>
              <w:t>1</w:t>
            </w:r>
            <w:r>
              <w:rPr>
                <w:spacing w:val="-2"/>
              </w:rPr>
              <w:t>）导管段、一开作业：钻井开孔后钻到表土层以下的基岩或钻达一定深</w:t>
            </w:r>
            <w:r>
              <w:rPr>
                <w:spacing w:val="2"/>
              </w:rPr>
              <w:t>度，下入表层套管后固井。主要作用：隔离上部含水层，不使地面水和表层地</w:t>
            </w:r>
          </w:p>
        </w:tc>
      </w:tr>
    </w:tbl>
    <w:p w14:paraId="225E45D3">
      <w:pPr>
        <w:rPr>
          <w:rFonts w:ascii="Arial"/>
          <w:sz w:val="21"/>
        </w:rPr>
      </w:pPr>
    </w:p>
    <w:p w14:paraId="42D0508A">
      <w:pPr>
        <w:rPr>
          <w:rFonts w:ascii="Arial" w:hAnsi="Arial" w:eastAsia="Arial" w:cs="Arial"/>
          <w:sz w:val="21"/>
          <w:szCs w:val="21"/>
        </w:rPr>
        <w:sectPr>
          <w:footerReference r:id="rId46" w:type="default"/>
          <w:pgSz w:w="11906" w:h="16839"/>
          <w:pgMar w:top="400" w:right="1403" w:bottom="1240" w:left="1572" w:header="0" w:footer="1078" w:gutter="0"/>
          <w:cols w:space="720" w:num="1"/>
        </w:sectPr>
      </w:pPr>
    </w:p>
    <w:p w14:paraId="58910587">
      <w:pPr>
        <w:spacing w:before="56"/>
      </w:pPr>
    </w:p>
    <w:p w14:paraId="44D2113F">
      <w:pPr>
        <w:spacing w:before="56"/>
      </w:pPr>
    </w:p>
    <w:p w14:paraId="391BC3DF">
      <w:pPr>
        <w:spacing w:before="55"/>
      </w:pPr>
    </w:p>
    <w:p w14:paraId="39000234">
      <w:pPr>
        <w:spacing w:before="55"/>
      </w:pPr>
    </w:p>
    <w:tbl>
      <w:tblPr>
        <w:tblStyle w:val="5"/>
        <w:tblW w:w="891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6"/>
        <w:gridCol w:w="8449"/>
      </w:tblGrid>
      <w:tr w14:paraId="2DF897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466" w:type="dxa"/>
            <w:tcBorders>
              <w:right w:val="single" w:color="000000" w:sz="2" w:space="0"/>
            </w:tcBorders>
            <w:vAlign w:val="top"/>
          </w:tcPr>
          <w:p w14:paraId="1D92483D">
            <w:pPr>
              <w:rPr>
                <w:rFonts w:ascii="Arial"/>
                <w:sz w:val="21"/>
              </w:rPr>
            </w:pPr>
          </w:p>
        </w:tc>
        <w:tc>
          <w:tcPr>
            <w:tcW w:w="8449" w:type="dxa"/>
            <w:tcBorders>
              <w:left w:val="single" w:color="000000" w:sz="2" w:space="0"/>
            </w:tcBorders>
            <w:vAlign w:val="top"/>
          </w:tcPr>
          <w:p w14:paraId="59FCDEA6">
            <w:pPr>
              <w:pStyle w:val="6"/>
              <w:spacing w:before="40" w:line="359" w:lineRule="auto"/>
              <w:ind w:left="109" w:right="102" w:firstLine="6"/>
            </w:pPr>
            <w:r>
              <w:rPr>
                <w:spacing w:val="2"/>
              </w:rPr>
              <w:t>下水渗入井筒；保护井口，加固表土层井段的井壁；对</w:t>
            </w:r>
            <w:r>
              <w:rPr>
                <w:spacing w:val="1"/>
              </w:rPr>
              <w:t>于继续钻下去会遇到高</w:t>
            </w:r>
            <w:r>
              <w:rPr>
                <w:spacing w:val="-1"/>
              </w:rPr>
              <w:t>压油气层的，在表层套管上安装防喷器预防井喷。</w:t>
            </w:r>
          </w:p>
          <w:p w14:paraId="6C8DE40C">
            <w:pPr>
              <w:pStyle w:val="6"/>
              <w:spacing w:line="359" w:lineRule="auto"/>
              <w:ind w:left="108" w:right="102" w:firstLine="492"/>
            </w:pPr>
            <w:r>
              <w:rPr>
                <w:spacing w:val="-2"/>
              </w:rPr>
              <w:t>（</w:t>
            </w:r>
            <w:r>
              <w:rPr>
                <w:rFonts w:ascii="Times New Roman" w:hAnsi="Times New Roman" w:eastAsia="Times New Roman" w:cs="Times New Roman"/>
                <w:spacing w:val="-2"/>
              </w:rPr>
              <w:t>2</w:t>
            </w:r>
            <w:r>
              <w:rPr>
                <w:spacing w:val="-2"/>
              </w:rPr>
              <w:t>）表层固井（一开固井）：表层固井是在井眼内下入套管柱后，在地面</w:t>
            </w:r>
            <w:r>
              <w:rPr>
                <w:spacing w:val="2"/>
              </w:rPr>
              <w:t>上利用专业设备将水泥浆通过套管柱注入井眼与套管柱之间的环形空间中的过程。表层固井采用低密度水泥浆体系，封固表层，为下步钻进创造条件。表层</w:t>
            </w:r>
            <w:r>
              <w:rPr>
                <w:spacing w:val="-1"/>
              </w:rPr>
              <w:t>固井目的是封隔疏松、易塌、易漏等地层；保护地下潜水层。</w:t>
            </w:r>
          </w:p>
          <w:p w14:paraId="0494E789">
            <w:pPr>
              <w:pStyle w:val="6"/>
              <w:spacing w:line="219" w:lineRule="auto"/>
              <w:ind w:left="600"/>
            </w:pPr>
            <w:r>
              <w:rPr>
                <w:spacing w:val="-1"/>
              </w:rPr>
              <w:t>（</w:t>
            </w:r>
            <w:r>
              <w:rPr>
                <w:rFonts w:ascii="Times New Roman" w:hAnsi="Times New Roman" w:eastAsia="Times New Roman" w:cs="Times New Roman"/>
                <w:spacing w:val="-1"/>
              </w:rPr>
              <w:t>3</w:t>
            </w:r>
            <w:r>
              <w:rPr>
                <w:spacing w:val="-1"/>
              </w:rPr>
              <w:t>）钻进：根据需要进行二开、三开等作业，钻进至目的层。</w:t>
            </w:r>
          </w:p>
          <w:p w14:paraId="47158E30">
            <w:pPr>
              <w:pStyle w:val="6"/>
              <w:spacing w:before="181" w:line="359" w:lineRule="auto"/>
              <w:ind w:left="109" w:right="102" w:firstLine="490"/>
            </w:pPr>
            <w:r>
              <w:rPr>
                <w:spacing w:val="-2"/>
              </w:rPr>
              <w:t>（</w:t>
            </w:r>
            <w:r>
              <w:rPr>
                <w:rFonts w:ascii="Times New Roman" w:hAnsi="Times New Roman" w:eastAsia="Times New Roman" w:cs="Times New Roman"/>
                <w:spacing w:val="-2"/>
              </w:rPr>
              <w:t>4</w:t>
            </w:r>
            <w:r>
              <w:rPr>
                <w:spacing w:val="-2"/>
              </w:rPr>
              <w:t>）录井：在钻进过程中，用岩矿分析、地球化学、地球物理等方法，观</w:t>
            </w:r>
            <w:r>
              <w:rPr>
                <w:spacing w:val="2"/>
              </w:rPr>
              <w:t>察、采集、记录、分析随钻过程中的固体、液体等井筒返出物信息，以</w:t>
            </w:r>
            <w:r>
              <w:rPr>
                <w:spacing w:val="1"/>
              </w:rPr>
              <w:t>此建立</w:t>
            </w:r>
            <w:r>
              <w:rPr>
                <w:spacing w:val="-1"/>
              </w:rPr>
              <w:t>录井地质剖面、发现油气显示、评价油气层。</w:t>
            </w:r>
          </w:p>
          <w:p w14:paraId="67E5D07B">
            <w:pPr>
              <w:pStyle w:val="6"/>
              <w:spacing w:before="2" w:line="359" w:lineRule="auto"/>
              <w:ind w:left="112" w:right="102" w:firstLine="487"/>
            </w:pPr>
            <w:r>
              <w:rPr>
                <w:spacing w:val="-2"/>
              </w:rPr>
              <w:t>（</w:t>
            </w:r>
            <w:r>
              <w:rPr>
                <w:rFonts w:ascii="Times New Roman" w:hAnsi="Times New Roman" w:eastAsia="Times New Roman" w:cs="Times New Roman"/>
                <w:spacing w:val="-2"/>
              </w:rPr>
              <w:t>5</w:t>
            </w:r>
            <w:r>
              <w:rPr>
                <w:spacing w:val="-2"/>
              </w:rPr>
              <w:t>）测井：根据地质需要，选用适合的测井项目对钻开地层进行电测，最</w:t>
            </w:r>
            <w:r>
              <w:rPr>
                <w:spacing w:val="-1"/>
              </w:rPr>
              <w:t>终根据电测曲线了解地层的特征及地层含油、气情况。</w:t>
            </w:r>
          </w:p>
          <w:p w14:paraId="373F78AC">
            <w:pPr>
              <w:pStyle w:val="6"/>
              <w:spacing w:line="219" w:lineRule="auto"/>
              <w:ind w:left="600"/>
            </w:pPr>
            <w:r>
              <w:rPr>
                <w:spacing w:val="-3"/>
              </w:rPr>
              <w:t>（</w:t>
            </w:r>
            <w:r>
              <w:rPr>
                <w:rFonts w:ascii="Times New Roman" w:hAnsi="Times New Roman" w:eastAsia="Times New Roman" w:cs="Times New Roman"/>
                <w:spacing w:val="-3"/>
              </w:rPr>
              <w:t>6</w:t>
            </w:r>
            <w:r>
              <w:rPr>
                <w:spacing w:val="-3"/>
              </w:rPr>
              <w:t>）完钻固井</w:t>
            </w:r>
          </w:p>
          <w:p w14:paraId="14C332E9">
            <w:pPr>
              <w:pStyle w:val="6"/>
              <w:spacing w:before="181" w:line="359" w:lineRule="auto"/>
              <w:ind w:left="108" w:right="102" w:firstLine="500"/>
            </w:pPr>
            <w:r>
              <w:rPr>
                <w:spacing w:val="1"/>
              </w:rPr>
              <w:t>固井工程包括下套管和注水泥两个过程。下套管就是在已经钻成的井眼中</w:t>
            </w:r>
            <w:r>
              <w:rPr>
                <w:spacing w:val="2"/>
              </w:rPr>
              <w:t>按规定深度下入一定规格的套管柱。固井作业的主要设备有水泥搅拌机、</w:t>
            </w:r>
            <w:r>
              <w:rPr>
                <w:spacing w:val="1"/>
              </w:rPr>
              <w:t>下灰</w:t>
            </w:r>
            <w:r>
              <w:rPr>
                <w:spacing w:val="2"/>
              </w:rPr>
              <w:t>罐车、混合漏斗和其他附属安全放喷设备等。循环处理钻井泥浆（降低钻</w:t>
            </w:r>
            <w:r>
              <w:rPr>
                <w:spacing w:val="1"/>
              </w:rPr>
              <w:t>井泥浆密度至固井需要密度</w:t>
            </w:r>
            <w:r>
              <w:rPr>
                <w:spacing w:val="17"/>
              </w:rPr>
              <w:t>）；</w:t>
            </w:r>
            <w:r>
              <w:rPr>
                <w:spacing w:val="1"/>
              </w:rPr>
              <w:t>召开固井现场施工会议；注入前置液（本区块为清水</w:t>
            </w:r>
            <w:r>
              <w:rPr>
                <w:spacing w:val="17"/>
              </w:rPr>
              <w:t>）；</w:t>
            </w:r>
            <w:r>
              <w:rPr>
                <w:spacing w:val="1"/>
              </w:rPr>
              <w:t>注入所需用量及合适密度的水泥浆；注入顶替液（本区块为清水）至碰</w:t>
            </w:r>
            <w:r>
              <w:t>压；碰压合格后，适当憋压核对数据后固井完成。固</w:t>
            </w:r>
            <w:r>
              <w:rPr>
                <w:spacing w:val="-1"/>
              </w:rPr>
              <w:t>井过程中不产生污染物。</w:t>
            </w:r>
          </w:p>
          <w:p w14:paraId="26B76CBF">
            <w:pPr>
              <w:pStyle w:val="6"/>
              <w:spacing w:before="3" w:line="359" w:lineRule="auto"/>
              <w:ind w:left="109" w:right="102" w:firstLine="480"/>
            </w:pPr>
            <w:r>
              <w:rPr>
                <w:spacing w:val="2"/>
              </w:rPr>
              <w:t>完钻固井采用单级固井，根据地质要求确定水泥返高，确保盖层等重点井</w:t>
            </w:r>
            <w:r>
              <w:t>段固井质量。完钻固井采用双密双凝韧性防窜水泥浆体系，</w:t>
            </w:r>
            <w:r>
              <w:rPr>
                <w:spacing w:val="-55"/>
              </w:rPr>
              <w:t xml:space="preserve"> </w:t>
            </w:r>
            <w:r>
              <w:t>目的是封隔疏松、</w:t>
            </w:r>
            <w:r>
              <w:rPr>
                <w:spacing w:val="2"/>
              </w:rPr>
              <w:t>易塌、易漏地层；封隔油、气、水层，防止互相窜漏；安装井口设备，</w:t>
            </w:r>
            <w:r>
              <w:rPr>
                <w:spacing w:val="1"/>
              </w:rPr>
              <w:t>形成油</w:t>
            </w:r>
            <w:r>
              <w:rPr>
                <w:spacing w:val="-1"/>
              </w:rPr>
              <w:t>气通道，以利于后续生产。</w:t>
            </w:r>
          </w:p>
          <w:p w14:paraId="245F472A">
            <w:pPr>
              <w:pStyle w:val="6"/>
              <w:spacing w:line="220" w:lineRule="auto"/>
              <w:ind w:left="589"/>
            </w:pPr>
            <w:r>
              <w:rPr>
                <w:rFonts w:ascii="Times New Roman" w:hAnsi="Times New Roman" w:eastAsia="Times New Roman" w:cs="Times New Roman"/>
                <w:spacing w:val="-6"/>
              </w:rPr>
              <w:t>3</w:t>
            </w:r>
            <w:r>
              <w:rPr>
                <w:rFonts w:ascii="Times New Roman" w:hAnsi="Times New Roman" w:eastAsia="Times New Roman" w:cs="Times New Roman"/>
                <w:spacing w:val="-34"/>
              </w:rPr>
              <w:t xml:space="preserve"> </w:t>
            </w:r>
            <w:r>
              <w:rPr>
                <w:spacing w:val="-6"/>
              </w:rPr>
              <w:t>、试油工程</w:t>
            </w:r>
          </w:p>
          <w:p w14:paraId="04365A48">
            <w:pPr>
              <w:pStyle w:val="6"/>
              <w:spacing w:before="180" w:line="359" w:lineRule="auto"/>
              <w:ind w:left="108" w:right="142" w:firstLine="479"/>
            </w:pPr>
            <w:r>
              <w:rPr>
                <w:spacing w:val="1"/>
              </w:rPr>
              <w:t>勘探井的试油试采是进行生产前的重要手段之一，主要包括射</w:t>
            </w:r>
            <w:r>
              <w:t>孔、下泵、</w:t>
            </w:r>
            <w:r>
              <w:rPr>
                <w:spacing w:val="-2"/>
              </w:rPr>
              <w:t>试油、试采等。</w:t>
            </w:r>
          </w:p>
          <w:p w14:paraId="22269040">
            <w:pPr>
              <w:pStyle w:val="6"/>
              <w:spacing w:before="4" w:line="347" w:lineRule="auto"/>
              <w:ind w:left="108" w:right="102" w:firstLine="479"/>
              <w:jc w:val="both"/>
            </w:pPr>
            <w:r>
              <w:rPr>
                <w:spacing w:val="2"/>
              </w:rPr>
              <w:t>勘探井完井后，为取得油气储层压力、产量、流体性质等所有特性参数，满足储量计算和提交要求的整套资料录取和分析处理解释的过程。侧重将</w:t>
            </w:r>
            <w:r>
              <w:rPr>
                <w:spacing w:val="1"/>
              </w:rPr>
              <w:t>地层</w:t>
            </w:r>
            <w:r>
              <w:rPr>
                <w:spacing w:val="-1"/>
              </w:rPr>
              <w:t>流体采出地面、计算产量、分析性质</w:t>
            </w:r>
            <w:r>
              <w:rPr>
                <w:rFonts w:ascii="Times New Roman" w:hAnsi="Times New Roman" w:eastAsia="Times New Roman" w:cs="Times New Roman"/>
                <w:spacing w:val="-1"/>
              </w:rPr>
              <w:t>/</w:t>
            </w:r>
            <w:r>
              <w:rPr>
                <w:spacing w:val="-1"/>
              </w:rPr>
              <w:t>化验成分。</w:t>
            </w:r>
          </w:p>
        </w:tc>
      </w:tr>
    </w:tbl>
    <w:p w14:paraId="5DD4D9AE">
      <w:pPr>
        <w:rPr>
          <w:rFonts w:ascii="Arial"/>
          <w:sz w:val="21"/>
        </w:rPr>
      </w:pPr>
    </w:p>
    <w:p w14:paraId="3CB0BD08">
      <w:pPr>
        <w:rPr>
          <w:rFonts w:ascii="Arial" w:hAnsi="Arial" w:eastAsia="Arial" w:cs="Arial"/>
          <w:sz w:val="21"/>
          <w:szCs w:val="21"/>
        </w:rPr>
        <w:sectPr>
          <w:footerReference r:id="rId47" w:type="default"/>
          <w:pgSz w:w="11906" w:h="16839"/>
          <w:pgMar w:top="400" w:right="1403" w:bottom="1240" w:left="1572" w:header="0" w:footer="1078" w:gutter="0"/>
          <w:cols w:space="720" w:num="1"/>
        </w:sectPr>
      </w:pPr>
    </w:p>
    <w:p w14:paraId="48829B78">
      <w:pPr>
        <w:spacing w:before="56"/>
      </w:pPr>
    </w:p>
    <w:p w14:paraId="00C70895">
      <w:pPr>
        <w:spacing w:before="56"/>
      </w:pPr>
    </w:p>
    <w:p w14:paraId="48CE787E">
      <w:pPr>
        <w:spacing w:before="55"/>
      </w:pPr>
    </w:p>
    <w:p w14:paraId="6A55B8EC">
      <w:pPr>
        <w:spacing w:before="55"/>
      </w:pPr>
    </w:p>
    <w:tbl>
      <w:tblPr>
        <w:tblStyle w:val="5"/>
        <w:tblW w:w="891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6"/>
        <w:gridCol w:w="8449"/>
      </w:tblGrid>
      <w:tr w14:paraId="066AFB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738" w:hRule="atLeast"/>
        </w:trPr>
        <w:tc>
          <w:tcPr>
            <w:tcW w:w="466" w:type="dxa"/>
            <w:tcBorders>
              <w:right w:val="single" w:color="000000" w:sz="2" w:space="0"/>
            </w:tcBorders>
            <w:vAlign w:val="top"/>
          </w:tcPr>
          <w:p w14:paraId="613E1AD3">
            <w:pPr>
              <w:rPr>
                <w:rFonts w:ascii="Arial"/>
                <w:sz w:val="21"/>
              </w:rPr>
            </w:pPr>
          </w:p>
        </w:tc>
        <w:tc>
          <w:tcPr>
            <w:tcW w:w="8449" w:type="dxa"/>
            <w:tcBorders>
              <w:left w:val="single" w:color="000000" w:sz="2" w:space="0"/>
            </w:tcBorders>
            <w:vAlign w:val="top"/>
          </w:tcPr>
          <w:p w14:paraId="1C130B1B">
            <w:pPr>
              <w:pStyle w:val="6"/>
              <w:spacing w:before="40" w:line="359" w:lineRule="auto"/>
              <w:ind w:left="108" w:right="102" w:firstLine="479"/>
              <w:jc w:val="both"/>
            </w:pPr>
            <w:r>
              <w:rPr>
                <w:spacing w:val="2"/>
              </w:rPr>
              <w:t>试油队在地面安装试油架，打开井口，利用射孔枪对目的层进行射孔，射孔的目的是建立地层和井筒的连通。射孔管柱至预定位置，使射孔枪对准</w:t>
            </w:r>
            <w:r>
              <w:rPr>
                <w:spacing w:val="1"/>
              </w:rPr>
              <w:t>目的</w:t>
            </w:r>
            <w:r>
              <w:rPr>
                <w:spacing w:val="2"/>
              </w:rPr>
              <w:t>层，进行射孔操作。射孔弹穿油层套管、水泥环并穿透油层一定深度，从</w:t>
            </w:r>
            <w:r>
              <w:rPr>
                <w:spacing w:val="1"/>
              </w:rPr>
              <w:t>而建</w:t>
            </w:r>
            <w:r>
              <w:rPr>
                <w:spacing w:val="2"/>
              </w:rPr>
              <w:t>立起油（气）流的通道。射孔后从下往上试油（两目的层之间安装封隔器</w:t>
            </w:r>
            <w:r>
              <w:rPr>
                <w:spacing w:val="1"/>
              </w:rPr>
              <w:t>），</w:t>
            </w:r>
            <w:r>
              <w:rPr>
                <w:spacing w:val="2"/>
              </w:rPr>
              <w:t>如果油井自喷，则安装油嘴，将出油（水、气）输送至地面；如果油井不</w:t>
            </w:r>
            <w:r>
              <w:rPr>
                <w:spacing w:val="1"/>
              </w:rPr>
              <w:t>能自</w:t>
            </w:r>
            <w:r>
              <w:rPr>
                <w:spacing w:val="-1"/>
              </w:rPr>
              <w:t>喷，在井下安装抽吸泵，将井筒内的流体输送地面。</w:t>
            </w:r>
          </w:p>
          <w:p w14:paraId="151B75AB">
            <w:pPr>
              <w:pStyle w:val="6"/>
              <w:spacing w:before="1" w:line="359" w:lineRule="auto"/>
              <w:ind w:left="108" w:right="22" w:firstLine="483"/>
              <w:jc w:val="both"/>
            </w:pPr>
            <w:r>
              <w:rPr>
                <w:spacing w:val="-3"/>
              </w:rPr>
              <w:t>油井采出液经集油管道进入储液罐内暂存，由罐车拉运至临河联合站处理。</w:t>
            </w:r>
            <w:r>
              <w:rPr>
                <w:spacing w:val="2"/>
              </w:rPr>
              <w:t>根据一段时间内的采出量计算油气产量，据此判断是否达到具备试采转为</w:t>
            </w:r>
            <w:r>
              <w:rPr>
                <w:spacing w:val="1"/>
              </w:rPr>
              <w:t>开发</w:t>
            </w:r>
            <w:r>
              <w:rPr>
                <w:spacing w:val="-1"/>
              </w:rPr>
              <w:t>井的石油地质储量的要求。</w:t>
            </w:r>
          </w:p>
          <w:p w14:paraId="3CDB6387">
            <w:pPr>
              <w:pStyle w:val="6"/>
              <w:spacing w:before="1" w:line="359" w:lineRule="auto"/>
              <w:ind w:left="108" w:right="102" w:firstLine="480"/>
              <w:jc w:val="both"/>
            </w:pPr>
            <w:r>
              <w:rPr>
                <w:spacing w:val="2"/>
              </w:rPr>
              <w:t>试油结束后，具有工业油流的，保留井口采油设备，进入试采阶段。试采是在试油之后，开发方案确定之前，为进一步评价储量的经济性和探索油气开采主体工艺及确定开发方案，对单井通过一定的技术方法在较长时间内获取储层产量、压力、液性等储层动态参数所做的全部工作过程，主要是获取油气井在生产过程中的储层动态参数。具有开采价值的井口保留采油树试采结束后，按照要求办理探井转产能井手续。试油试采过程中，采出液通过密闭的集油管</w:t>
            </w:r>
            <w:r>
              <w:rPr>
                <w:spacing w:val="-1"/>
              </w:rPr>
              <w:t>道进入储液罐。整个过程中，严禁井筒出来的流体散落到地面。</w:t>
            </w:r>
          </w:p>
          <w:p w14:paraId="2CBA516F">
            <w:pPr>
              <w:pStyle w:val="6"/>
              <w:spacing w:line="359" w:lineRule="auto"/>
              <w:ind w:left="112" w:right="102" w:firstLine="479"/>
            </w:pPr>
            <w:r>
              <w:rPr>
                <w:spacing w:val="2"/>
              </w:rPr>
              <w:t>项目是石油勘探阶段，只进行试油试采，不涉及注水开采工序，采出</w:t>
            </w:r>
            <w:r>
              <w:rPr>
                <w:spacing w:val="1"/>
              </w:rPr>
              <w:t>液由</w:t>
            </w:r>
            <w:r>
              <w:rPr>
                <w:spacing w:val="-1"/>
              </w:rPr>
              <w:t>油田专用罐车拉运至临河联合站处理。</w:t>
            </w:r>
          </w:p>
          <w:p w14:paraId="5B22D349">
            <w:pPr>
              <w:pStyle w:val="6"/>
              <w:spacing w:line="220" w:lineRule="auto"/>
              <w:ind w:left="583"/>
            </w:pPr>
            <w:r>
              <w:rPr>
                <w:rFonts w:ascii="Times New Roman" w:hAnsi="Times New Roman" w:eastAsia="Times New Roman" w:cs="Times New Roman"/>
                <w:spacing w:val="-5"/>
              </w:rPr>
              <w:t>4</w:t>
            </w:r>
            <w:r>
              <w:rPr>
                <w:rFonts w:ascii="Times New Roman" w:hAnsi="Times New Roman" w:eastAsia="Times New Roman" w:cs="Times New Roman"/>
                <w:spacing w:val="-34"/>
              </w:rPr>
              <w:t xml:space="preserve"> </w:t>
            </w:r>
            <w:r>
              <w:rPr>
                <w:spacing w:val="-5"/>
              </w:rPr>
              <w:t>、封井作业</w:t>
            </w:r>
          </w:p>
          <w:p w14:paraId="16C3D917">
            <w:pPr>
              <w:pStyle w:val="6"/>
              <w:spacing w:before="177" w:line="360" w:lineRule="auto"/>
              <w:ind w:left="108" w:right="102" w:firstLine="483"/>
            </w:pPr>
            <w:r>
              <w:rPr>
                <w:spacing w:val="2"/>
              </w:rPr>
              <w:t>项目完成测井、试油等井下资料收集后，经过经济评估，如果勘探井</w:t>
            </w:r>
            <w:r>
              <w:rPr>
                <w:spacing w:val="1"/>
              </w:rPr>
              <w:t>有经</w:t>
            </w:r>
            <w:r>
              <w:rPr>
                <w:spacing w:val="2"/>
              </w:rPr>
              <w:t>济利用价值，则作为储备井待后续开发，实施临时封井，移交勘探井所属</w:t>
            </w:r>
            <w:r>
              <w:rPr>
                <w:spacing w:val="1"/>
              </w:rPr>
              <w:t>的部</w:t>
            </w:r>
            <w:r>
              <w:rPr>
                <w:spacing w:val="2"/>
              </w:rPr>
              <w:t>门进行管理，后期若利用勘探井从事生产等活动，需另行履行环保手续；</w:t>
            </w:r>
            <w:r>
              <w:rPr>
                <w:spacing w:val="1"/>
              </w:rPr>
              <w:t>勘探</w:t>
            </w:r>
            <w:r>
              <w:rPr>
                <w:spacing w:val="-1"/>
              </w:rPr>
              <w:t>井不具备开采价值，则进行永久封井，并进行井场恢复。</w:t>
            </w:r>
          </w:p>
          <w:p w14:paraId="185D228A">
            <w:pPr>
              <w:spacing w:before="1" w:line="210" w:lineRule="auto"/>
              <w:ind w:left="2512"/>
              <w:rPr>
                <w:rFonts w:ascii="黑体" w:hAnsi="黑体" w:eastAsia="黑体" w:cs="黑体"/>
                <w:sz w:val="24"/>
                <w:szCs w:val="24"/>
              </w:rPr>
            </w:pPr>
            <w:r>
              <w:rPr>
                <w:rFonts w:ascii="黑体" w:hAnsi="黑体" w:eastAsia="黑体" w:cs="黑体"/>
                <w:spacing w:val="-4"/>
                <w:sz w:val="24"/>
                <w:szCs w:val="24"/>
              </w:rPr>
              <w:t>表</w:t>
            </w:r>
            <w:r>
              <w:rPr>
                <w:rFonts w:ascii="黑体" w:hAnsi="黑体" w:eastAsia="黑体" w:cs="黑体"/>
                <w:spacing w:val="-41"/>
                <w:sz w:val="24"/>
                <w:szCs w:val="24"/>
              </w:rPr>
              <w:t xml:space="preserve"> </w:t>
            </w:r>
            <w:r>
              <w:rPr>
                <w:rFonts w:ascii="Times New Roman" w:hAnsi="Times New Roman" w:eastAsia="Times New Roman" w:cs="Times New Roman"/>
                <w:spacing w:val="-4"/>
                <w:sz w:val="24"/>
                <w:szCs w:val="24"/>
              </w:rPr>
              <w:t>2-</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4"/>
                <w:sz w:val="24"/>
                <w:szCs w:val="24"/>
              </w:rPr>
              <w:t xml:space="preserve">10  </w:t>
            </w:r>
            <w:r>
              <w:rPr>
                <w:rFonts w:ascii="黑体" w:hAnsi="黑体" w:eastAsia="黑体" w:cs="黑体"/>
                <w:spacing w:val="-4"/>
                <w:sz w:val="24"/>
                <w:szCs w:val="24"/>
              </w:rPr>
              <w:t>工业油气流最低标准</w:t>
            </w:r>
          </w:p>
          <w:tbl>
            <w:tblPr>
              <w:tblStyle w:val="5"/>
              <w:tblW w:w="8237" w:type="dxa"/>
              <w:tblInd w:w="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5"/>
              <w:gridCol w:w="876"/>
              <w:gridCol w:w="1503"/>
              <w:gridCol w:w="1491"/>
              <w:gridCol w:w="1343"/>
              <w:gridCol w:w="819"/>
            </w:tblGrid>
            <w:tr w14:paraId="798AFE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2205" w:type="dxa"/>
                  <w:vMerge w:val="restart"/>
                  <w:tcBorders>
                    <w:top w:val="single" w:color="000000" w:sz="10" w:space="0"/>
                    <w:left w:val="nil"/>
                    <w:bottom w:val="nil"/>
                  </w:tcBorders>
                  <w:vAlign w:val="top"/>
                </w:tcPr>
                <w:p w14:paraId="3860A0F1">
                  <w:pPr>
                    <w:pStyle w:val="6"/>
                    <w:spacing w:before="303" w:line="228" w:lineRule="auto"/>
                    <w:ind w:left="689"/>
                    <w:rPr>
                      <w:sz w:val="20"/>
                      <w:szCs w:val="20"/>
                    </w:rPr>
                  </w:pPr>
                  <w:r>
                    <w:rPr>
                      <w:spacing w:val="6"/>
                      <w:sz w:val="20"/>
                      <w:szCs w:val="20"/>
                    </w:rPr>
                    <w:t>油气地域</w:t>
                  </w:r>
                </w:p>
              </w:tc>
              <w:tc>
                <w:tcPr>
                  <w:tcW w:w="6032" w:type="dxa"/>
                  <w:gridSpan w:val="5"/>
                  <w:tcBorders>
                    <w:top w:val="single" w:color="000000" w:sz="10" w:space="0"/>
                    <w:right w:val="nil"/>
                  </w:tcBorders>
                  <w:vAlign w:val="top"/>
                </w:tcPr>
                <w:p w14:paraId="7BCCA9A8">
                  <w:pPr>
                    <w:pStyle w:val="6"/>
                    <w:spacing w:before="99" w:line="228" w:lineRule="auto"/>
                    <w:ind w:left="2501"/>
                    <w:rPr>
                      <w:sz w:val="20"/>
                      <w:szCs w:val="20"/>
                    </w:rPr>
                  </w:pPr>
                  <w:r>
                    <w:rPr>
                      <w:spacing w:val="7"/>
                      <w:sz w:val="20"/>
                      <w:szCs w:val="20"/>
                    </w:rPr>
                    <w:t>油气层深度</w:t>
                  </w:r>
                </w:p>
              </w:tc>
            </w:tr>
            <w:tr w14:paraId="6F7A7A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2205" w:type="dxa"/>
                  <w:vMerge w:val="continue"/>
                  <w:tcBorders>
                    <w:top w:val="nil"/>
                    <w:left w:val="nil"/>
                  </w:tcBorders>
                  <w:vAlign w:val="top"/>
                </w:tcPr>
                <w:p w14:paraId="4D4A7E46">
                  <w:pPr>
                    <w:rPr>
                      <w:rFonts w:ascii="Arial"/>
                      <w:sz w:val="21"/>
                    </w:rPr>
                  </w:pPr>
                </w:p>
              </w:tc>
              <w:tc>
                <w:tcPr>
                  <w:tcW w:w="876" w:type="dxa"/>
                  <w:vAlign w:val="top"/>
                </w:tcPr>
                <w:p w14:paraId="71BFE070">
                  <w:pPr>
                    <w:spacing w:before="135" w:line="195" w:lineRule="auto"/>
                    <w:ind w:left="40"/>
                    <w:rPr>
                      <w:rFonts w:ascii="Times New Roman" w:hAnsi="Times New Roman" w:eastAsia="Times New Roman" w:cs="Times New Roman"/>
                      <w:sz w:val="20"/>
                      <w:szCs w:val="20"/>
                    </w:rPr>
                  </w:pPr>
                  <w:r>
                    <w:rPr>
                      <w:rFonts w:ascii="Times New Roman" w:hAnsi="Times New Roman" w:eastAsia="Times New Roman" w:cs="Times New Roman"/>
                      <w:sz w:val="20"/>
                      <w:szCs w:val="20"/>
                    </w:rPr>
                    <w:t>500-</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z w:val="20"/>
                      <w:szCs w:val="20"/>
                    </w:rPr>
                    <w:t>1000</w:t>
                  </w:r>
                </w:p>
              </w:tc>
              <w:tc>
                <w:tcPr>
                  <w:tcW w:w="1503" w:type="dxa"/>
                  <w:vAlign w:val="top"/>
                </w:tcPr>
                <w:p w14:paraId="68EF28BA">
                  <w:pPr>
                    <w:pStyle w:val="6"/>
                    <w:spacing w:before="99" w:line="265" w:lineRule="exact"/>
                    <w:ind w:left="213"/>
                    <w:rPr>
                      <w:rFonts w:ascii="Times New Roman" w:hAnsi="Times New Roman" w:eastAsia="Times New Roman" w:cs="Times New Roman"/>
                      <w:sz w:val="20"/>
                      <w:szCs w:val="20"/>
                    </w:rPr>
                  </w:pPr>
                  <w:r>
                    <w:rPr>
                      <w:spacing w:val="12"/>
                      <w:position w:val="1"/>
                      <w:sz w:val="20"/>
                      <w:szCs w:val="20"/>
                    </w:rPr>
                    <w:t>&gt;</w:t>
                  </w:r>
                  <w:r>
                    <w:rPr>
                      <w:rFonts w:ascii="Times New Roman" w:hAnsi="Times New Roman" w:eastAsia="Times New Roman" w:cs="Times New Roman"/>
                      <w:spacing w:val="12"/>
                      <w:position w:val="1"/>
                      <w:sz w:val="20"/>
                      <w:szCs w:val="20"/>
                    </w:rPr>
                    <w:t>1000-2000</w:t>
                  </w:r>
                </w:p>
              </w:tc>
              <w:tc>
                <w:tcPr>
                  <w:tcW w:w="1491" w:type="dxa"/>
                  <w:vAlign w:val="top"/>
                </w:tcPr>
                <w:p w14:paraId="2C9AE3B8">
                  <w:pPr>
                    <w:pStyle w:val="6"/>
                    <w:spacing w:before="99" w:line="265" w:lineRule="exact"/>
                    <w:ind w:left="207"/>
                    <w:rPr>
                      <w:rFonts w:ascii="Times New Roman" w:hAnsi="Times New Roman" w:eastAsia="Times New Roman" w:cs="Times New Roman"/>
                      <w:sz w:val="20"/>
                      <w:szCs w:val="20"/>
                    </w:rPr>
                  </w:pPr>
                  <w:r>
                    <w:rPr>
                      <w:spacing w:val="12"/>
                      <w:position w:val="1"/>
                      <w:sz w:val="20"/>
                      <w:szCs w:val="20"/>
                    </w:rPr>
                    <w:t>&gt;</w:t>
                  </w:r>
                  <w:r>
                    <w:rPr>
                      <w:rFonts w:ascii="Times New Roman" w:hAnsi="Times New Roman" w:eastAsia="Times New Roman" w:cs="Times New Roman"/>
                      <w:spacing w:val="12"/>
                      <w:position w:val="1"/>
                      <w:sz w:val="20"/>
                      <w:szCs w:val="20"/>
                    </w:rPr>
                    <w:t>2000-3000</w:t>
                  </w:r>
                </w:p>
              </w:tc>
              <w:tc>
                <w:tcPr>
                  <w:tcW w:w="1343" w:type="dxa"/>
                  <w:vAlign w:val="top"/>
                </w:tcPr>
                <w:p w14:paraId="194E7B4E">
                  <w:pPr>
                    <w:pStyle w:val="6"/>
                    <w:spacing w:before="99" w:line="265" w:lineRule="exact"/>
                    <w:ind w:left="132"/>
                    <w:rPr>
                      <w:rFonts w:ascii="Times New Roman" w:hAnsi="Times New Roman" w:eastAsia="Times New Roman" w:cs="Times New Roman"/>
                      <w:sz w:val="20"/>
                      <w:szCs w:val="20"/>
                    </w:rPr>
                  </w:pPr>
                  <w:r>
                    <w:rPr>
                      <w:spacing w:val="12"/>
                      <w:position w:val="1"/>
                      <w:sz w:val="20"/>
                      <w:szCs w:val="20"/>
                    </w:rPr>
                    <w:t>&gt;</w:t>
                  </w:r>
                  <w:r>
                    <w:rPr>
                      <w:rFonts w:ascii="Times New Roman" w:hAnsi="Times New Roman" w:eastAsia="Times New Roman" w:cs="Times New Roman"/>
                      <w:spacing w:val="12"/>
                      <w:position w:val="1"/>
                      <w:sz w:val="20"/>
                      <w:szCs w:val="20"/>
                    </w:rPr>
                    <w:t>3000-4000</w:t>
                  </w:r>
                </w:p>
              </w:tc>
              <w:tc>
                <w:tcPr>
                  <w:tcW w:w="819" w:type="dxa"/>
                  <w:tcBorders>
                    <w:right w:val="nil"/>
                  </w:tcBorders>
                  <w:vAlign w:val="top"/>
                </w:tcPr>
                <w:p w14:paraId="57BFF29C">
                  <w:pPr>
                    <w:pStyle w:val="6"/>
                    <w:spacing w:before="99" w:line="265" w:lineRule="exact"/>
                    <w:ind w:left="121"/>
                    <w:rPr>
                      <w:rFonts w:ascii="Times New Roman" w:hAnsi="Times New Roman" w:eastAsia="Times New Roman" w:cs="Times New Roman"/>
                      <w:sz w:val="20"/>
                      <w:szCs w:val="20"/>
                    </w:rPr>
                  </w:pPr>
                  <w:r>
                    <w:rPr>
                      <w:spacing w:val="20"/>
                      <w:position w:val="1"/>
                      <w:sz w:val="20"/>
                      <w:szCs w:val="20"/>
                    </w:rPr>
                    <w:t>&gt;</w:t>
                  </w:r>
                  <w:r>
                    <w:rPr>
                      <w:rFonts w:ascii="Times New Roman" w:hAnsi="Times New Roman" w:eastAsia="Times New Roman" w:cs="Times New Roman"/>
                      <w:spacing w:val="20"/>
                      <w:position w:val="1"/>
                      <w:sz w:val="20"/>
                      <w:szCs w:val="20"/>
                    </w:rPr>
                    <w:t>4000</w:t>
                  </w:r>
                </w:p>
              </w:tc>
            </w:tr>
            <w:tr w14:paraId="749006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2205" w:type="dxa"/>
                  <w:tcBorders>
                    <w:left w:val="nil"/>
                    <w:bottom w:val="single" w:color="000000" w:sz="10" w:space="0"/>
                  </w:tcBorders>
                  <w:vAlign w:val="top"/>
                </w:tcPr>
                <w:p w14:paraId="6FD3594A">
                  <w:pPr>
                    <w:pStyle w:val="6"/>
                    <w:spacing w:before="109" w:line="228" w:lineRule="auto"/>
                    <w:ind w:left="139"/>
                    <w:rPr>
                      <w:rFonts w:ascii="Times New Roman" w:hAnsi="Times New Roman" w:eastAsia="Times New Roman" w:cs="Times New Roman"/>
                      <w:sz w:val="20"/>
                      <w:szCs w:val="20"/>
                    </w:rPr>
                  </w:pPr>
                  <w:r>
                    <w:rPr>
                      <w:spacing w:val="5"/>
                      <w:sz w:val="20"/>
                      <w:szCs w:val="20"/>
                    </w:rPr>
                    <w:t>陆地工业油流下限</w:t>
                  </w:r>
                  <w:r>
                    <w:rPr>
                      <w:spacing w:val="-34"/>
                      <w:sz w:val="20"/>
                      <w:szCs w:val="20"/>
                    </w:rPr>
                    <w:t xml:space="preserve"> </w:t>
                  </w:r>
                  <w:r>
                    <w:rPr>
                      <w:rFonts w:ascii="Times New Roman" w:hAnsi="Times New Roman" w:eastAsia="Times New Roman" w:cs="Times New Roman"/>
                      <w:spacing w:val="5"/>
                      <w:sz w:val="20"/>
                      <w:szCs w:val="20"/>
                    </w:rPr>
                    <w:t>t/d</w:t>
                  </w:r>
                </w:p>
              </w:tc>
              <w:tc>
                <w:tcPr>
                  <w:tcW w:w="876" w:type="dxa"/>
                  <w:tcBorders>
                    <w:bottom w:val="single" w:color="000000" w:sz="10" w:space="0"/>
                  </w:tcBorders>
                  <w:vAlign w:val="top"/>
                </w:tcPr>
                <w:p w14:paraId="66F06EFD">
                  <w:pPr>
                    <w:spacing w:before="144" w:line="195" w:lineRule="auto"/>
                    <w:ind w:left="22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503" w:type="dxa"/>
                  <w:tcBorders>
                    <w:bottom w:val="single" w:color="000000" w:sz="10" w:space="0"/>
                  </w:tcBorders>
                  <w:vAlign w:val="top"/>
                </w:tcPr>
                <w:p w14:paraId="03AE790F">
                  <w:pPr>
                    <w:spacing w:before="144" w:line="195" w:lineRule="auto"/>
                    <w:ind w:left="64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c>
                <w:tcPr>
                  <w:tcW w:w="1491" w:type="dxa"/>
                  <w:tcBorders>
                    <w:bottom w:val="single" w:color="000000" w:sz="10" w:space="0"/>
                  </w:tcBorders>
                  <w:vAlign w:val="top"/>
                </w:tcPr>
                <w:p w14:paraId="24D9D339">
                  <w:pPr>
                    <w:spacing w:before="144" w:line="195" w:lineRule="auto"/>
                    <w:ind w:left="61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3.0</w:t>
                  </w:r>
                </w:p>
              </w:tc>
              <w:tc>
                <w:tcPr>
                  <w:tcW w:w="1343" w:type="dxa"/>
                  <w:tcBorders>
                    <w:bottom w:val="single" w:color="000000" w:sz="10" w:space="0"/>
                  </w:tcBorders>
                  <w:vAlign w:val="top"/>
                </w:tcPr>
                <w:p w14:paraId="32719E10">
                  <w:pPr>
                    <w:spacing w:before="144" w:line="195" w:lineRule="auto"/>
                    <w:ind w:left="545"/>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819" w:type="dxa"/>
                  <w:tcBorders>
                    <w:bottom w:val="single" w:color="000000" w:sz="10" w:space="0"/>
                    <w:right w:val="nil"/>
                  </w:tcBorders>
                  <w:vAlign w:val="top"/>
                </w:tcPr>
                <w:p w14:paraId="6DA506C1">
                  <w:pPr>
                    <w:spacing w:before="144" w:line="195" w:lineRule="auto"/>
                    <w:ind w:left="2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10.0</w:t>
                  </w:r>
                </w:p>
              </w:tc>
            </w:tr>
          </w:tbl>
          <w:p w14:paraId="7DCC5687">
            <w:pPr>
              <w:pStyle w:val="6"/>
              <w:spacing w:before="38" w:line="219" w:lineRule="auto"/>
              <w:ind w:left="600"/>
            </w:pPr>
            <w:r>
              <w:rPr>
                <w:spacing w:val="-3"/>
              </w:rPr>
              <w:t>（</w:t>
            </w:r>
            <w:r>
              <w:rPr>
                <w:rFonts w:ascii="Times New Roman" w:hAnsi="Times New Roman" w:eastAsia="Times New Roman" w:cs="Times New Roman"/>
                <w:spacing w:val="-3"/>
              </w:rPr>
              <w:t>1</w:t>
            </w:r>
            <w:r>
              <w:rPr>
                <w:spacing w:val="-3"/>
              </w:rPr>
              <w:t>）临时封井工艺：</w:t>
            </w:r>
          </w:p>
          <w:p w14:paraId="60C4A001">
            <w:pPr>
              <w:pStyle w:val="6"/>
              <w:spacing w:before="180" w:line="219" w:lineRule="auto"/>
              <w:ind w:left="607"/>
            </w:pPr>
            <w:r>
              <w:rPr>
                <w:rFonts w:ascii="Times New Roman" w:hAnsi="Times New Roman" w:eastAsia="Times New Roman" w:cs="Times New Roman"/>
                <w:spacing w:val="-3"/>
              </w:rPr>
              <w:t>1</w:t>
            </w:r>
            <w:r>
              <w:rPr>
                <w:spacing w:val="-3"/>
              </w:rPr>
              <w:t>）处理井口，刮削井筒。</w:t>
            </w:r>
          </w:p>
          <w:p w14:paraId="1DB91C82">
            <w:pPr>
              <w:pStyle w:val="6"/>
              <w:spacing w:before="183" w:line="219" w:lineRule="auto"/>
              <w:ind w:left="584"/>
            </w:pPr>
            <w:r>
              <w:rPr>
                <w:rFonts w:ascii="Times New Roman" w:hAnsi="Times New Roman" w:eastAsia="Times New Roman" w:cs="Times New Roman"/>
                <w:spacing w:val="-1"/>
              </w:rPr>
              <w:t>2</w:t>
            </w:r>
            <w:r>
              <w:rPr>
                <w:spacing w:val="-1"/>
              </w:rPr>
              <w:t>）井下采用封井器封井。</w:t>
            </w:r>
          </w:p>
        </w:tc>
      </w:tr>
    </w:tbl>
    <w:p w14:paraId="13C2A420">
      <w:pPr>
        <w:spacing w:line="231" w:lineRule="exact"/>
        <w:rPr>
          <w:rFonts w:ascii="Arial"/>
          <w:sz w:val="20"/>
        </w:rPr>
      </w:pPr>
    </w:p>
    <w:p w14:paraId="1A686722">
      <w:pPr>
        <w:spacing w:line="231" w:lineRule="exact"/>
        <w:rPr>
          <w:rFonts w:ascii="Arial" w:hAnsi="Arial" w:eastAsia="Arial" w:cs="Arial"/>
          <w:sz w:val="20"/>
          <w:szCs w:val="20"/>
        </w:rPr>
        <w:sectPr>
          <w:footerReference r:id="rId48" w:type="default"/>
          <w:pgSz w:w="11906" w:h="16839"/>
          <w:pgMar w:top="400" w:right="1403" w:bottom="1240" w:left="1572" w:header="0" w:footer="1078" w:gutter="0"/>
          <w:cols w:space="720" w:num="1"/>
        </w:sectPr>
      </w:pPr>
    </w:p>
    <w:p w14:paraId="7545D350">
      <w:pPr>
        <w:spacing w:before="56"/>
      </w:pPr>
    </w:p>
    <w:p w14:paraId="1949E36F">
      <w:pPr>
        <w:spacing w:before="56"/>
      </w:pPr>
    </w:p>
    <w:p w14:paraId="6A25CEF7">
      <w:pPr>
        <w:spacing w:before="55"/>
      </w:pPr>
    </w:p>
    <w:p w14:paraId="0B8802B3">
      <w:pPr>
        <w:spacing w:before="55"/>
      </w:pPr>
    </w:p>
    <w:tbl>
      <w:tblPr>
        <w:tblStyle w:val="5"/>
        <w:tblW w:w="891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6"/>
        <w:gridCol w:w="8449"/>
      </w:tblGrid>
      <w:tr w14:paraId="593262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34" w:hRule="atLeast"/>
        </w:trPr>
        <w:tc>
          <w:tcPr>
            <w:tcW w:w="466" w:type="dxa"/>
            <w:tcBorders>
              <w:right w:val="single" w:color="000000" w:sz="2" w:space="0"/>
            </w:tcBorders>
            <w:vAlign w:val="top"/>
          </w:tcPr>
          <w:p w14:paraId="0F2E87B0">
            <w:pPr>
              <w:rPr>
                <w:rFonts w:ascii="Arial"/>
                <w:sz w:val="21"/>
              </w:rPr>
            </w:pPr>
          </w:p>
        </w:tc>
        <w:tc>
          <w:tcPr>
            <w:tcW w:w="8449" w:type="dxa"/>
            <w:tcBorders>
              <w:left w:val="single" w:color="000000" w:sz="2" w:space="0"/>
            </w:tcBorders>
            <w:vAlign w:val="top"/>
          </w:tcPr>
          <w:p w14:paraId="3411B816">
            <w:pPr>
              <w:pStyle w:val="6"/>
              <w:spacing w:before="40" w:line="359" w:lineRule="auto"/>
              <w:ind w:left="115" w:right="99" w:firstLine="473"/>
            </w:pPr>
            <w:r>
              <w:rPr>
                <w:rFonts w:ascii="Times New Roman" w:hAnsi="Times New Roman" w:eastAsia="Times New Roman" w:cs="Times New Roman"/>
                <w:spacing w:val="-2"/>
              </w:rPr>
              <w:t>3</w:t>
            </w:r>
            <w:r>
              <w:rPr>
                <w:spacing w:val="-2"/>
              </w:rPr>
              <w:t>）检查封井气密性，所封油井必须达到井口各部紧固、不渗不漏、套管、总阀门、螺栓齐全。</w:t>
            </w:r>
          </w:p>
          <w:p w14:paraId="09E782C8">
            <w:pPr>
              <w:pStyle w:val="6"/>
              <w:spacing w:before="1" w:line="350" w:lineRule="auto"/>
              <w:ind w:left="109" w:right="102" w:firstLine="473"/>
            </w:pPr>
            <w:r>
              <w:rPr>
                <w:rFonts w:ascii="Times New Roman" w:hAnsi="Times New Roman" w:eastAsia="Times New Roman" w:cs="Times New Roman"/>
                <w:spacing w:val="2"/>
              </w:rPr>
              <w:t>4</w:t>
            </w:r>
            <w:r>
              <w:rPr>
                <w:spacing w:val="2"/>
              </w:rPr>
              <w:t>）封井结束后，拆除井口，安装单流凡尔，单流凡尔外安装</w:t>
            </w:r>
            <w:r>
              <w:rPr>
                <w:spacing w:val="-28"/>
              </w:rPr>
              <w:t xml:space="preserve"> </w:t>
            </w:r>
            <w:r>
              <w:rPr>
                <w:rFonts w:ascii="Times New Roman" w:hAnsi="Times New Roman" w:eastAsia="Times New Roman" w:cs="Times New Roman"/>
                <w:spacing w:val="2"/>
              </w:rPr>
              <w:t>5-8</w:t>
            </w:r>
            <w:r>
              <w:rPr>
                <w:rFonts w:ascii="Times New Roman" w:hAnsi="Times New Roman" w:eastAsia="Times New Roman" w:cs="Times New Roman"/>
              </w:rPr>
              <w:t>mm</w:t>
            </w:r>
            <w:r>
              <w:rPr>
                <w:rFonts w:ascii="Times New Roman" w:hAnsi="Times New Roman" w:eastAsia="Times New Roman" w:cs="Times New Roman"/>
                <w:spacing w:val="2"/>
              </w:rPr>
              <w:t xml:space="preserve"> </w:t>
            </w:r>
            <w:r>
              <w:rPr>
                <w:spacing w:val="2"/>
              </w:rPr>
              <w:t>钢板焊成的护罩，护罩内壁和单流凡尔之间要有一定的间隙，护罩形状为方</w:t>
            </w:r>
            <w:r>
              <w:rPr>
                <w:spacing w:val="1"/>
              </w:rPr>
              <w:t>形或圆</w:t>
            </w:r>
            <w:r>
              <w:rPr>
                <w:spacing w:val="-1"/>
              </w:rPr>
              <w:t>形，护罩外壁和顶面要点焊井号。</w:t>
            </w:r>
          </w:p>
          <w:p w14:paraId="38222167">
            <w:pPr>
              <w:spacing w:line="3117" w:lineRule="exact"/>
              <w:ind w:firstLine="1755"/>
            </w:pPr>
            <w:r>
              <w:rPr>
                <w:position w:val="-62"/>
              </w:rPr>
              <w:drawing>
                <wp:inline distT="0" distB="0" distL="0" distR="0">
                  <wp:extent cx="3125470" cy="197929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87"/>
                          <a:stretch>
                            <a:fillRect/>
                          </a:stretch>
                        </pic:blipFill>
                        <pic:spPr>
                          <a:xfrm>
                            <a:off x="0" y="0"/>
                            <a:ext cx="3125724" cy="1979675"/>
                          </a:xfrm>
                          <a:prstGeom prst="rect">
                            <a:avLst/>
                          </a:prstGeom>
                        </pic:spPr>
                      </pic:pic>
                    </a:graphicData>
                  </a:graphic>
                </wp:inline>
              </w:drawing>
            </w:r>
          </w:p>
          <w:p w14:paraId="2ED0C868">
            <w:pPr>
              <w:spacing w:before="173" w:line="222" w:lineRule="auto"/>
              <w:ind w:left="3031"/>
              <w:rPr>
                <w:rFonts w:ascii="黑体" w:hAnsi="黑体" w:eastAsia="黑体" w:cs="黑体"/>
                <w:sz w:val="24"/>
                <w:szCs w:val="24"/>
              </w:rPr>
            </w:pPr>
            <w:r>
              <w:rPr>
                <w:rFonts w:ascii="黑体" w:hAnsi="黑体" w:eastAsia="黑体" w:cs="黑体"/>
                <w:spacing w:val="-3"/>
                <w:sz w:val="24"/>
                <w:szCs w:val="24"/>
              </w:rPr>
              <w:t>图</w:t>
            </w:r>
            <w:r>
              <w:rPr>
                <w:rFonts w:ascii="黑体" w:hAnsi="黑体" w:eastAsia="黑体" w:cs="黑体"/>
                <w:spacing w:val="-47"/>
                <w:sz w:val="24"/>
                <w:szCs w:val="24"/>
              </w:rPr>
              <w:t xml:space="preserve"> </w:t>
            </w:r>
            <w:r>
              <w:rPr>
                <w:rFonts w:ascii="Times New Roman" w:hAnsi="Times New Roman" w:eastAsia="Times New Roman" w:cs="Times New Roman"/>
                <w:spacing w:val="-3"/>
                <w:sz w:val="24"/>
                <w:szCs w:val="24"/>
              </w:rPr>
              <w:t xml:space="preserve">2-9  </w:t>
            </w:r>
            <w:r>
              <w:rPr>
                <w:rFonts w:ascii="黑体" w:hAnsi="黑体" w:eastAsia="黑体" w:cs="黑体"/>
                <w:spacing w:val="-3"/>
                <w:sz w:val="24"/>
                <w:szCs w:val="24"/>
              </w:rPr>
              <w:t>临时封井示意图</w:t>
            </w:r>
          </w:p>
          <w:p w14:paraId="4F013773">
            <w:pPr>
              <w:pStyle w:val="6"/>
              <w:spacing w:before="177" w:line="359" w:lineRule="auto"/>
              <w:ind w:left="128" w:right="103" w:firstLine="462"/>
            </w:pPr>
            <w:r>
              <w:rPr>
                <w:rFonts w:ascii="Times New Roman" w:hAnsi="Times New Roman" w:eastAsia="Times New Roman" w:cs="Times New Roman"/>
                <w:spacing w:val="-7"/>
              </w:rPr>
              <w:t>5</w:t>
            </w:r>
            <w:r>
              <w:rPr>
                <w:spacing w:val="-7"/>
              </w:rPr>
              <w:t>）护罩外灌注钢筋水泥井口护墩，护墩钢筋骨</w:t>
            </w:r>
            <w:r>
              <w:rPr>
                <w:spacing w:val="-8"/>
              </w:rPr>
              <w:t>架网直径</w:t>
            </w:r>
            <w:r>
              <w:rPr>
                <w:spacing w:val="-48"/>
              </w:rPr>
              <w:t xml:space="preserve"> </w:t>
            </w:r>
            <w:r>
              <w:rPr>
                <w:rFonts w:ascii="Times New Roman" w:hAnsi="Times New Roman" w:eastAsia="Times New Roman" w:cs="Times New Roman"/>
                <w:spacing w:val="-8"/>
              </w:rPr>
              <w:t>58cm</w:t>
            </w:r>
            <w:r>
              <w:rPr>
                <w:spacing w:val="-8"/>
              </w:rPr>
              <w:t>，用直径</w:t>
            </w:r>
            <w:r>
              <w:rPr>
                <w:spacing w:val="-49"/>
              </w:rPr>
              <w:t xml:space="preserve"> </w:t>
            </w:r>
            <w:r>
              <w:rPr>
                <w:rFonts w:ascii="Times New Roman" w:hAnsi="Times New Roman" w:eastAsia="Times New Roman" w:cs="Times New Roman"/>
                <w:spacing w:val="-8"/>
              </w:rPr>
              <w:t>5mm</w:t>
            </w:r>
            <w:r>
              <w:rPr>
                <w:spacing w:val="-2"/>
              </w:rPr>
              <w:t>的钢条编制，密度为</w:t>
            </w:r>
            <w:r>
              <w:rPr>
                <w:spacing w:val="-49"/>
              </w:rPr>
              <w:t xml:space="preserve"> </w:t>
            </w:r>
            <w:r>
              <w:rPr>
                <w:rFonts w:ascii="Times New Roman" w:hAnsi="Times New Roman" w:eastAsia="Times New Roman" w:cs="Times New Roman"/>
                <w:spacing w:val="-2"/>
              </w:rPr>
              <w:t>5cm×5cm×5cm</w:t>
            </w:r>
            <w:r>
              <w:rPr>
                <w:spacing w:val="-2"/>
              </w:rPr>
              <w:t>。</w:t>
            </w:r>
          </w:p>
          <w:p w14:paraId="0B6E2A4C">
            <w:pPr>
              <w:pStyle w:val="6"/>
              <w:spacing w:before="1" w:line="359" w:lineRule="auto"/>
              <w:ind w:left="109" w:right="22" w:firstLine="480"/>
            </w:pPr>
            <w:r>
              <w:rPr>
                <w:rFonts w:ascii="Times New Roman" w:hAnsi="Times New Roman" w:eastAsia="Times New Roman" w:cs="Times New Roman"/>
                <w:spacing w:val="-4"/>
              </w:rPr>
              <w:t>6</w:t>
            </w:r>
            <w:r>
              <w:rPr>
                <w:spacing w:val="-4"/>
              </w:rPr>
              <w:t>）护墩外表应为光滑水泥面的圆柱体，自地面以下</w:t>
            </w:r>
            <w:r>
              <w:rPr>
                <w:rFonts w:ascii="Times New Roman" w:hAnsi="Times New Roman" w:eastAsia="Times New Roman" w:cs="Times New Roman"/>
                <w:spacing w:val="-5"/>
              </w:rPr>
              <w:t>80cm</w:t>
            </w:r>
            <w:r>
              <w:rPr>
                <w:spacing w:val="-5"/>
              </w:rPr>
              <w:t>起到地面以上</w:t>
            </w:r>
            <w:r>
              <w:rPr>
                <w:rFonts w:ascii="Times New Roman" w:hAnsi="Times New Roman" w:eastAsia="Times New Roman" w:cs="Times New Roman"/>
                <w:spacing w:val="-5"/>
              </w:rPr>
              <w:t>80cm</w:t>
            </w:r>
            <w:r>
              <w:rPr>
                <w:spacing w:val="-2"/>
              </w:rPr>
              <w:t>止，直径</w:t>
            </w:r>
            <w:r>
              <w:rPr>
                <w:spacing w:val="-50"/>
              </w:rPr>
              <w:t xml:space="preserve"> </w:t>
            </w:r>
            <w:r>
              <w:rPr>
                <w:rFonts w:ascii="Times New Roman" w:hAnsi="Times New Roman" w:eastAsia="Times New Roman" w:cs="Times New Roman"/>
                <w:spacing w:val="-2"/>
              </w:rPr>
              <w:t>60cm</w:t>
            </w:r>
            <w:r>
              <w:rPr>
                <w:rFonts w:ascii="Times New Roman" w:hAnsi="Times New Roman" w:eastAsia="Times New Roman" w:cs="Times New Roman"/>
                <w:spacing w:val="-30"/>
              </w:rPr>
              <w:t xml:space="preserve"> </w:t>
            </w:r>
            <w:r>
              <w:rPr>
                <w:spacing w:val="-2"/>
              </w:rPr>
              <w:t>，顶面有清晰的刻印刷漆的</w:t>
            </w:r>
            <w:r>
              <w:rPr>
                <w:spacing w:val="-3"/>
              </w:rPr>
              <w:t>红色井号标识，四周应标明“危险勿动！”的字样。移交勘探井所在井场归属的采油部门管理，对勘探井定期巡视。</w:t>
            </w:r>
            <w:r>
              <w:rPr>
                <w:spacing w:val="-1"/>
              </w:rPr>
              <w:t>若后续利用该勘探井从事生产活动，需另行履行环保手续。</w:t>
            </w:r>
          </w:p>
          <w:p w14:paraId="206E179E">
            <w:pPr>
              <w:pStyle w:val="6"/>
              <w:spacing w:line="220" w:lineRule="auto"/>
              <w:ind w:left="600"/>
            </w:pPr>
            <w:r>
              <w:rPr>
                <w:spacing w:val="-3"/>
              </w:rPr>
              <w:t>（</w:t>
            </w:r>
            <w:r>
              <w:rPr>
                <w:rFonts w:ascii="Times New Roman" w:hAnsi="Times New Roman" w:eastAsia="Times New Roman" w:cs="Times New Roman"/>
                <w:spacing w:val="-3"/>
              </w:rPr>
              <w:t>2</w:t>
            </w:r>
            <w:r>
              <w:rPr>
                <w:spacing w:val="-3"/>
              </w:rPr>
              <w:t>）永久封井工艺：</w:t>
            </w:r>
          </w:p>
          <w:p w14:paraId="4E96F06E">
            <w:pPr>
              <w:pStyle w:val="6"/>
              <w:spacing w:before="182" w:line="359" w:lineRule="auto"/>
              <w:ind w:left="110" w:right="102" w:firstLine="496"/>
            </w:pPr>
            <w:r>
              <w:rPr>
                <w:rFonts w:ascii="Times New Roman" w:hAnsi="Times New Roman" w:eastAsia="Times New Roman" w:cs="Times New Roman"/>
                <w:spacing w:val="-2"/>
              </w:rPr>
              <w:t>1</w:t>
            </w:r>
            <w:r>
              <w:rPr>
                <w:spacing w:val="-2"/>
              </w:rPr>
              <w:t>）隔离各个油气层和处理废水的层段，并在最下部淡水层</w:t>
            </w:r>
            <w:r>
              <w:rPr>
                <w:spacing w:val="-3"/>
              </w:rPr>
              <w:t>的底部打一个水</w:t>
            </w:r>
            <w:r>
              <w:rPr>
                <w:spacing w:val="-4"/>
              </w:rPr>
              <w:t>泥塞；</w:t>
            </w:r>
          </w:p>
          <w:p w14:paraId="72E486B9">
            <w:pPr>
              <w:pStyle w:val="6"/>
              <w:spacing w:line="359" w:lineRule="auto"/>
              <w:ind w:left="108" w:right="102" w:firstLine="475"/>
            </w:pPr>
            <w:r>
              <w:rPr>
                <w:rFonts w:ascii="Times New Roman" w:hAnsi="Times New Roman" w:eastAsia="Times New Roman" w:cs="Times New Roman"/>
                <w:spacing w:val="-2"/>
              </w:rPr>
              <w:t>2</w:t>
            </w:r>
            <w:r>
              <w:rPr>
                <w:spacing w:val="-2"/>
              </w:rPr>
              <w:t>）打地表水泥塞，阻止地面水渗入井内，并流入淡水层，同时限制井内流</w:t>
            </w:r>
            <w:r>
              <w:rPr>
                <w:spacing w:val="-1"/>
              </w:rPr>
              <w:t>体流出地表，从而保护土壤；</w:t>
            </w:r>
          </w:p>
          <w:p w14:paraId="77227014">
            <w:pPr>
              <w:pStyle w:val="6"/>
              <w:spacing w:before="3" w:line="358" w:lineRule="auto"/>
              <w:ind w:left="108" w:right="102" w:firstLine="480"/>
            </w:pPr>
            <w:r>
              <w:rPr>
                <w:rFonts w:ascii="Times New Roman" w:hAnsi="Times New Roman" w:eastAsia="Times New Roman" w:cs="Times New Roman"/>
                <w:spacing w:val="-2"/>
              </w:rPr>
              <w:t>3</w:t>
            </w:r>
            <w:r>
              <w:rPr>
                <w:spacing w:val="-2"/>
              </w:rPr>
              <w:t>）为防止层间窜流干扰邻近井的开发，在废弃井井内选择水泥塞或桥塞的</w:t>
            </w:r>
            <w:r>
              <w:rPr>
                <w:spacing w:val="2"/>
              </w:rPr>
              <w:t>位置，确保隔离开油气层，使井内所有油层、水层等井段都被隔离开，将</w:t>
            </w:r>
            <w:r>
              <w:rPr>
                <w:spacing w:val="1"/>
              </w:rPr>
              <w:t>油气</w:t>
            </w:r>
            <w:r>
              <w:rPr>
                <w:spacing w:val="-1"/>
              </w:rPr>
              <w:t>限制在各自的层段内，阻止各层之间的井内窜流；</w:t>
            </w:r>
          </w:p>
          <w:p w14:paraId="65ACBA0D">
            <w:pPr>
              <w:pStyle w:val="6"/>
              <w:spacing w:before="2" w:line="342" w:lineRule="auto"/>
              <w:ind w:left="145" w:right="102" w:firstLine="437"/>
            </w:pPr>
            <w:r>
              <w:rPr>
                <w:rFonts w:ascii="Times New Roman" w:hAnsi="Times New Roman" w:eastAsia="Times New Roman" w:cs="Times New Roman"/>
                <w:spacing w:val="1"/>
              </w:rPr>
              <w:t>4</w:t>
            </w:r>
            <w:r>
              <w:rPr>
                <w:spacing w:val="1"/>
              </w:rPr>
              <w:t>）提出所有井下油管和井下工具，去掉井口装置，井口下挖</w:t>
            </w:r>
            <w:r>
              <w:rPr>
                <w:spacing w:val="-54"/>
              </w:rPr>
              <w:t xml:space="preserve"> </w:t>
            </w:r>
            <w:r>
              <w:rPr>
                <w:rFonts w:ascii="Times New Roman" w:hAnsi="Times New Roman" w:eastAsia="Times New Roman" w:cs="Times New Roman"/>
              </w:rPr>
              <w:t>2m</w:t>
            </w:r>
            <w:r>
              <w:rPr>
                <w:rFonts w:ascii="Times New Roman" w:hAnsi="Times New Roman" w:eastAsia="Times New Roman" w:cs="Times New Roman"/>
                <w:spacing w:val="-28"/>
              </w:rPr>
              <w:t xml:space="preserve"> </w:t>
            </w:r>
            <w:r>
              <w:t>，割掉井</w:t>
            </w:r>
            <w:r>
              <w:rPr>
                <w:spacing w:val="1"/>
              </w:rPr>
              <w:t>口套管后用电焊封死井口，然后用表层土覆盖，恢复地貌。在井口</w:t>
            </w:r>
            <w:r>
              <w:t>位置处设置</w:t>
            </w:r>
          </w:p>
        </w:tc>
      </w:tr>
    </w:tbl>
    <w:p w14:paraId="246C8E32">
      <w:pPr>
        <w:rPr>
          <w:rFonts w:ascii="Arial"/>
          <w:sz w:val="21"/>
        </w:rPr>
      </w:pPr>
    </w:p>
    <w:p w14:paraId="40A0DD82">
      <w:pPr>
        <w:rPr>
          <w:rFonts w:ascii="Arial" w:hAnsi="Arial" w:eastAsia="Arial" w:cs="Arial"/>
          <w:sz w:val="21"/>
          <w:szCs w:val="21"/>
        </w:rPr>
        <w:sectPr>
          <w:footerReference r:id="rId49" w:type="default"/>
          <w:pgSz w:w="11906" w:h="16839"/>
          <w:pgMar w:top="400" w:right="1403" w:bottom="1240" w:left="1572" w:header="0" w:footer="1078" w:gutter="0"/>
          <w:cols w:space="720" w:num="1"/>
        </w:sectPr>
      </w:pPr>
    </w:p>
    <w:p w14:paraId="27BCD4E5">
      <w:pPr>
        <w:spacing w:before="56"/>
      </w:pPr>
    </w:p>
    <w:p w14:paraId="01B63279">
      <w:pPr>
        <w:spacing w:before="56"/>
      </w:pPr>
    </w:p>
    <w:p w14:paraId="4E40640B">
      <w:pPr>
        <w:spacing w:before="55"/>
      </w:pPr>
    </w:p>
    <w:p w14:paraId="64455877">
      <w:pPr>
        <w:spacing w:before="55"/>
      </w:pPr>
    </w:p>
    <w:tbl>
      <w:tblPr>
        <w:tblStyle w:val="5"/>
        <w:tblW w:w="891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6"/>
        <w:gridCol w:w="8449"/>
      </w:tblGrid>
      <w:tr w14:paraId="53FA69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34" w:hRule="atLeast"/>
        </w:trPr>
        <w:tc>
          <w:tcPr>
            <w:tcW w:w="466" w:type="dxa"/>
            <w:tcBorders>
              <w:right w:val="single" w:color="000000" w:sz="2" w:space="0"/>
            </w:tcBorders>
            <w:vAlign w:val="top"/>
          </w:tcPr>
          <w:p w14:paraId="6CBA1186">
            <w:pPr>
              <w:rPr>
                <w:rFonts w:ascii="Arial"/>
                <w:sz w:val="21"/>
              </w:rPr>
            </w:pPr>
          </w:p>
        </w:tc>
        <w:tc>
          <w:tcPr>
            <w:tcW w:w="8449" w:type="dxa"/>
            <w:tcBorders>
              <w:left w:val="single" w:color="000000" w:sz="2" w:space="0"/>
            </w:tcBorders>
            <w:vAlign w:val="top"/>
          </w:tcPr>
          <w:p w14:paraId="071F0066">
            <w:pPr>
              <w:pStyle w:val="6"/>
              <w:spacing w:before="39" w:line="219" w:lineRule="auto"/>
              <w:ind w:left="110"/>
            </w:pPr>
            <w:r>
              <w:rPr>
                <w:spacing w:val="-1"/>
              </w:rPr>
              <w:t>可供识别的标志，加以保护，防止人为破坏。</w:t>
            </w:r>
          </w:p>
          <w:p w14:paraId="462DC1F7">
            <w:pPr>
              <w:spacing w:before="146" w:line="3118" w:lineRule="exact"/>
              <w:ind w:firstLine="1686"/>
            </w:pPr>
            <w:r>
              <w:rPr>
                <w:position w:val="-62"/>
              </w:rPr>
              <w:drawing>
                <wp:inline distT="0" distB="0" distL="0" distR="0">
                  <wp:extent cx="3216910" cy="197929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88"/>
                          <a:stretch>
                            <a:fillRect/>
                          </a:stretch>
                        </pic:blipFill>
                        <pic:spPr>
                          <a:xfrm>
                            <a:off x="0" y="0"/>
                            <a:ext cx="3217164" cy="1979676"/>
                          </a:xfrm>
                          <a:prstGeom prst="rect">
                            <a:avLst/>
                          </a:prstGeom>
                        </pic:spPr>
                      </pic:pic>
                    </a:graphicData>
                  </a:graphic>
                </wp:inline>
              </w:drawing>
            </w:r>
          </w:p>
          <w:p w14:paraId="29C588F8">
            <w:pPr>
              <w:spacing w:before="173" w:line="222" w:lineRule="auto"/>
              <w:ind w:left="2731"/>
              <w:rPr>
                <w:rFonts w:ascii="黑体" w:hAnsi="黑体" w:eastAsia="黑体" w:cs="黑体"/>
                <w:sz w:val="24"/>
                <w:szCs w:val="24"/>
              </w:rPr>
            </w:pPr>
            <w:r>
              <w:rPr>
                <w:rFonts w:ascii="黑体" w:hAnsi="黑体" w:eastAsia="黑体" w:cs="黑体"/>
                <w:spacing w:val="-4"/>
                <w:sz w:val="24"/>
                <w:szCs w:val="24"/>
              </w:rPr>
              <w:t>图</w:t>
            </w:r>
            <w:r>
              <w:rPr>
                <w:rFonts w:ascii="黑体" w:hAnsi="黑体" w:eastAsia="黑体" w:cs="黑体"/>
                <w:spacing w:val="-49"/>
                <w:sz w:val="24"/>
                <w:szCs w:val="24"/>
              </w:rPr>
              <w:t xml:space="preserve"> </w:t>
            </w:r>
            <w:r>
              <w:rPr>
                <w:rFonts w:ascii="Times New Roman" w:hAnsi="Times New Roman" w:eastAsia="Times New Roman" w:cs="Times New Roman"/>
                <w:spacing w:val="-4"/>
                <w:sz w:val="24"/>
                <w:szCs w:val="24"/>
              </w:rPr>
              <w:t>2-</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4"/>
                <w:sz w:val="24"/>
                <w:szCs w:val="24"/>
              </w:rPr>
              <w:t xml:space="preserve">10  </w:t>
            </w:r>
            <w:r>
              <w:rPr>
                <w:rFonts w:ascii="黑体" w:hAnsi="黑体" w:eastAsia="黑体" w:cs="黑体"/>
                <w:spacing w:val="-4"/>
                <w:sz w:val="24"/>
                <w:szCs w:val="24"/>
              </w:rPr>
              <w:t>永久封井剖面示意图</w:t>
            </w:r>
          </w:p>
          <w:p w14:paraId="3B4CB5A0">
            <w:pPr>
              <w:pStyle w:val="6"/>
              <w:spacing w:before="181" w:line="359" w:lineRule="auto"/>
              <w:ind w:left="107" w:right="102" w:firstLine="485"/>
              <w:jc w:val="both"/>
            </w:pPr>
            <w:r>
              <w:rPr>
                <w:spacing w:val="2"/>
              </w:rPr>
              <w:t>项目勘探结束后，对钻井井场能重复利用的设施搬迁利用，不能利用</w:t>
            </w:r>
            <w:r>
              <w:rPr>
                <w:spacing w:val="1"/>
              </w:rPr>
              <w:t>的统</w:t>
            </w:r>
            <w:r>
              <w:rPr>
                <w:spacing w:val="2"/>
              </w:rPr>
              <w:t>一收集交回收单位处置；对构筑的设备基础拆除后作业场地进行平整，清除场内固体废物，再用井场建设时的表层土作为种植土，对临时占地实施复垦、生态恢复。恢复流程为：钻井完成</w:t>
            </w:r>
            <w:r>
              <w:rPr>
                <w:rFonts w:ascii="Times New Roman" w:hAnsi="Times New Roman" w:eastAsia="Times New Roman" w:cs="Times New Roman"/>
                <w:spacing w:val="2"/>
              </w:rPr>
              <w:t>→</w:t>
            </w:r>
            <w:r>
              <w:rPr>
                <w:spacing w:val="2"/>
              </w:rPr>
              <w:t>拆除建（构）筑物</w:t>
            </w:r>
            <w:r>
              <w:rPr>
                <w:rFonts w:ascii="Times New Roman" w:hAnsi="Times New Roman" w:eastAsia="Times New Roman" w:cs="Times New Roman"/>
                <w:spacing w:val="2"/>
              </w:rPr>
              <w:t>→</w:t>
            </w:r>
            <w:r>
              <w:rPr>
                <w:spacing w:val="2"/>
              </w:rPr>
              <w:t>清理场地</w:t>
            </w:r>
            <w:r>
              <w:rPr>
                <w:rFonts w:ascii="Times New Roman" w:hAnsi="Times New Roman" w:eastAsia="Times New Roman" w:cs="Times New Roman"/>
                <w:spacing w:val="2"/>
              </w:rPr>
              <w:t>→</w:t>
            </w:r>
            <w:r>
              <w:rPr>
                <w:spacing w:val="2"/>
              </w:rPr>
              <w:t>人工松土</w:t>
            </w:r>
            <w:r>
              <w:rPr>
                <w:rFonts w:ascii="Times New Roman" w:hAnsi="Times New Roman" w:eastAsia="Times New Roman" w:cs="Times New Roman"/>
                <w:spacing w:val="2"/>
              </w:rPr>
              <w:t>→</w:t>
            </w:r>
            <w:r>
              <w:rPr>
                <w:spacing w:val="-2"/>
              </w:rPr>
              <w:t>将土覆盖</w:t>
            </w:r>
            <w:r>
              <w:rPr>
                <w:rFonts w:ascii="Times New Roman" w:hAnsi="Times New Roman" w:eastAsia="Times New Roman" w:cs="Times New Roman"/>
                <w:spacing w:val="-2"/>
              </w:rPr>
              <w:t>→</w:t>
            </w:r>
            <w:r>
              <w:rPr>
                <w:spacing w:val="-2"/>
              </w:rPr>
              <w:t>整理摊铺耕植土方</w:t>
            </w:r>
            <w:r>
              <w:rPr>
                <w:rFonts w:ascii="Times New Roman" w:hAnsi="Times New Roman" w:eastAsia="Times New Roman" w:cs="Times New Roman"/>
                <w:spacing w:val="-2"/>
              </w:rPr>
              <w:t>→</w:t>
            </w:r>
            <w:r>
              <w:rPr>
                <w:rFonts w:ascii="Times New Roman" w:hAnsi="Times New Roman" w:eastAsia="Times New Roman" w:cs="Times New Roman"/>
                <w:spacing w:val="-35"/>
              </w:rPr>
              <w:t xml:space="preserve"> </w:t>
            </w:r>
            <w:r>
              <w:rPr>
                <w:spacing w:val="-2"/>
              </w:rPr>
              <w:t>复耕。</w:t>
            </w:r>
          </w:p>
          <w:p w14:paraId="7C396649">
            <w:pPr>
              <w:pStyle w:val="6"/>
              <w:spacing w:line="219" w:lineRule="auto"/>
              <w:ind w:left="592"/>
            </w:pPr>
            <w:r>
              <w:rPr>
                <w:b/>
                <w:bCs/>
                <w:spacing w:val="-4"/>
              </w:rPr>
              <w:t>二、产排污节点</w:t>
            </w:r>
          </w:p>
          <w:p w14:paraId="274D4352">
            <w:pPr>
              <w:pStyle w:val="6"/>
              <w:spacing w:before="180" w:line="220" w:lineRule="auto"/>
              <w:ind w:left="607"/>
            </w:pPr>
            <w:r>
              <w:rPr>
                <w:rFonts w:ascii="Times New Roman" w:hAnsi="Times New Roman" w:eastAsia="Times New Roman" w:cs="Times New Roman"/>
                <w:spacing w:val="-14"/>
              </w:rPr>
              <w:t>1</w:t>
            </w:r>
            <w:r>
              <w:rPr>
                <w:rFonts w:ascii="Times New Roman" w:hAnsi="Times New Roman" w:eastAsia="Times New Roman" w:cs="Times New Roman"/>
                <w:spacing w:val="-34"/>
              </w:rPr>
              <w:t xml:space="preserve"> </w:t>
            </w:r>
            <w:r>
              <w:rPr>
                <w:spacing w:val="-14"/>
              </w:rPr>
              <w:t>、废气</w:t>
            </w:r>
          </w:p>
          <w:p w14:paraId="2172B29B">
            <w:pPr>
              <w:pStyle w:val="6"/>
              <w:spacing w:before="180" w:line="219" w:lineRule="auto"/>
              <w:ind w:left="588"/>
            </w:pPr>
            <w:r>
              <w:rPr>
                <w:spacing w:val="-1"/>
              </w:rPr>
              <w:t>钻井工程施工过程中产生的废气包括：</w:t>
            </w:r>
          </w:p>
          <w:p w14:paraId="18F6B61C">
            <w:pPr>
              <w:pStyle w:val="6"/>
              <w:spacing w:before="183" w:line="359" w:lineRule="auto"/>
              <w:ind w:left="110" w:right="102" w:firstLine="478"/>
            </w:pPr>
            <w:r>
              <w:rPr>
                <w:spacing w:val="2"/>
              </w:rPr>
              <w:t>钻前工程的表土剥离及场地平整、运输及原材料堆放等的施工扬尘，主要</w:t>
            </w:r>
            <w:r>
              <w:rPr>
                <w:spacing w:val="-2"/>
              </w:rPr>
              <w:t>污染物为颗粒物。</w:t>
            </w:r>
          </w:p>
          <w:p w14:paraId="0F86427E">
            <w:pPr>
              <w:pStyle w:val="6"/>
              <w:spacing w:line="359" w:lineRule="auto"/>
              <w:ind w:left="109" w:right="102" w:firstLine="478"/>
            </w:pPr>
            <w:r>
              <w:rPr>
                <w:spacing w:val="-2"/>
              </w:rPr>
              <w:t>勘探过程中的柴油发电机废气，主要污染物为颗粒物、</w:t>
            </w:r>
            <w:r>
              <w:rPr>
                <w:rFonts w:ascii="Times New Roman" w:hAnsi="Times New Roman" w:eastAsia="Times New Roman" w:cs="Times New Roman"/>
                <w:spacing w:val="-2"/>
              </w:rPr>
              <w:t>SO</w:t>
            </w:r>
            <w:r>
              <w:rPr>
                <w:rFonts w:ascii="Times New Roman" w:hAnsi="Times New Roman" w:eastAsia="Times New Roman" w:cs="Times New Roman"/>
                <w:spacing w:val="-2"/>
                <w:position w:val="-1"/>
                <w:sz w:val="15"/>
                <w:szCs w:val="15"/>
              </w:rPr>
              <w:t>2</w:t>
            </w:r>
            <w:r>
              <w:rPr>
                <w:spacing w:val="-2"/>
              </w:rPr>
              <w:t>、</w:t>
            </w:r>
            <w:r>
              <w:rPr>
                <w:rFonts w:ascii="Times New Roman" w:hAnsi="Times New Roman" w:eastAsia="Times New Roman" w:cs="Times New Roman"/>
                <w:spacing w:val="-2"/>
              </w:rPr>
              <w:t>NO</w:t>
            </w:r>
            <w:r>
              <w:rPr>
                <w:rFonts w:ascii="Times New Roman" w:hAnsi="Times New Roman" w:eastAsia="Times New Roman" w:cs="Times New Roman"/>
                <w:spacing w:val="-2"/>
                <w:position w:val="-1"/>
                <w:sz w:val="15"/>
                <w:szCs w:val="15"/>
              </w:rPr>
              <w:t>X</w:t>
            </w:r>
            <w:r>
              <w:rPr>
                <w:rFonts w:ascii="Times New Roman" w:hAnsi="Times New Roman" w:eastAsia="Times New Roman" w:cs="Times New Roman"/>
                <w:spacing w:val="23"/>
                <w:position w:val="-1"/>
                <w:sz w:val="15"/>
                <w:szCs w:val="15"/>
              </w:rPr>
              <w:t xml:space="preserve"> </w:t>
            </w:r>
            <w:r>
              <w:rPr>
                <w:spacing w:val="-2"/>
              </w:rPr>
              <w:t>等</w:t>
            </w:r>
            <w:r>
              <w:rPr>
                <w:spacing w:val="-2"/>
                <w:sz w:val="20"/>
                <w:szCs w:val="20"/>
              </w:rPr>
              <w:t>；</w:t>
            </w:r>
            <w:r>
              <w:rPr>
                <w:spacing w:val="-2"/>
              </w:rPr>
              <w:t>柴油</w:t>
            </w:r>
            <w:r>
              <w:rPr>
                <w:spacing w:val="-1"/>
              </w:rPr>
              <w:t>贮存过程柴油油罐废气，主要污染物为非甲烷总烃。</w:t>
            </w:r>
          </w:p>
          <w:p w14:paraId="3DA8C8B5">
            <w:pPr>
              <w:pStyle w:val="6"/>
              <w:spacing w:before="1" w:line="219" w:lineRule="auto"/>
              <w:ind w:left="588"/>
            </w:pPr>
            <w:r>
              <w:rPr>
                <w:spacing w:val="-1"/>
              </w:rPr>
              <w:t>试油过程中产生试油废气，主要污染物为非甲烷总烃。</w:t>
            </w:r>
          </w:p>
          <w:p w14:paraId="4136A458">
            <w:pPr>
              <w:pStyle w:val="6"/>
              <w:spacing w:before="183" w:line="219" w:lineRule="auto"/>
              <w:ind w:left="584"/>
            </w:pPr>
            <w:r>
              <w:rPr>
                <w:rFonts w:ascii="Times New Roman" w:hAnsi="Times New Roman" w:eastAsia="Times New Roman" w:cs="Times New Roman"/>
                <w:spacing w:val="-8"/>
              </w:rPr>
              <w:t>2</w:t>
            </w:r>
            <w:r>
              <w:rPr>
                <w:rFonts w:ascii="Times New Roman" w:hAnsi="Times New Roman" w:eastAsia="Times New Roman" w:cs="Times New Roman"/>
                <w:spacing w:val="-34"/>
              </w:rPr>
              <w:t xml:space="preserve"> </w:t>
            </w:r>
            <w:r>
              <w:rPr>
                <w:spacing w:val="-8"/>
              </w:rPr>
              <w:t>、废水</w:t>
            </w:r>
          </w:p>
          <w:p w14:paraId="66C1E8F6">
            <w:pPr>
              <w:pStyle w:val="6"/>
              <w:spacing w:before="181" w:line="359" w:lineRule="auto"/>
              <w:ind w:left="109" w:right="102" w:firstLine="479"/>
            </w:pPr>
            <w:r>
              <w:rPr>
                <w:spacing w:val="2"/>
              </w:rPr>
              <w:t>钻井过程中，废水主要为钻井废水，其随同废弃泥浆、岩屑收集至泥浆不落地循环系统装置旁的可移动废水罐临时贮存，最终拉运至内蒙古众宁</w:t>
            </w:r>
            <w:r>
              <w:rPr>
                <w:spacing w:val="1"/>
              </w:rPr>
              <w:t>环保科</w:t>
            </w:r>
            <w:r>
              <w:rPr>
                <w:spacing w:val="2"/>
              </w:rPr>
              <w:t>技有限公司油气田废弃物集中处理厂。现场不进行废弃泥浆及岩屑的压</w:t>
            </w:r>
            <w:r>
              <w:rPr>
                <w:spacing w:val="1"/>
              </w:rPr>
              <w:t>滤及分</w:t>
            </w:r>
            <w:r>
              <w:rPr>
                <w:spacing w:val="-1"/>
              </w:rPr>
              <w:t>离，因此不单独产生钻井废水。</w:t>
            </w:r>
          </w:p>
          <w:p w14:paraId="5870A438">
            <w:pPr>
              <w:pStyle w:val="6"/>
              <w:spacing w:before="2" w:line="342" w:lineRule="auto"/>
              <w:ind w:left="108" w:right="105" w:firstLine="481"/>
            </w:pPr>
            <w:r>
              <w:t>生活污水主要污染物为</w:t>
            </w:r>
            <w:r>
              <w:rPr>
                <w:spacing w:val="-49"/>
              </w:rPr>
              <w:t xml:space="preserve"> </w:t>
            </w:r>
            <w:r>
              <w:rPr>
                <w:rFonts w:ascii="Times New Roman" w:hAnsi="Times New Roman" w:eastAsia="Times New Roman" w:cs="Times New Roman"/>
              </w:rPr>
              <w:t>COD</w:t>
            </w:r>
            <w:r>
              <w:rPr>
                <w:rFonts w:ascii="Times New Roman" w:hAnsi="Times New Roman" w:eastAsia="Times New Roman" w:cs="Times New Roman"/>
                <w:spacing w:val="-29"/>
              </w:rPr>
              <w:t xml:space="preserve"> </w:t>
            </w:r>
            <w:r>
              <w:t>、</w:t>
            </w:r>
            <w:r>
              <w:rPr>
                <w:rFonts w:ascii="Times New Roman" w:hAnsi="Times New Roman" w:eastAsia="Times New Roman" w:cs="Times New Roman"/>
              </w:rPr>
              <w:t>BOD</w:t>
            </w:r>
            <w:r>
              <w:rPr>
                <w:rFonts w:ascii="Times New Roman" w:hAnsi="Times New Roman" w:eastAsia="Times New Roman" w:cs="Times New Roman"/>
                <w:position w:val="-1"/>
                <w:sz w:val="15"/>
                <w:szCs w:val="15"/>
              </w:rPr>
              <w:t>5</w:t>
            </w:r>
            <w:r>
              <w:rPr>
                <w:rFonts w:ascii="Times New Roman" w:hAnsi="Times New Roman" w:eastAsia="Times New Roman" w:cs="Times New Roman"/>
                <w:spacing w:val="-10"/>
                <w:position w:val="-1"/>
                <w:sz w:val="15"/>
                <w:szCs w:val="15"/>
              </w:rPr>
              <w:t xml:space="preserve"> </w:t>
            </w:r>
            <w:r>
              <w:t>、</w:t>
            </w:r>
            <w:r>
              <w:rPr>
                <w:rFonts w:ascii="Times New Roman" w:hAnsi="Times New Roman" w:eastAsia="Times New Roman" w:cs="Times New Roman"/>
              </w:rPr>
              <w:t>SS</w:t>
            </w:r>
            <w:r>
              <w:rPr>
                <w:rFonts w:ascii="Times New Roman" w:hAnsi="Times New Roman" w:eastAsia="Times New Roman" w:cs="Times New Roman"/>
                <w:spacing w:val="-33"/>
              </w:rPr>
              <w:t xml:space="preserve"> </w:t>
            </w:r>
            <w:r>
              <w:t>、氨氮等</w:t>
            </w:r>
            <w:r>
              <w:rPr>
                <w:spacing w:val="-1"/>
              </w:rPr>
              <w:t>，水质简单，排入井场环保防渗厕所，定期清掏。</w:t>
            </w:r>
          </w:p>
        </w:tc>
      </w:tr>
    </w:tbl>
    <w:p w14:paraId="06F85AC0">
      <w:pPr>
        <w:rPr>
          <w:rFonts w:ascii="Arial"/>
          <w:sz w:val="21"/>
        </w:rPr>
      </w:pPr>
    </w:p>
    <w:p w14:paraId="00945C88">
      <w:pPr>
        <w:rPr>
          <w:rFonts w:ascii="Arial" w:hAnsi="Arial" w:eastAsia="Arial" w:cs="Arial"/>
          <w:sz w:val="21"/>
          <w:szCs w:val="21"/>
        </w:rPr>
        <w:sectPr>
          <w:footerReference r:id="rId50" w:type="default"/>
          <w:pgSz w:w="11906" w:h="16839"/>
          <w:pgMar w:top="400" w:right="1403" w:bottom="1240" w:left="1572" w:header="0" w:footer="1078" w:gutter="0"/>
          <w:cols w:space="720" w:num="1"/>
        </w:sectPr>
      </w:pPr>
    </w:p>
    <w:p w14:paraId="32DAD7AB">
      <w:pPr>
        <w:spacing w:before="56"/>
      </w:pPr>
    </w:p>
    <w:p w14:paraId="278BF5E0">
      <w:pPr>
        <w:spacing w:before="56"/>
      </w:pPr>
    </w:p>
    <w:p w14:paraId="2520E708">
      <w:pPr>
        <w:spacing w:before="55"/>
      </w:pPr>
    </w:p>
    <w:p w14:paraId="144C5BAE">
      <w:pPr>
        <w:spacing w:before="55"/>
      </w:pPr>
    </w:p>
    <w:tbl>
      <w:tblPr>
        <w:tblStyle w:val="5"/>
        <w:tblW w:w="891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6"/>
        <w:gridCol w:w="8449"/>
      </w:tblGrid>
      <w:tr w14:paraId="576474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669" w:hRule="atLeast"/>
        </w:trPr>
        <w:tc>
          <w:tcPr>
            <w:tcW w:w="466" w:type="dxa"/>
            <w:tcBorders>
              <w:bottom w:val="single" w:color="000000" w:sz="2" w:space="0"/>
              <w:right w:val="single" w:color="000000" w:sz="2" w:space="0"/>
            </w:tcBorders>
            <w:vAlign w:val="top"/>
          </w:tcPr>
          <w:p w14:paraId="2A5AB36F">
            <w:pPr>
              <w:rPr>
                <w:rFonts w:ascii="Arial"/>
                <w:sz w:val="21"/>
              </w:rPr>
            </w:pPr>
          </w:p>
        </w:tc>
        <w:tc>
          <w:tcPr>
            <w:tcW w:w="8449" w:type="dxa"/>
            <w:tcBorders>
              <w:left w:val="single" w:color="000000" w:sz="2" w:space="0"/>
              <w:bottom w:val="single" w:color="000000" w:sz="2" w:space="0"/>
            </w:tcBorders>
            <w:vAlign w:val="top"/>
          </w:tcPr>
          <w:p w14:paraId="04DD8E9A">
            <w:pPr>
              <w:pStyle w:val="6"/>
              <w:spacing w:before="40" w:line="359" w:lineRule="auto"/>
              <w:ind w:left="109" w:right="179" w:firstLine="480"/>
            </w:pPr>
            <w:r>
              <w:t>本项目不进行油水分离，采出液进入储液罐贮</w:t>
            </w:r>
            <w:r>
              <w:rPr>
                <w:spacing w:val="-1"/>
              </w:rPr>
              <w:t>存，由罐车拉运至临河联合站进行处理，无采出水产生。</w:t>
            </w:r>
          </w:p>
          <w:p w14:paraId="6F7BBD7C">
            <w:pPr>
              <w:pStyle w:val="6"/>
              <w:spacing w:line="220" w:lineRule="auto"/>
              <w:ind w:left="589"/>
            </w:pPr>
            <w:r>
              <w:rPr>
                <w:rFonts w:ascii="Times New Roman" w:hAnsi="Times New Roman" w:eastAsia="Times New Roman" w:cs="Times New Roman"/>
                <w:spacing w:val="-10"/>
              </w:rPr>
              <w:t>3</w:t>
            </w:r>
            <w:r>
              <w:rPr>
                <w:rFonts w:ascii="Times New Roman" w:hAnsi="Times New Roman" w:eastAsia="Times New Roman" w:cs="Times New Roman"/>
                <w:spacing w:val="-31"/>
              </w:rPr>
              <w:t xml:space="preserve"> </w:t>
            </w:r>
            <w:r>
              <w:rPr>
                <w:spacing w:val="-10"/>
              </w:rPr>
              <w:t>、噪声</w:t>
            </w:r>
          </w:p>
          <w:p w14:paraId="304B3644">
            <w:pPr>
              <w:pStyle w:val="6"/>
              <w:spacing w:before="182" w:line="359" w:lineRule="auto"/>
              <w:ind w:left="113" w:right="102" w:firstLine="486"/>
            </w:pPr>
            <w:r>
              <w:rPr>
                <w:spacing w:val="2"/>
              </w:rPr>
              <w:t>噪声污染源主要为柴油发电机、钻井泵、振动筛、钻</w:t>
            </w:r>
            <w:r>
              <w:rPr>
                <w:spacing w:val="1"/>
              </w:rPr>
              <w:t>机、抽油机等设备噪</w:t>
            </w:r>
            <w:r>
              <w:rPr>
                <w:spacing w:val="-2"/>
              </w:rPr>
              <w:t>声，噪声源强</w:t>
            </w:r>
            <w:r>
              <w:rPr>
                <w:spacing w:val="-42"/>
              </w:rPr>
              <w:t xml:space="preserve"> </w:t>
            </w:r>
            <w:r>
              <w:rPr>
                <w:rFonts w:ascii="Times New Roman" w:hAnsi="Times New Roman" w:eastAsia="Times New Roman" w:cs="Times New Roman"/>
                <w:spacing w:val="-2"/>
              </w:rPr>
              <w:t>75</w:t>
            </w:r>
            <w:r>
              <w:rPr>
                <w:spacing w:val="-2"/>
              </w:rPr>
              <w:t>～</w:t>
            </w:r>
            <w:r>
              <w:rPr>
                <w:rFonts w:ascii="Times New Roman" w:hAnsi="Times New Roman" w:eastAsia="Times New Roman" w:cs="Times New Roman"/>
                <w:spacing w:val="-2"/>
              </w:rPr>
              <w:t>100dB</w:t>
            </w:r>
            <w:r>
              <w:rPr>
                <w:spacing w:val="-2"/>
              </w:rPr>
              <w:t>（</w:t>
            </w:r>
            <w:r>
              <w:rPr>
                <w:rFonts w:ascii="Times New Roman" w:hAnsi="Times New Roman" w:eastAsia="Times New Roman" w:cs="Times New Roman"/>
                <w:spacing w:val="-2"/>
              </w:rPr>
              <w:t>A</w:t>
            </w:r>
            <w:r>
              <w:rPr>
                <w:spacing w:val="-2"/>
              </w:rPr>
              <w:t>）。</w:t>
            </w:r>
          </w:p>
          <w:p w14:paraId="3E424721">
            <w:pPr>
              <w:pStyle w:val="6"/>
              <w:spacing w:line="220" w:lineRule="auto"/>
              <w:ind w:left="583"/>
            </w:pPr>
            <w:r>
              <w:rPr>
                <w:rFonts w:ascii="Times New Roman" w:hAnsi="Times New Roman" w:eastAsia="Times New Roman" w:cs="Times New Roman"/>
                <w:spacing w:val="-5"/>
              </w:rPr>
              <w:t>4</w:t>
            </w:r>
            <w:r>
              <w:rPr>
                <w:rFonts w:ascii="Times New Roman" w:hAnsi="Times New Roman" w:eastAsia="Times New Roman" w:cs="Times New Roman"/>
                <w:spacing w:val="-34"/>
              </w:rPr>
              <w:t xml:space="preserve"> </w:t>
            </w:r>
            <w:r>
              <w:rPr>
                <w:spacing w:val="-5"/>
              </w:rPr>
              <w:t>、固体废物</w:t>
            </w:r>
          </w:p>
          <w:p w14:paraId="09157A15">
            <w:pPr>
              <w:pStyle w:val="6"/>
              <w:spacing w:before="179" w:line="220" w:lineRule="auto"/>
              <w:ind w:left="600"/>
            </w:pPr>
            <w:r>
              <w:rPr>
                <w:spacing w:val="-2"/>
              </w:rPr>
              <w:t>（</w:t>
            </w:r>
            <w:r>
              <w:rPr>
                <w:rFonts w:ascii="Times New Roman" w:hAnsi="Times New Roman" w:eastAsia="Times New Roman" w:cs="Times New Roman"/>
                <w:spacing w:val="-2"/>
              </w:rPr>
              <w:t>1</w:t>
            </w:r>
            <w:r>
              <w:rPr>
                <w:spacing w:val="-2"/>
              </w:rPr>
              <w:t>）一般工业固体废物</w:t>
            </w:r>
          </w:p>
          <w:p w14:paraId="635BC022">
            <w:pPr>
              <w:pStyle w:val="6"/>
              <w:spacing w:before="181" w:line="359" w:lineRule="auto"/>
              <w:ind w:left="111" w:right="102" w:firstLine="477"/>
            </w:pPr>
            <w:r>
              <w:rPr>
                <w:spacing w:val="2"/>
              </w:rPr>
              <w:t>钻井过程中，产生废弃水基钻井泥浆及岩屑，产生量</w:t>
            </w:r>
            <w:r>
              <w:rPr>
                <w:spacing w:val="-27"/>
              </w:rPr>
              <w:t xml:space="preserve"> </w:t>
            </w:r>
            <w:r>
              <w:rPr>
                <w:rFonts w:ascii="Times New Roman" w:hAnsi="Times New Roman" w:eastAsia="Times New Roman" w:cs="Times New Roman"/>
                <w:spacing w:val="2"/>
              </w:rPr>
              <w:t>1546</w:t>
            </w:r>
            <w:r>
              <w:rPr>
                <w:rFonts w:ascii="Times New Roman" w:hAnsi="Times New Roman" w:eastAsia="Times New Roman" w:cs="Times New Roman"/>
                <w:spacing w:val="1"/>
              </w:rPr>
              <w:t>.76m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rPr>
              <w:t>/</w:t>
            </w:r>
            <w:r>
              <w:rPr>
                <w:spacing w:val="1"/>
              </w:rPr>
              <w:t>钻井期，</w:t>
            </w:r>
            <w:r>
              <w:rPr>
                <w:spacing w:val="2"/>
              </w:rPr>
              <w:t>为一般工业固废，定期拉运至内蒙古众宁环保科技有限公司油气田</w:t>
            </w:r>
            <w:r>
              <w:rPr>
                <w:spacing w:val="1"/>
              </w:rPr>
              <w:t>废弃物集中</w:t>
            </w:r>
            <w:r>
              <w:rPr>
                <w:spacing w:val="-3"/>
              </w:rPr>
              <w:t>处理厂处理。</w:t>
            </w:r>
          </w:p>
          <w:p w14:paraId="0187ECEB">
            <w:pPr>
              <w:pStyle w:val="6"/>
              <w:spacing w:line="220" w:lineRule="auto"/>
              <w:ind w:left="600"/>
            </w:pPr>
            <w:r>
              <w:rPr>
                <w:spacing w:val="-3"/>
              </w:rPr>
              <w:t>（</w:t>
            </w:r>
            <w:r>
              <w:rPr>
                <w:rFonts w:ascii="Times New Roman" w:hAnsi="Times New Roman" w:eastAsia="Times New Roman" w:cs="Times New Roman"/>
                <w:spacing w:val="-3"/>
              </w:rPr>
              <w:t>2</w:t>
            </w:r>
            <w:r>
              <w:rPr>
                <w:spacing w:val="-3"/>
              </w:rPr>
              <w:t>）危险废物</w:t>
            </w:r>
          </w:p>
          <w:p w14:paraId="0C243D5B">
            <w:pPr>
              <w:pStyle w:val="6"/>
              <w:spacing w:before="182" w:line="359" w:lineRule="auto"/>
              <w:ind w:left="108" w:right="102" w:firstLine="479"/>
            </w:pPr>
            <w:r>
              <w:rPr>
                <w:spacing w:val="-1"/>
              </w:rPr>
              <w:t>钻井过程中，设备维修保养等产生废润滑油约</w:t>
            </w:r>
            <w:r>
              <w:rPr>
                <w:spacing w:val="-51"/>
              </w:rPr>
              <w:t xml:space="preserve"> </w:t>
            </w:r>
            <w:r>
              <w:rPr>
                <w:rFonts w:ascii="Times New Roman" w:hAnsi="Times New Roman" w:eastAsia="Times New Roman" w:cs="Times New Roman"/>
                <w:spacing w:val="-1"/>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1"/>
              </w:rPr>
              <w:t>15t</w:t>
            </w:r>
            <w:r>
              <w:rPr>
                <w:spacing w:val="-1"/>
              </w:rPr>
              <w:t>；若操作不</w:t>
            </w:r>
            <w:r>
              <w:rPr>
                <w:spacing w:val="-2"/>
              </w:rPr>
              <w:t>当，可能会</w:t>
            </w:r>
            <w:r>
              <w:rPr>
                <w:spacing w:val="-1"/>
              </w:rPr>
              <w:t>产生事故状态下落地油约</w:t>
            </w:r>
            <w:r>
              <w:rPr>
                <w:spacing w:val="-41"/>
              </w:rPr>
              <w:t xml:space="preserve"> </w:t>
            </w:r>
            <w:r>
              <w:rPr>
                <w:rFonts w:ascii="Times New Roman" w:hAnsi="Times New Roman" w:eastAsia="Times New Roman" w:cs="Times New Roman"/>
                <w:spacing w:val="-1"/>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1"/>
              </w:rPr>
              <w:t>15t</w:t>
            </w:r>
            <w:r>
              <w:rPr>
                <w:spacing w:val="-1"/>
              </w:rPr>
              <w:t>；井场施工清理时会产生废防渗材料约</w:t>
            </w:r>
            <w:r>
              <w:rPr>
                <w:spacing w:val="-51"/>
              </w:rPr>
              <w:t xml:space="preserve"> </w:t>
            </w:r>
            <w:r>
              <w:rPr>
                <w:rFonts w:ascii="Times New Roman" w:hAnsi="Times New Roman" w:eastAsia="Times New Roman" w:cs="Times New Roman"/>
                <w:spacing w:val="-1"/>
              </w:rPr>
              <w:t>0.5t</w:t>
            </w:r>
            <w:r>
              <w:rPr>
                <w:rFonts w:ascii="Times New Roman" w:hAnsi="Times New Roman" w:eastAsia="Times New Roman" w:cs="Times New Roman"/>
                <w:spacing w:val="-24"/>
              </w:rPr>
              <w:t xml:space="preserve"> </w:t>
            </w:r>
            <w:r>
              <w:rPr>
                <w:spacing w:val="-1"/>
              </w:rPr>
              <w:t>。上</w:t>
            </w:r>
            <w:r>
              <w:rPr>
                <w:spacing w:val="2"/>
              </w:rPr>
              <w:t>述固体废物均属危险废物，暂存于井场撬装式危废贮存点内，定期交有资</w:t>
            </w:r>
            <w:r>
              <w:rPr>
                <w:spacing w:val="1"/>
              </w:rPr>
              <w:t>质单</w:t>
            </w:r>
            <w:r>
              <w:rPr>
                <w:spacing w:val="-2"/>
              </w:rPr>
              <w:t>位拉运处置。</w:t>
            </w:r>
          </w:p>
          <w:p w14:paraId="7F9EBFA2">
            <w:pPr>
              <w:pStyle w:val="6"/>
              <w:spacing w:line="220" w:lineRule="auto"/>
              <w:ind w:left="600"/>
            </w:pPr>
            <w:r>
              <w:rPr>
                <w:spacing w:val="-5"/>
              </w:rPr>
              <w:t>（</w:t>
            </w:r>
            <w:r>
              <w:rPr>
                <w:rFonts w:ascii="Times New Roman" w:hAnsi="Times New Roman" w:eastAsia="Times New Roman" w:cs="Times New Roman"/>
                <w:spacing w:val="-5"/>
              </w:rPr>
              <w:t>3</w:t>
            </w:r>
            <w:r>
              <w:rPr>
                <w:spacing w:val="-5"/>
              </w:rPr>
              <w:t>）其他</w:t>
            </w:r>
          </w:p>
          <w:p w14:paraId="2D963167">
            <w:pPr>
              <w:pStyle w:val="6"/>
              <w:spacing w:before="182" w:line="219" w:lineRule="auto"/>
              <w:ind w:left="588"/>
            </w:pPr>
            <w:r>
              <w:rPr>
                <w:spacing w:val="-1"/>
              </w:rPr>
              <w:t>井场施工人员日常施工生活产生生活垃圾。</w:t>
            </w:r>
          </w:p>
          <w:p w14:paraId="26B1A224">
            <w:pPr>
              <w:pStyle w:val="6"/>
              <w:spacing w:before="179" w:line="219" w:lineRule="auto"/>
              <w:ind w:left="588"/>
            </w:pPr>
            <w:r>
              <w:rPr>
                <w:spacing w:val="-1"/>
              </w:rPr>
              <w:t>钻井泥浆材料包装由供应商回收后重复利用，不在井场暂存。</w:t>
            </w:r>
          </w:p>
          <w:p w14:paraId="08098908">
            <w:pPr>
              <w:pStyle w:val="6"/>
              <w:spacing w:before="185" w:line="221" w:lineRule="auto"/>
              <w:ind w:left="591"/>
            </w:pPr>
            <w:r>
              <w:rPr>
                <w:rFonts w:ascii="Times New Roman" w:hAnsi="Times New Roman" w:eastAsia="Times New Roman" w:cs="Times New Roman"/>
                <w:spacing w:val="-7"/>
              </w:rPr>
              <w:t>5</w:t>
            </w:r>
            <w:r>
              <w:rPr>
                <w:rFonts w:ascii="Times New Roman" w:hAnsi="Times New Roman" w:eastAsia="Times New Roman" w:cs="Times New Roman"/>
                <w:spacing w:val="-31"/>
              </w:rPr>
              <w:t xml:space="preserve"> </w:t>
            </w:r>
            <w:r>
              <w:rPr>
                <w:spacing w:val="-7"/>
              </w:rPr>
              <w:t>、生态影响</w:t>
            </w:r>
          </w:p>
          <w:p w14:paraId="041D05EE">
            <w:pPr>
              <w:pStyle w:val="6"/>
              <w:spacing w:before="177" w:line="219" w:lineRule="auto"/>
              <w:ind w:left="709"/>
            </w:pPr>
            <w:r>
              <w:rPr>
                <w:spacing w:val="-1"/>
              </w:rPr>
              <w:t>本项目勘探期临时占地对基本农田、植被等产生影响。</w:t>
            </w:r>
          </w:p>
          <w:p w14:paraId="68F26CAE">
            <w:pPr>
              <w:pStyle w:val="6"/>
              <w:spacing w:before="183" w:line="221" w:lineRule="auto"/>
              <w:ind w:left="588"/>
            </w:pPr>
            <w:r>
              <w:rPr>
                <w:b/>
                <w:bCs/>
                <w:spacing w:val="-4"/>
              </w:rPr>
              <w:t>三、施工时序</w:t>
            </w:r>
          </w:p>
          <w:p w14:paraId="731774A7">
            <w:pPr>
              <w:pStyle w:val="6"/>
              <w:spacing w:before="179" w:line="360" w:lineRule="auto"/>
              <w:ind w:left="113" w:right="102" w:firstLine="479"/>
            </w:pPr>
            <w:r>
              <w:t>项目施工时序为：钻前准备</w:t>
            </w:r>
            <w:r>
              <w:rPr>
                <w:spacing w:val="-46"/>
              </w:rPr>
              <w:t xml:space="preserve"> </w:t>
            </w:r>
            <w:r>
              <w:rPr>
                <w:rFonts w:ascii="Times New Roman" w:hAnsi="Times New Roman" w:eastAsia="Times New Roman" w:cs="Times New Roman"/>
              </w:rPr>
              <w:t>5</w:t>
            </w:r>
            <w:r>
              <w:rPr>
                <w:rFonts w:ascii="Times New Roman" w:hAnsi="Times New Roman" w:eastAsia="Times New Roman" w:cs="Times New Roman"/>
                <w:spacing w:val="19"/>
                <w:w w:val="101"/>
              </w:rPr>
              <w:t xml:space="preserve"> </w:t>
            </w:r>
            <w:r>
              <w:t>天，钻井期</w:t>
            </w:r>
            <w:r>
              <w:rPr>
                <w:spacing w:val="-45"/>
              </w:rPr>
              <w:t xml:space="preserve"> </w:t>
            </w:r>
            <w:r>
              <w:rPr>
                <w:rFonts w:ascii="Times New Roman" w:hAnsi="Times New Roman" w:eastAsia="Times New Roman" w:cs="Times New Roman"/>
              </w:rPr>
              <w:t>65</w:t>
            </w:r>
            <w:r>
              <w:rPr>
                <w:rFonts w:ascii="Times New Roman" w:hAnsi="Times New Roman" w:eastAsia="Times New Roman" w:cs="Times New Roman"/>
                <w:spacing w:val="19"/>
              </w:rPr>
              <w:t xml:space="preserve"> </w:t>
            </w:r>
            <w:r>
              <w:t>天，</w:t>
            </w:r>
            <w:r>
              <w:rPr>
                <w:spacing w:val="-1"/>
              </w:rPr>
              <w:t>试油期为</w:t>
            </w:r>
            <w:r>
              <w:rPr>
                <w:spacing w:val="-30"/>
              </w:rPr>
              <w:t xml:space="preserve"> </w:t>
            </w:r>
            <w:r>
              <w:rPr>
                <w:rFonts w:ascii="Times New Roman" w:hAnsi="Times New Roman" w:eastAsia="Times New Roman" w:cs="Times New Roman"/>
                <w:spacing w:val="-1"/>
              </w:rPr>
              <w:t>15</w:t>
            </w:r>
            <w:r>
              <w:rPr>
                <w:rFonts w:ascii="Times New Roman" w:hAnsi="Times New Roman" w:eastAsia="Times New Roman" w:cs="Times New Roman"/>
                <w:spacing w:val="19"/>
                <w:w w:val="101"/>
              </w:rPr>
              <w:t xml:space="preserve"> </w:t>
            </w:r>
            <w:r>
              <w:rPr>
                <w:spacing w:val="-1"/>
              </w:rPr>
              <w:t>天，封井</w:t>
            </w:r>
            <w:r>
              <w:rPr>
                <w:spacing w:val="-44"/>
              </w:rPr>
              <w:t xml:space="preserve"> </w:t>
            </w:r>
            <w:r>
              <w:rPr>
                <w:rFonts w:ascii="Times New Roman" w:hAnsi="Times New Roman" w:eastAsia="Times New Roman" w:cs="Times New Roman"/>
                <w:spacing w:val="-1"/>
              </w:rPr>
              <w:t>5</w:t>
            </w:r>
            <w:r>
              <w:rPr>
                <w:spacing w:val="-3"/>
              </w:rPr>
              <w:t>天，勘探过程为连续</w:t>
            </w:r>
            <w:r>
              <w:rPr>
                <w:spacing w:val="-44"/>
              </w:rPr>
              <w:t xml:space="preserve"> </w:t>
            </w:r>
            <w:r>
              <w:rPr>
                <w:rFonts w:ascii="Times New Roman" w:hAnsi="Times New Roman" w:eastAsia="Times New Roman" w:cs="Times New Roman"/>
                <w:spacing w:val="-3"/>
              </w:rPr>
              <w:t>24</w:t>
            </w:r>
            <w:r>
              <w:rPr>
                <w:rFonts w:ascii="Times New Roman" w:hAnsi="Times New Roman" w:eastAsia="Times New Roman" w:cs="Times New Roman"/>
                <w:spacing w:val="16"/>
                <w:w w:val="101"/>
              </w:rPr>
              <w:t xml:space="preserve"> </w:t>
            </w:r>
            <w:r>
              <w:rPr>
                <w:spacing w:val="-3"/>
              </w:rPr>
              <w:t>小时作业。</w:t>
            </w:r>
          </w:p>
          <w:p w14:paraId="5E07F5B2">
            <w:pPr>
              <w:pStyle w:val="6"/>
              <w:spacing w:line="220" w:lineRule="auto"/>
              <w:ind w:left="611"/>
            </w:pPr>
            <w:r>
              <w:rPr>
                <w:b/>
                <w:bCs/>
                <w:spacing w:val="-8"/>
              </w:rPr>
              <w:t>四、建设周期</w:t>
            </w:r>
          </w:p>
          <w:p w14:paraId="5F332E5B">
            <w:pPr>
              <w:pStyle w:val="6"/>
              <w:spacing w:before="180" w:line="219" w:lineRule="auto"/>
              <w:ind w:left="592"/>
            </w:pPr>
            <w:r>
              <w:rPr>
                <w:spacing w:val="-2"/>
              </w:rPr>
              <w:t>项目建设周期为</w:t>
            </w:r>
            <w:r>
              <w:rPr>
                <w:spacing w:val="-45"/>
              </w:rPr>
              <w:t xml:space="preserve"> </w:t>
            </w:r>
            <w:r>
              <w:rPr>
                <w:rFonts w:ascii="Times New Roman" w:hAnsi="Times New Roman" w:eastAsia="Times New Roman" w:cs="Times New Roman"/>
                <w:spacing w:val="-2"/>
              </w:rPr>
              <w:t xml:space="preserve">90 </w:t>
            </w:r>
            <w:r>
              <w:rPr>
                <w:spacing w:val="-2"/>
              </w:rPr>
              <w:t>天（折合</w:t>
            </w:r>
            <w:r>
              <w:rPr>
                <w:spacing w:val="-50"/>
              </w:rPr>
              <w:t xml:space="preserve"> </w:t>
            </w:r>
            <w:r>
              <w:rPr>
                <w:rFonts w:ascii="Times New Roman" w:hAnsi="Times New Roman" w:eastAsia="Times New Roman" w:cs="Times New Roman"/>
                <w:spacing w:val="-2"/>
              </w:rPr>
              <w:t xml:space="preserve">3 </w:t>
            </w:r>
            <w:r>
              <w:rPr>
                <w:spacing w:val="-2"/>
              </w:rPr>
              <w:t>个月）。</w:t>
            </w:r>
          </w:p>
        </w:tc>
      </w:tr>
      <w:tr w14:paraId="0F2124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6" w:hRule="atLeast"/>
        </w:trPr>
        <w:tc>
          <w:tcPr>
            <w:tcW w:w="466" w:type="dxa"/>
            <w:tcBorders>
              <w:top w:val="single" w:color="000000" w:sz="2" w:space="0"/>
              <w:right w:val="single" w:color="000000" w:sz="2" w:space="0"/>
            </w:tcBorders>
            <w:textDirection w:val="tbRlV"/>
            <w:vAlign w:val="top"/>
          </w:tcPr>
          <w:p w14:paraId="6A2AC5D7">
            <w:pPr>
              <w:pStyle w:val="6"/>
              <w:spacing w:before="113" w:line="209" w:lineRule="auto"/>
              <w:ind w:left="589"/>
              <w:outlineLvl w:val="0"/>
            </w:pPr>
            <w:r>
              <w:rPr>
                <w:b/>
                <w:bCs/>
                <w:spacing w:val="-3"/>
              </w:rPr>
              <w:t>其</w:t>
            </w:r>
            <w:r>
              <w:rPr>
                <w:spacing w:val="-48"/>
              </w:rPr>
              <w:t xml:space="preserve"> </w:t>
            </w:r>
            <w:r>
              <w:rPr>
                <w:b/>
                <w:bCs/>
                <w:spacing w:val="-3"/>
              </w:rPr>
              <w:t>他</w:t>
            </w:r>
          </w:p>
        </w:tc>
        <w:tc>
          <w:tcPr>
            <w:tcW w:w="8449" w:type="dxa"/>
            <w:tcBorders>
              <w:top w:val="single" w:color="000000" w:sz="2" w:space="0"/>
              <w:left w:val="single" w:color="000000" w:sz="2" w:space="0"/>
            </w:tcBorders>
            <w:vAlign w:val="top"/>
          </w:tcPr>
          <w:p w14:paraId="51A0CBD8">
            <w:pPr>
              <w:pStyle w:val="6"/>
              <w:spacing w:before="46" w:line="220" w:lineRule="auto"/>
              <w:ind w:left="350"/>
            </w:pPr>
            <w:r>
              <w:t>无</w:t>
            </w:r>
          </w:p>
        </w:tc>
      </w:tr>
    </w:tbl>
    <w:p w14:paraId="6341CDB1">
      <w:pPr>
        <w:rPr>
          <w:rFonts w:ascii="Arial"/>
          <w:sz w:val="21"/>
        </w:rPr>
      </w:pPr>
    </w:p>
    <w:p w14:paraId="52C220E9">
      <w:pPr>
        <w:rPr>
          <w:rFonts w:ascii="Arial" w:hAnsi="Arial" w:eastAsia="Arial" w:cs="Arial"/>
          <w:sz w:val="21"/>
          <w:szCs w:val="21"/>
        </w:rPr>
        <w:sectPr>
          <w:footerReference r:id="rId51" w:type="default"/>
          <w:pgSz w:w="11906" w:h="16839"/>
          <w:pgMar w:top="400" w:right="1403" w:bottom="1240" w:left="1572" w:header="0" w:footer="1078" w:gutter="0"/>
          <w:cols w:space="720" w:num="1"/>
        </w:sectPr>
      </w:pPr>
    </w:p>
    <w:p w14:paraId="6E37F2C3">
      <w:pPr>
        <w:spacing w:line="282" w:lineRule="auto"/>
        <w:rPr>
          <w:rFonts w:ascii="Arial"/>
          <w:sz w:val="21"/>
        </w:rPr>
      </w:pPr>
    </w:p>
    <w:p w14:paraId="648499F3">
      <w:pPr>
        <w:spacing w:line="282" w:lineRule="auto"/>
        <w:rPr>
          <w:rFonts w:ascii="Arial"/>
          <w:sz w:val="21"/>
        </w:rPr>
      </w:pPr>
    </w:p>
    <w:p w14:paraId="297ECABD">
      <w:pPr>
        <w:spacing w:line="282" w:lineRule="auto"/>
        <w:rPr>
          <w:rFonts w:ascii="Arial"/>
          <w:sz w:val="21"/>
        </w:rPr>
      </w:pPr>
    </w:p>
    <w:p w14:paraId="36FF584A">
      <w:pPr>
        <w:spacing w:line="282" w:lineRule="auto"/>
        <w:rPr>
          <w:rFonts w:ascii="Arial"/>
          <w:sz w:val="21"/>
        </w:rPr>
      </w:pPr>
    </w:p>
    <w:p w14:paraId="034DF388">
      <w:pPr>
        <w:pStyle w:val="2"/>
        <w:spacing w:before="97" w:line="212" w:lineRule="auto"/>
        <w:ind w:left="1799"/>
        <w:rPr>
          <w:sz w:val="30"/>
          <w:szCs w:val="30"/>
        </w:rPr>
      </w:pPr>
      <w:bookmarkStart w:id="2" w:name="bookmark3"/>
      <w:bookmarkEnd w:id="2"/>
      <w:r>
        <w:rPr>
          <w:b/>
          <w:bCs/>
          <w:spacing w:val="-3"/>
          <w:sz w:val="30"/>
          <w:szCs w:val="30"/>
        </w:rPr>
        <w:t>三、生态环境现状、保护目标及评价标准</w:t>
      </w:r>
    </w:p>
    <w:tbl>
      <w:tblPr>
        <w:tblStyle w:val="5"/>
        <w:tblW w:w="898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6"/>
        <w:gridCol w:w="8517"/>
      </w:tblGrid>
      <w:tr w14:paraId="2BBD46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31" w:hRule="atLeast"/>
        </w:trPr>
        <w:tc>
          <w:tcPr>
            <w:tcW w:w="466" w:type="dxa"/>
            <w:tcBorders>
              <w:right w:val="single" w:color="000000" w:sz="2" w:space="0"/>
            </w:tcBorders>
            <w:textDirection w:val="tbRlV"/>
            <w:vAlign w:val="top"/>
          </w:tcPr>
          <w:p w14:paraId="4111248E">
            <w:pPr>
              <w:pStyle w:val="6"/>
              <w:spacing w:before="113" w:line="208" w:lineRule="auto"/>
              <w:ind w:left="5768"/>
            </w:pPr>
            <w:r>
              <w:rPr>
                <w:b/>
                <w:bCs/>
                <w:spacing w:val="-3"/>
              </w:rPr>
              <w:t>生</w:t>
            </w:r>
            <w:r>
              <w:rPr>
                <w:spacing w:val="-48"/>
              </w:rPr>
              <w:t xml:space="preserve"> </w:t>
            </w:r>
            <w:r>
              <w:rPr>
                <w:b/>
                <w:bCs/>
                <w:spacing w:val="-3"/>
              </w:rPr>
              <w:t>态</w:t>
            </w:r>
            <w:r>
              <w:rPr>
                <w:spacing w:val="-50"/>
              </w:rPr>
              <w:t xml:space="preserve"> </w:t>
            </w:r>
            <w:r>
              <w:rPr>
                <w:b/>
                <w:bCs/>
                <w:spacing w:val="-3"/>
              </w:rPr>
              <w:t>环</w:t>
            </w:r>
            <w:r>
              <w:rPr>
                <w:spacing w:val="-48"/>
              </w:rPr>
              <w:t xml:space="preserve"> </w:t>
            </w:r>
            <w:r>
              <w:rPr>
                <w:b/>
                <w:bCs/>
                <w:spacing w:val="-3"/>
              </w:rPr>
              <w:t>境</w:t>
            </w:r>
            <w:r>
              <w:rPr>
                <w:spacing w:val="-47"/>
              </w:rPr>
              <w:t xml:space="preserve"> </w:t>
            </w:r>
            <w:r>
              <w:rPr>
                <w:b/>
                <w:bCs/>
                <w:spacing w:val="-3"/>
              </w:rPr>
              <w:t>现</w:t>
            </w:r>
            <w:r>
              <w:rPr>
                <w:spacing w:val="-50"/>
              </w:rPr>
              <w:t xml:space="preserve"> </w:t>
            </w:r>
            <w:r>
              <w:rPr>
                <w:b/>
                <w:bCs/>
                <w:spacing w:val="-3"/>
              </w:rPr>
              <w:t>状</w:t>
            </w:r>
          </w:p>
        </w:tc>
        <w:tc>
          <w:tcPr>
            <w:tcW w:w="8517" w:type="dxa"/>
            <w:tcBorders>
              <w:left w:val="single" w:color="000000" w:sz="2" w:space="0"/>
            </w:tcBorders>
            <w:vAlign w:val="top"/>
          </w:tcPr>
          <w:p w14:paraId="4A9B5D8E">
            <w:pPr>
              <w:pStyle w:val="6"/>
              <w:spacing w:before="39" w:line="221" w:lineRule="auto"/>
              <w:ind w:left="466"/>
            </w:pPr>
            <w:r>
              <w:rPr>
                <w:rFonts w:ascii="Times New Roman" w:hAnsi="Times New Roman" w:eastAsia="Times New Roman" w:cs="Times New Roman"/>
                <w:b/>
                <w:bCs/>
                <w:spacing w:val="-9"/>
              </w:rPr>
              <w:t>1</w:t>
            </w:r>
            <w:r>
              <w:rPr>
                <w:rFonts w:ascii="Times New Roman" w:hAnsi="Times New Roman" w:eastAsia="Times New Roman" w:cs="Times New Roman"/>
                <w:b/>
                <w:bCs/>
                <w:spacing w:val="-31"/>
              </w:rPr>
              <w:t xml:space="preserve"> </w:t>
            </w:r>
            <w:r>
              <w:rPr>
                <w:b/>
                <w:bCs/>
                <w:spacing w:val="-9"/>
              </w:rPr>
              <w:t>、功能区划</w:t>
            </w:r>
          </w:p>
          <w:p w14:paraId="7A57ED4C">
            <w:pPr>
              <w:pStyle w:val="6"/>
              <w:spacing w:before="180" w:line="221" w:lineRule="auto"/>
              <w:ind w:left="598"/>
            </w:pPr>
            <w:r>
              <w:rPr>
                <w:spacing w:val="-3"/>
              </w:rPr>
              <w:t>（</w:t>
            </w:r>
            <w:r>
              <w:rPr>
                <w:rFonts w:ascii="Times New Roman" w:hAnsi="Times New Roman" w:eastAsia="Times New Roman" w:cs="Times New Roman"/>
                <w:spacing w:val="-3"/>
              </w:rPr>
              <w:t>1</w:t>
            </w:r>
            <w:r>
              <w:rPr>
                <w:spacing w:val="-3"/>
              </w:rPr>
              <w:t>）主体功能区划</w:t>
            </w:r>
          </w:p>
          <w:p w14:paraId="5C1D555B">
            <w:pPr>
              <w:pStyle w:val="6"/>
              <w:spacing w:before="178" w:line="359" w:lineRule="auto"/>
              <w:ind w:left="106" w:right="103" w:firstLine="483"/>
            </w:pPr>
            <w:r>
              <w:rPr>
                <w:spacing w:val="-3"/>
              </w:rPr>
              <w:t>项目位于内蒙古自治区巴彦淖尔市磴口县隆盛合镇，根</w:t>
            </w:r>
            <w:r>
              <w:rPr>
                <w:spacing w:val="-4"/>
              </w:rPr>
              <w:t>据《内蒙古自治区主</w:t>
            </w:r>
            <w:r>
              <w:rPr>
                <w:spacing w:val="-1"/>
              </w:rPr>
              <w:t>体功能区规划》，隆盛合镇属于自治区级其它重点开发的城镇。</w:t>
            </w:r>
          </w:p>
          <w:p w14:paraId="55053CE8">
            <w:pPr>
              <w:pStyle w:val="6"/>
              <w:spacing w:before="1" w:line="359" w:lineRule="auto"/>
              <w:ind w:left="106" w:right="22" w:firstLine="483"/>
              <w:jc w:val="both"/>
            </w:pPr>
            <w:r>
              <w:rPr>
                <w:spacing w:val="-3"/>
              </w:rPr>
              <w:t>功能定位：中心城市产业辐射和转移的重要承接区，县</w:t>
            </w:r>
            <w:r>
              <w:rPr>
                <w:spacing w:val="-4"/>
              </w:rPr>
              <w:t>域经济发展的核心区</w:t>
            </w:r>
            <w:r>
              <w:rPr>
                <w:spacing w:val="-7"/>
              </w:rPr>
              <w:t>和引导区，周边农业人口转移的集聚区。发展方向：依</w:t>
            </w:r>
            <w:r>
              <w:rPr>
                <w:spacing w:val="-8"/>
              </w:rPr>
              <w:t>托县域内农畜水产品资源、</w:t>
            </w:r>
            <w:r>
              <w:rPr>
                <w:spacing w:val="-7"/>
              </w:rPr>
              <w:t>能源和矿产资源，发展绿色特色农畜水产品加工、矿产</w:t>
            </w:r>
            <w:r>
              <w:rPr>
                <w:spacing w:val="-8"/>
              </w:rPr>
              <w:t>资源集中冶炼加工等产业，</w:t>
            </w:r>
            <w:r>
              <w:rPr>
                <w:spacing w:val="-3"/>
              </w:rPr>
              <w:t>配套发展服务产业，提高就业能力；完善基础设施建设，提升公共服务水平，优</w:t>
            </w:r>
            <w:r>
              <w:rPr>
                <w:spacing w:val="-1"/>
              </w:rPr>
              <w:t>化居住环境，提高人口承载能力。</w:t>
            </w:r>
          </w:p>
          <w:p w14:paraId="73BF836E">
            <w:pPr>
              <w:pStyle w:val="6"/>
              <w:spacing w:before="2" w:line="360" w:lineRule="auto"/>
              <w:ind w:left="105" w:right="103" w:firstLine="484"/>
              <w:jc w:val="both"/>
            </w:pPr>
            <w:r>
              <w:rPr>
                <w:spacing w:val="-3"/>
              </w:rPr>
              <w:t>项目属于能源和矿产勘探项目，不属于大规模高强度工</w:t>
            </w:r>
            <w:r>
              <w:rPr>
                <w:spacing w:val="-4"/>
              </w:rPr>
              <w:t>业化城镇化项目；在</w:t>
            </w:r>
            <w:r>
              <w:rPr>
                <w:spacing w:val="-3"/>
              </w:rPr>
              <w:t>勘探施工前对表层土进行剥离并收集暂存，勘探结束后按照复垦方案要求进行复垦，确保项目完成后恢复到原有状态，不会对当地农业生产、生态环境造成破坏</w:t>
            </w:r>
            <w:r>
              <w:rPr>
                <w:spacing w:val="-1"/>
              </w:rPr>
              <w:t>和影响。因此项目符合《内蒙古自治区主体功能区划》。</w:t>
            </w:r>
          </w:p>
          <w:p w14:paraId="09A890C7">
            <w:pPr>
              <w:pStyle w:val="6"/>
              <w:spacing w:before="18" w:line="6101" w:lineRule="exact"/>
              <w:ind w:firstLine="347"/>
            </w:pPr>
            <w:r>
              <w:rPr>
                <w:position w:val="-122"/>
              </w:rPr>
              <w:pict>
                <v:group id="_x0000_s1033" o:spid="_x0000_s1033" o:spt="203" style="height:305.05pt;width:390.85pt;" coordsize="7817,6100">
                  <o:lock v:ext="edit"/>
                  <v:shape id="_x0000_s1034" o:spid="_x0000_s1034" o:spt="75" type="#_x0000_t75" style="position:absolute;left:0;top:0;height:6100;width:7817;" filled="f" stroked="f" coordsize="21600,21600">
                    <v:path/>
                    <v:fill on="f" focussize="0,0"/>
                    <v:stroke on="f"/>
                    <v:imagedata r:id="rId189" o:title=""/>
                    <o:lock v:ext="edit" aspectratio="t"/>
                  </v:shape>
                  <v:shape id="_x0000_s1035" o:spid="_x0000_s1035" o:spt="202" type="#_x0000_t202" style="position:absolute;left:3749;top:4923;height:248;width:871;" filled="f" stroked="f" coordsize="21600,21600">
                    <v:path/>
                    <v:fill on="f" focussize="0,0"/>
                    <v:stroke on="f"/>
                    <v:imagedata o:title=""/>
                    <o:lock v:ext="edit" aspectratio="f"/>
                    <v:textbox inset="0mm,0mm,0mm,0mm">
                      <w:txbxContent>
                        <w:p w14:paraId="04617083">
                          <w:pPr>
                            <w:spacing w:before="20" w:line="228" w:lineRule="auto"/>
                            <w:ind w:left="20"/>
                            <w:rPr>
                              <w:rFonts w:ascii="宋体" w:hAnsi="宋体" w:eastAsia="宋体" w:cs="宋体"/>
                              <w:sz w:val="20"/>
                              <w:szCs w:val="20"/>
                            </w:rPr>
                          </w:pPr>
                          <w:r>
                            <w:rPr>
                              <w:rFonts w:ascii="宋体" w:hAnsi="宋体" w:eastAsia="宋体" w:cs="宋体"/>
                              <w:b/>
                              <w:bCs/>
                              <w:color w:val="FF0000"/>
                              <w:spacing w:val="5"/>
                              <w:sz w:val="20"/>
                              <w:szCs w:val="20"/>
                            </w:rPr>
                            <w:t>项目位置</w:t>
                          </w:r>
                        </w:p>
                      </w:txbxContent>
                    </v:textbox>
                  </v:shape>
                  <w10:wrap type="none"/>
                  <w10:anchorlock/>
                </v:group>
              </w:pict>
            </w:r>
          </w:p>
          <w:p w14:paraId="5FF0164B">
            <w:pPr>
              <w:pStyle w:val="6"/>
              <w:spacing w:before="197" w:line="342" w:lineRule="auto"/>
              <w:ind w:left="598" w:right="2332" w:firstLine="2222"/>
            </w:pPr>
            <w:r>
              <w:rPr>
                <w:rFonts w:ascii="黑体" w:hAnsi="黑体" w:eastAsia="黑体" w:cs="黑体"/>
                <w:spacing w:val="-4"/>
              </w:rPr>
              <w:t>图</w:t>
            </w:r>
            <w:r>
              <w:rPr>
                <w:rFonts w:ascii="黑体" w:hAnsi="黑体" w:eastAsia="黑体" w:cs="黑体"/>
                <w:spacing w:val="-47"/>
              </w:rPr>
              <w:t xml:space="preserve"> </w:t>
            </w:r>
            <w:r>
              <w:rPr>
                <w:rFonts w:ascii="Times New Roman" w:hAnsi="Times New Roman" w:eastAsia="Times New Roman" w:cs="Times New Roman"/>
                <w:spacing w:val="-4"/>
              </w:rPr>
              <w:t>3-</w:t>
            </w:r>
            <w:r>
              <w:rPr>
                <w:rFonts w:ascii="Times New Roman" w:hAnsi="Times New Roman" w:eastAsia="Times New Roman" w:cs="Times New Roman"/>
                <w:spacing w:val="-33"/>
              </w:rPr>
              <w:t xml:space="preserve"> </w:t>
            </w:r>
            <w:r>
              <w:rPr>
                <w:rFonts w:ascii="Times New Roman" w:hAnsi="Times New Roman" w:eastAsia="Times New Roman" w:cs="Times New Roman"/>
                <w:spacing w:val="-4"/>
              </w:rPr>
              <w:t xml:space="preserve">1  </w:t>
            </w:r>
            <w:r>
              <w:rPr>
                <w:rFonts w:ascii="黑体" w:hAnsi="黑体" w:eastAsia="黑体" w:cs="黑体"/>
                <w:spacing w:val="-4"/>
              </w:rPr>
              <w:t>内蒙古主体功能区规划图</w:t>
            </w:r>
            <w:r>
              <w:rPr>
                <w:spacing w:val="-3"/>
              </w:rPr>
              <w:t>（</w:t>
            </w:r>
            <w:r>
              <w:rPr>
                <w:rFonts w:ascii="Times New Roman" w:hAnsi="Times New Roman" w:eastAsia="Times New Roman" w:cs="Times New Roman"/>
                <w:spacing w:val="-3"/>
              </w:rPr>
              <w:t>2</w:t>
            </w:r>
            <w:r>
              <w:rPr>
                <w:spacing w:val="-3"/>
              </w:rPr>
              <w:t>）生态功能区划</w:t>
            </w:r>
          </w:p>
        </w:tc>
      </w:tr>
    </w:tbl>
    <w:p w14:paraId="41D83FC4">
      <w:pPr>
        <w:rPr>
          <w:rFonts w:ascii="Arial"/>
          <w:sz w:val="21"/>
        </w:rPr>
      </w:pPr>
    </w:p>
    <w:p w14:paraId="2EB0E1D5">
      <w:pPr>
        <w:rPr>
          <w:rFonts w:ascii="Arial" w:hAnsi="Arial" w:eastAsia="Arial" w:cs="Arial"/>
          <w:sz w:val="21"/>
          <w:szCs w:val="21"/>
        </w:rPr>
        <w:sectPr>
          <w:footerReference r:id="rId52" w:type="default"/>
          <w:pgSz w:w="11906" w:h="16839"/>
          <w:pgMar w:top="400" w:right="1369" w:bottom="1240" w:left="1538" w:header="0" w:footer="1078" w:gutter="0"/>
          <w:cols w:space="720" w:num="1"/>
        </w:sectPr>
      </w:pPr>
    </w:p>
    <w:p w14:paraId="6D22A102">
      <w:pPr>
        <w:spacing w:before="56"/>
      </w:pPr>
    </w:p>
    <w:p w14:paraId="7627E864">
      <w:pPr>
        <w:spacing w:before="56"/>
      </w:pPr>
    </w:p>
    <w:p w14:paraId="0E158C53">
      <w:pPr>
        <w:spacing w:before="55"/>
      </w:pPr>
    </w:p>
    <w:p w14:paraId="7BD7B257">
      <w:pPr>
        <w:spacing w:before="55"/>
      </w:pPr>
    </w:p>
    <w:tbl>
      <w:tblPr>
        <w:tblStyle w:val="5"/>
        <w:tblW w:w="898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6"/>
        <w:gridCol w:w="8517"/>
      </w:tblGrid>
      <w:tr w14:paraId="0FBFCA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52" w:hRule="atLeast"/>
        </w:trPr>
        <w:tc>
          <w:tcPr>
            <w:tcW w:w="466" w:type="dxa"/>
            <w:tcBorders>
              <w:right w:val="single" w:color="000000" w:sz="2" w:space="0"/>
            </w:tcBorders>
            <w:vAlign w:val="top"/>
          </w:tcPr>
          <w:p w14:paraId="461AE63C">
            <w:pPr>
              <w:rPr>
                <w:rFonts w:ascii="Arial"/>
                <w:sz w:val="21"/>
              </w:rPr>
            </w:pPr>
          </w:p>
        </w:tc>
        <w:tc>
          <w:tcPr>
            <w:tcW w:w="8517" w:type="dxa"/>
            <w:tcBorders>
              <w:left w:val="single" w:color="000000" w:sz="2" w:space="0"/>
            </w:tcBorders>
            <w:vAlign w:val="top"/>
          </w:tcPr>
          <w:p w14:paraId="02ECE6F6">
            <w:pPr>
              <w:pStyle w:val="6"/>
              <w:spacing w:before="39" w:line="354" w:lineRule="auto"/>
              <w:ind w:left="105" w:right="103" w:firstLine="484"/>
              <w:jc w:val="both"/>
            </w:pPr>
            <w:r>
              <w:rPr>
                <w:spacing w:val="-3"/>
              </w:rPr>
              <w:t>项目位于内蒙古巴彦淖尔市磴口县隆盛合镇，根据内蒙</w:t>
            </w:r>
            <w:r>
              <w:rPr>
                <w:spacing w:val="-4"/>
              </w:rPr>
              <w:t>古自治区生态功能区</w:t>
            </w:r>
            <w:r>
              <w:rPr>
                <w:spacing w:val="-3"/>
              </w:rPr>
              <w:t>划和巴彦淖尔市生态功能区划，所在区域属于河套平原灌溉生态功能区，区域内以农业生态环境为主要特征，土壤风蚀沙化和水土流失，土壤肥力下降，土壤次生盐渍化为极敏感区，生态服务功能特征为粮食生产。生态保护目标与措施为建</w:t>
            </w:r>
            <w:r>
              <w:t>立基本农田保护区为中心，治理农田土壤盐渍</w:t>
            </w:r>
            <w:r>
              <w:rPr>
                <w:spacing w:val="-1"/>
              </w:rPr>
              <w:t>化和土壤板结为根本。</w:t>
            </w:r>
          </w:p>
          <w:p w14:paraId="22A7417A">
            <w:pPr>
              <w:pStyle w:val="6"/>
              <w:spacing w:line="5155" w:lineRule="exact"/>
              <w:ind w:firstLine="308"/>
            </w:pPr>
            <w:r>
              <w:rPr>
                <w:position w:val="-103"/>
              </w:rPr>
              <w:pict>
                <v:group id="_x0000_s1036" o:spid="_x0000_s1036" o:spt="203" style="height:257.8pt;width:394.35pt;" coordsize="7887,5155">
                  <o:lock v:ext="edit"/>
                  <v:shape id="_x0000_s1037" o:spid="_x0000_s1037" o:spt="75" type="#_x0000_t75" style="position:absolute;left:0;top:0;height:5155;width:7887;" filled="f" stroked="f" coordsize="21600,21600">
                    <v:path/>
                    <v:fill on="f" focussize="0,0"/>
                    <v:stroke on="f"/>
                    <v:imagedata r:id="rId190" o:title=""/>
                    <o:lock v:ext="edit" aspectratio="t"/>
                  </v:shape>
                  <v:shape id="_x0000_s1038" o:spid="_x0000_s1038" o:spt="202" type="#_x0000_t202" style="position:absolute;left:1093;top:699;height:248;width:871;" filled="f" stroked="f" coordsize="21600,21600">
                    <v:path/>
                    <v:fill on="f" focussize="0,0"/>
                    <v:stroke on="f"/>
                    <v:imagedata o:title=""/>
                    <o:lock v:ext="edit" aspectratio="f"/>
                    <v:textbox inset="0mm,0mm,0mm,0mm">
                      <w:txbxContent>
                        <w:p w14:paraId="4FA6A50C">
                          <w:pPr>
                            <w:spacing w:before="20" w:line="228" w:lineRule="auto"/>
                            <w:ind w:left="20"/>
                            <w:rPr>
                              <w:rFonts w:ascii="宋体" w:hAnsi="宋体" w:eastAsia="宋体" w:cs="宋体"/>
                              <w:sz w:val="20"/>
                              <w:szCs w:val="20"/>
                            </w:rPr>
                          </w:pPr>
                          <w:r>
                            <w:rPr>
                              <w:rFonts w:ascii="宋体" w:hAnsi="宋体" w:eastAsia="宋体" w:cs="宋体"/>
                              <w:b/>
                              <w:bCs/>
                              <w:color w:val="FF0000"/>
                              <w:spacing w:val="5"/>
                              <w:sz w:val="20"/>
                              <w:szCs w:val="20"/>
                            </w:rPr>
                            <w:t>项目位置</w:t>
                          </w:r>
                        </w:p>
                      </w:txbxContent>
                    </v:textbox>
                  </v:shape>
                  <w10:wrap type="none"/>
                  <w10:anchorlock/>
                </v:group>
              </w:pict>
            </w:r>
          </w:p>
          <w:p w14:paraId="2C3B089F">
            <w:pPr>
              <w:spacing w:before="171" w:line="221" w:lineRule="auto"/>
              <w:ind w:left="2345"/>
              <w:rPr>
                <w:rFonts w:ascii="黑体" w:hAnsi="黑体" w:eastAsia="黑体" w:cs="黑体"/>
                <w:sz w:val="24"/>
                <w:szCs w:val="24"/>
              </w:rPr>
            </w:pPr>
            <w:r>
              <w:rPr>
                <w:rFonts w:ascii="黑体" w:hAnsi="黑体" w:eastAsia="黑体" w:cs="黑体"/>
                <w:spacing w:val="-2"/>
                <w:sz w:val="24"/>
                <w:szCs w:val="24"/>
              </w:rPr>
              <w:t>图</w:t>
            </w:r>
            <w:r>
              <w:rPr>
                <w:rFonts w:ascii="黑体" w:hAnsi="黑体" w:eastAsia="黑体" w:cs="黑体"/>
                <w:spacing w:val="-48"/>
                <w:sz w:val="24"/>
                <w:szCs w:val="24"/>
              </w:rPr>
              <w:t xml:space="preserve"> </w:t>
            </w:r>
            <w:r>
              <w:rPr>
                <w:rFonts w:ascii="Times New Roman" w:hAnsi="Times New Roman" w:eastAsia="Times New Roman" w:cs="Times New Roman"/>
                <w:spacing w:val="-2"/>
                <w:sz w:val="24"/>
                <w:szCs w:val="24"/>
              </w:rPr>
              <w:t xml:space="preserve">3-2  </w:t>
            </w:r>
            <w:r>
              <w:rPr>
                <w:rFonts w:ascii="黑体" w:hAnsi="黑体" w:eastAsia="黑体" w:cs="黑体"/>
                <w:spacing w:val="-2"/>
                <w:sz w:val="24"/>
                <w:szCs w:val="24"/>
              </w:rPr>
              <w:t>内蒙古自治区生态功能区划图</w:t>
            </w:r>
          </w:p>
          <w:p w14:paraId="45D1C3F3">
            <w:pPr>
              <w:pStyle w:val="6"/>
              <w:spacing w:before="146" w:line="4478" w:lineRule="exact"/>
              <w:ind w:firstLine="315"/>
            </w:pPr>
            <w:r>
              <w:rPr>
                <w:position w:val="-89"/>
              </w:rPr>
              <w:pict>
                <v:group id="_x0000_s1039" o:spid="_x0000_s1039" o:spt="203" style="height:223.95pt;width:393.65pt;" coordsize="7872,4478">
                  <o:lock v:ext="edit"/>
                  <v:shape id="_x0000_s1040" o:spid="_x0000_s1040" o:spt="75" type="#_x0000_t75" style="position:absolute;left:0;top:0;height:4478;width:7872;" filled="f" stroked="f" coordsize="21600,21600">
                    <v:path/>
                    <v:fill on="f" focussize="0,0"/>
                    <v:stroke on="f"/>
                    <v:imagedata r:id="rId191" o:title=""/>
                    <o:lock v:ext="edit" aspectratio="t"/>
                  </v:shape>
                  <v:shape id="_x0000_s1041" o:spid="_x0000_s1041" o:spt="202" type="#_x0000_t202" style="position:absolute;left:3205;top:1992;height:248;width:871;" filled="f" stroked="f" coordsize="21600,21600">
                    <v:path/>
                    <v:fill on="f" focussize="0,0"/>
                    <v:stroke on="f"/>
                    <v:imagedata o:title=""/>
                    <o:lock v:ext="edit" aspectratio="f"/>
                    <v:textbox inset="0mm,0mm,0mm,0mm">
                      <w:txbxContent>
                        <w:p w14:paraId="1FE9F48E">
                          <w:pPr>
                            <w:spacing w:before="20" w:line="228" w:lineRule="auto"/>
                            <w:ind w:left="20"/>
                            <w:rPr>
                              <w:rFonts w:ascii="宋体" w:hAnsi="宋体" w:eastAsia="宋体" w:cs="宋体"/>
                              <w:sz w:val="20"/>
                              <w:szCs w:val="20"/>
                            </w:rPr>
                          </w:pPr>
                          <w:r>
                            <w:rPr>
                              <w:rFonts w:ascii="宋体" w:hAnsi="宋体" w:eastAsia="宋体" w:cs="宋体"/>
                              <w:b/>
                              <w:bCs/>
                              <w:color w:val="FF0000"/>
                              <w:spacing w:val="5"/>
                              <w:sz w:val="20"/>
                              <w:szCs w:val="20"/>
                            </w:rPr>
                            <w:t>项目位置</w:t>
                          </w:r>
                        </w:p>
                      </w:txbxContent>
                    </v:textbox>
                  </v:shape>
                  <w10:wrap type="none"/>
                  <w10:anchorlock/>
                </v:group>
              </w:pict>
            </w:r>
          </w:p>
          <w:p w14:paraId="11DABF57">
            <w:pPr>
              <w:spacing w:before="174" w:line="222" w:lineRule="auto"/>
              <w:ind w:left="2465"/>
              <w:rPr>
                <w:rFonts w:ascii="黑体" w:hAnsi="黑体" w:eastAsia="黑体" w:cs="黑体"/>
                <w:sz w:val="24"/>
                <w:szCs w:val="24"/>
              </w:rPr>
            </w:pPr>
            <w:r>
              <w:rPr>
                <w:rFonts w:ascii="黑体" w:hAnsi="黑体" w:eastAsia="黑体" w:cs="黑体"/>
                <w:spacing w:val="-5"/>
                <w:sz w:val="24"/>
                <w:szCs w:val="24"/>
              </w:rPr>
              <w:t>图</w:t>
            </w:r>
            <w:r>
              <w:rPr>
                <w:rFonts w:ascii="黑体" w:hAnsi="黑体" w:eastAsia="黑体" w:cs="黑体"/>
                <w:spacing w:val="-37"/>
                <w:sz w:val="24"/>
                <w:szCs w:val="24"/>
              </w:rPr>
              <w:t xml:space="preserve"> </w:t>
            </w:r>
            <w:r>
              <w:rPr>
                <w:rFonts w:ascii="Times New Roman" w:hAnsi="Times New Roman" w:eastAsia="Times New Roman" w:cs="Times New Roman"/>
                <w:spacing w:val="-5"/>
                <w:sz w:val="24"/>
                <w:szCs w:val="24"/>
              </w:rPr>
              <w:t>3-3</w:t>
            </w:r>
            <w:r>
              <w:rPr>
                <w:rFonts w:ascii="Times New Roman" w:hAnsi="Times New Roman" w:eastAsia="Times New Roman" w:cs="Times New Roman"/>
                <w:spacing w:val="15"/>
                <w:w w:val="101"/>
                <w:sz w:val="24"/>
                <w:szCs w:val="24"/>
              </w:rPr>
              <w:t xml:space="preserve">  </w:t>
            </w:r>
            <w:r>
              <w:rPr>
                <w:rFonts w:ascii="黑体" w:hAnsi="黑体" w:eastAsia="黑体" w:cs="黑体"/>
                <w:spacing w:val="-5"/>
                <w:sz w:val="24"/>
                <w:szCs w:val="24"/>
              </w:rPr>
              <w:t>巴彦淖尔市生态功能区划图</w:t>
            </w:r>
          </w:p>
          <w:p w14:paraId="57ACC60D">
            <w:pPr>
              <w:pStyle w:val="6"/>
              <w:spacing w:before="176" w:line="219" w:lineRule="auto"/>
              <w:ind w:left="590"/>
            </w:pPr>
            <w:r>
              <w:rPr>
                <w:spacing w:val="-3"/>
              </w:rPr>
              <w:t>项目钻井过程中使用水基钻井泥浆，采用泥浆不落地循</w:t>
            </w:r>
            <w:r>
              <w:rPr>
                <w:spacing w:val="-4"/>
              </w:rPr>
              <w:t>环系统装置，钻井泥</w:t>
            </w:r>
          </w:p>
        </w:tc>
      </w:tr>
    </w:tbl>
    <w:p w14:paraId="12557AAE">
      <w:pPr>
        <w:rPr>
          <w:rFonts w:ascii="Arial"/>
          <w:sz w:val="21"/>
        </w:rPr>
      </w:pPr>
    </w:p>
    <w:p w14:paraId="1E32B1E7">
      <w:pPr>
        <w:rPr>
          <w:rFonts w:ascii="Arial" w:hAnsi="Arial" w:eastAsia="Arial" w:cs="Arial"/>
          <w:sz w:val="21"/>
          <w:szCs w:val="21"/>
        </w:rPr>
        <w:sectPr>
          <w:footerReference r:id="rId53" w:type="default"/>
          <w:pgSz w:w="11906" w:h="16839"/>
          <w:pgMar w:top="400" w:right="1369" w:bottom="1240" w:left="1538" w:header="0" w:footer="1078" w:gutter="0"/>
          <w:cols w:space="720" w:num="1"/>
        </w:sectPr>
      </w:pPr>
    </w:p>
    <w:p w14:paraId="6AE44AF5">
      <w:pPr>
        <w:spacing w:before="56"/>
      </w:pPr>
    </w:p>
    <w:p w14:paraId="38690E7B">
      <w:pPr>
        <w:spacing w:before="56"/>
      </w:pPr>
    </w:p>
    <w:p w14:paraId="1E6C7AA5">
      <w:pPr>
        <w:spacing w:before="55"/>
      </w:pPr>
    </w:p>
    <w:p w14:paraId="3F00D6C5">
      <w:pPr>
        <w:spacing w:before="55"/>
      </w:pPr>
    </w:p>
    <w:tbl>
      <w:tblPr>
        <w:tblStyle w:val="5"/>
        <w:tblW w:w="898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6"/>
        <w:gridCol w:w="8517"/>
      </w:tblGrid>
      <w:tr w14:paraId="3FC33C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466" w:type="dxa"/>
            <w:tcBorders>
              <w:right w:val="single" w:color="000000" w:sz="2" w:space="0"/>
            </w:tcBorders>
            <w:vAlign w:val="top"/>
          </w:tcPr>
          <w:p w14:paraId="3B569A98">
            <w:pPr>
              <w:rPr>
                <w:rFonts w:ascii="Arial"/>
                <w:sz w:val="21"/>
              </w:rPr>
            </w:pPr>
          </w:p>
        </w:tc>
        <w:tc>
          <w:tcPr>
            <w:tcW w:w="8517" w:type="dxa"/>
            <w:tcBorders>
              <w:left w:val="single" w:color="000000" w:sz="2" w:space="0"/>
            </w:tcBorders>
            <w:vAlign w:val="top"/>
          </w:tcPr>
          <w:p w14:paraId="3838254C">
            <w:pPr>
              <w:pStyle w:val="6"/>
              <w:spacing w:before="41" w:line="359" w:lineRule="auto"/>
              <w:ind w:left="105" w:right="22"/>
              <w:jc w:val="both"/>
            </w:pPr>
            <w:r>
              <w:rPr>
                <w:spacing w:val="-3"/>
              </w:rPr>
              <w:t>浆循环使用，产生的废弃泥浆、钻井岩屑拉运至内蒙古众宁环保科技有限公司油气田废弃物集中处理厂处理；危险废物委托有资质单位拉运处置；同时对井场采</w:t>
            </w:r>
            <w:r>
              <w:rPr>
                <w:spacing w:val="-7"/>
              </w:rPr>
              <w:t>取分区防渗措施，能够有效防止污染物下渗，避免对土壤</w:t>
            </w:r>
            <w:r>
              <w:rPr>
                <w:spacing w:val="-8"/>
              </w:rPr>
              <w:t>、地下水环境产生影响。</w:t>
            </w:r>
            <w:r>
              <w:rPr>
                <w:spacing w:val="-3"/>
              </w:rPr>
              <w:t>施工期严格控制作业区面积，不在道路、井场以外的地方行驶和作业，保持临时用地区域以外的植被不被破坏。项目临时用地过程中不涉及永久性建筑物、不涉及地面硬化，只涉及钻机等设备压占，损毁类型为挖损、压占，损毁程度为中度和轻度，土地复垦可行。施工结束后及时按照复垦方案进行土地复垦，恢复土地原有使用功能，在严格落实防治措施的前提下，不会对区域生态、农业生产造成</w:t>
            </w:r>
            <w:r>
              <w:t>明显影响。综合分析，项目建设符合内蒙古自治区生态</w:t>
            </w:r>
            <w:r>
              <w:rPr>
                <w:spacing w:val="-1"/>
              </w:rPr>
              <w:t>功能区划相应的要求。</w:t>
            </w:r>
          </w:p>
          <w:p w14:paraId="1CFA28CB">
            <w:pPr>
              <w:pStyle w:val="6"/>
              <w:spacing w:line="220" w:lineRule="auto"/>
              <w:ind w:left="598"/>
            </w:pPr>
            <w:r>
              <w:rPr>
                <w:spacing w:val="-3"/>
              </w:rPr>
              <w:t>（</w:t>
            </w:r>
            <w:r>
              <w:rPr>
                <w:rFonts w:ascii="Times New Roman" w:hAnsi="Times New Roman" w:eastAsia="Times New Roman" w:cs="Times New Roman"/>
                <w:spacing w:val="-3"/>
              </w:rPr>
              <w:t>3</w:t>
            </w:r>
            <w:r>
              <w:rPr>
                <w:spacing w:val="-3"/>
              </w:rPr>
              <w:t>）环境功能区划</w:t>
            </w:r>
          </w:p>
          <w:p w14:paraId="3E195187">
            <w:pPr>
              <w:pStyle w:val="6"/>
              <w:spacing w:before="181" w:line="359" w:lineRule="auto"/>
              <w:ind w:left="106" w:right="97" w:firstLine="483"/>
            </w:pPr>
            <w:r>
              <w:rPr>
                <w:spacing w:val="-1"/>
              </w:rPr>
              <w:t>项目区域为环境空气二类区，执行《环境空气质量标准》（</w:t>
            </w:r>
            <w:r>
              <w:rPr>
                <w:rFonts w:ascii="Times New Roman" w:hAnsi="Times New Roman" w:eastAsia="Times New Roman" w:cs="Times New Roman"/>
                <w:spacing w:val="-1"/>
              </w:rPr>
              <w:t>GB3095-2026</w:t>
            </w:r>
            <w:r>
              <w:rPr>
                <w:spacing w:val="-1"/>
              </w:rPr>
              <w:t>）</w:t>
            </w:r>
            <w:r>
              <w:t>中过渡阶段二级浓度限值；声环境执行《声环境质量标准》（</w:t>
            </w:r>
            <w:r>
              <w:rPr>
                <w:rFonts w:ascii="Times New Roman" w:hAnsi="Times New Roman" w:eastAsia="Times New Roman" w:cs="Times New Roman"/>
              </w:rPr>
              <w:t>GB</w:t>
            </w:r>
            <w:r>
              <w:rPr>
                <w:rFonts w:ascii="Times New Roman" w:hAnsi="Times New Roman" w:eastAsia="Times New Roman" w:cs="Times New Roman"/>
                <w:spacing w:val="-1"/>
              </w:rPr>
              <w:t>3096-2008</w:t>
            </w:r>
            <w:r>
              <w:rPr>
                <w:spacing w:val="-1"/>
              </w:rPr>
              <w:t>）</w:t>
            </w:r>
            <w:r>
              <w:rPr>
                <w:rFonts w:ascii="Times New Roman" w:hAnsi="Times New Roman" w:eastAsia="Times New Roman" w:cs="Times New Roman"/>
                <w:spacing w:val="-1"/>
              </w:rPr>
              <w:t>1</w:t>
            </w:r>
            <w:r>
              <w:rPr>
                <w:spacing w:val="-3"/>
              </w:rPr>
              <w:t>类标准。</w:t>
            </w:r>
          </w:p>
          <w:p w14:paraId="1DE0AD92">
            <w:pPr>
              <w:pStyle w:val="6"/>
              <w:spacing w:line="219" w:lineRule="auto"/>
              <w:ind w:left="583"/>
            </w:pPr>
            <w:r>
              <w:rPr>
                <w:rFonts w:ascii="Times New Roman" w:hAnsi="Times New Roman" w:eastAsia="Times New Roman" w:cs="Times New Roman"/>
                <w:b/>
                <w:bCs/>
                <w:spacing w:val="-6"/>
              </w:rPr>
              <w:t>2</w:t>
            </w:r>
            <w:r>
              <w:rPr>
                <w:rFonts w:ascii="Times New Roman" w:hAnsi="Times New Roman" w:eastAsia="Times New Roman" w:cs="Times New Roman"/>
                <w:b/>
                <w:bCs/>
                <w:spacing w:val="-32"/>
              </w:rPr>
              <w:t xml:space="preserve"> </w:t>
            </w:r>
            <w:r>
              <w:rPr>
                <w:b/>
                <w:bCs/>
                <w:spacing w:val="-6"/>
              </w:rPr>
              <w:t>、生态环境现状</w:t>
            </w:r>
          </w:p>
          <w:p w14:paraId="18FFA444">
            <w:pPr>
              <w:pStyle w:val="6"/>
              <w:spacing w:before="183" w:line="359" w:lineRule="auto"/>
              <w:ind w:left="107" w:right="103" w:firstLine="482"/>
              <w:jc w:val="both"/>
            </w:pPr>
            <w:r>
              <w:rPr>
                <w:spacing w:val="-3"/>
              </w:rPr>
              <w:t>项目生态现状调查采用现场调查法和资料收集法。参照</w:t>
            </w:r>
            <w:r>
              <w:rPr>
                <w:spacing w:val="-4"/>
              </w:rPr>
              <w:t>《环境影响评价技术</w:t>
            </w:r>
            <w:r>
              <w:rPr>
                <w:spacing w:val="1"/>
              </w:rPr>
              <w:t>导则 陆地石油天然气开发建设项目》（</w:t>
            </w:r>
            <w:r>
              <w:rPr>
                <w:rFonts w:ascii="Times New Roman" w:hAnsi="Times New Roman" w:eastAsia="Times New Roman" w:cs="Times New Roman"/>
              </w:rPr>
              <w:t>HJ</w:t>
            </w:r>
            <w:r>
              <w:rPr>
                <w:rFonts w:ascii="Times New Roman" w:hAnsi="Times New Roman" w:eastAsia="Times New Roman" w:cs="Times New Roman"/>
                <w:spacing w:val="1"/>
              </w:rPr>
              <w:t>3</w:t>
            </w:r>
            <w:r>
              <w:rPr>
                <w:rFonts w:ascii="Times New Roman" w:hAnsi="Times New Roman" w:eastAsia="Times New Roman" w:cs="Times New Roman"/>
              </w:rPr>
              <w:t>49-2023</w:t>
            </w:r>
            <w:r>
              <w:t>）中</w:t>
            </w:r>
            <w:r>
              <w:rPr>
                <w:spacing w:val="-51"/>
              </w:rPr>
              <w:t xml:space="preserve"> </w:t>
            </w:r>
            <w:r>
              <w:rPr>
                <w:rFonts w:ascii="Times New Roman" w:hAnsi="Times New Roman" w:eastAsia="Times New Roman" w:cs="Times New Roman"/>
              </w:rPr>
              <w:t xml:space="preserve">7.1  </w:t>
            </w:r>
            <w:r>
              <w:t>井场、站场（含净化厂）等工程以场界周围</w:t>
            </w:r>
            <w:r>
              <w:rPr>
                <w:spacing w:val="-46"/>
              </w:rPr>
              <w:t xml:space="preserve"> </w:t>
            </w:r>
            <w:r>
              <w:rPr>
                <w:rFonts w:ascii="Times New Roman" w:hAnsi="Times New Roman" w:eastAsia="Times New Roman" w:cs="Times New Roman"/>
              </w:rPr>
              <w:t xml:space="preserve">50 </w:t>
            </w:r>
            <w:r>
              <w:t>米范围、集输管道等线性工</w:t>
            </w:r>
            <w:r>
              <w:rPr>
                <w:spacing w:val="-1"/>
              </w:rPr>
              <w:t>程两侧外延</w:t>
            </w:r>
            <w:r>
              <w:rPr>
                <w:spacing w:val="-47"/>
              </w:rPr>
              <w:t xml:space="preserve"> </w:t>
            </w:r>
            <w:r>
              <w:rPr>
                <w:rFonts w:ascii="Times New Roman" w:hAnsi="Times New Roman" w:eastAsia="Times New Roman" w:cs="Times New Roman"/>
                <w:spacing w:val="-1"/>
              </w:rPr>
              <w:t xml:space="preserve">300 </w:t>
            </w:r>
            <w:r>
              <w:rPr>
                <w:spacing w:val="-1"/>
              </w:rPr>
              <w:t>米为评价范围，因此确定调查范围为井场施工边界外扩</w:t>
            </w:r>
            <w:r>
              <w:rPr>
                <w:spacing w:val="-47"/>
              </w:rPr>
              <w:t xml:space="preserve"> </w:t>
            </w:r>
            <w:r>
              <w:rPr>
                <w:rFonts w:ascii="Times New Roman" w:hAnsi="Times New Roman" w:eastAsia="Times New Roman" w:cs="Times New Roman"/>
                <w:spacing w:val="-1"/>
              </w:rPr>
              <w:t>50m</w:t>
            </w:r>
            <w:r>
              <w:rPr>
                <w:spacing w:val="-1"/>
              </w:rPr>
              <w:t>。</w:t>
            </w:r>
          </w:p>
          <w:p w14:paraId="5D440AAA">
            <w:pPr>
              <w:pStyle w:val="6"/>
              <w:spacing w:line="359" w:lineRule="auto"/>
              <w:ind w:left="108" w:right="103" w:firstLine="478"/>
            </w:pPr>
            <w:r>
              <w:rPr>
                <w:spacing w:val="-3"/>
              </w:rPr>
              <w:t>根据现场踏勘，项目所在区域人类活动频繁，区域内生态以农业</w:t>
            </w:r>
            <w:r>
              <w:rPr>
                <w:spacing w:val="-4"/>
              </w:rPr>
              <w:t>生态环境为</w:t>
            </w:r>
            <w:r>
              <w:rPr>
                <w:spacing w:val="-1"/>
              </w:rPr>
              <w:t>主要特征，不涉及重点保护野生动植物及其生境分布。</w:t>
            </w:r>
          </w:p>
          <w:p w14:paraId="6ABD1C32">
            <w:pPr>
              <w:pStyle w:val="6"/>
              <w:spacing w:line="219" w:lineRule="auto"/>
              <w:ind w:left="598"/>
            </w:pPr>
            <w:r>
              <w:rPr>
                <w:spacing w:val="-3"/>
              </w:rPr>
              <w:t>（</w:t>
            </w:r>
            <w:r>
              <w:rPr>
                <w:rFonts w:ascii="Times New Roman" w:hAnsi="Times New Roman" w:eastAsia="Times New Roman" w:cs="Times New Roman"/>
                <w:spacing w:val="-3"/>
              </w:rPr>
              <w:t>1</w:t>
            </w:r>
            <w:r>
              <w:rPr>
                <w:spacing w:val="-3"/>
              </w:rPr>
              <w:t>）土地利用现状</w:t>
            </w:r>
          </w:p>
          <w:p w14:paraId="139B5D91">
            <w:pPr>
              <w:pStyle w:val="6"/>
              <w:spacing w:before="181" w:line="357" w:lineRule="auto"/>
              <w:ind w:left="106" w:right="103" w:firstLine="483"/>
            </w:pPr>
            <w:r>
              <w:rPr>
                <w:spacing w:val="4"/>
              </w:rPr>
              <w:t>项目属于石油勘探工程，为临时占地，包括办公生活区、设备区等。扎格</w:t>
            </w:r>
            <w:r>
              <w:rPr>
                <w:rFonts w:ascii="Times New Roman" w:hAnsi="Times New Roman" w:eastAsia="Times New Roman" w:cs="Times New Roman"/>
                <w:spacing w:val="-1"/>
              </w:rPr>
              <w:t xml:space="preserve">9X </w:t>
            </w:r>
            <w:r>
              <w:rPr>
                <w:spacing w:val="-1"/>
              </w:rPr>
              <w:t>井项目占地面积</w:t>
            </w:r>
            <w:r>
              <w:rPr>
                <w:spacing w:val="-30"/>
              </w:rPr>
              <w:t xml:space="preserve"> </w:t>
            </w:r>
            <w:r>
              <w:rPr>
                <w:rFonts w:ascii="Times New Roman" w:hAnsi="Times New Roman" w:eastAsia="Times New Roman" w:cs="Times New Roman"/>
                <w:spacing w:val="-1"/>
              </w:rPr>
              <w:t>13293m</w:t>
            </w:r>
            <w:r>
              <w:rPr>
                <w:rFonts w:ascii="Times New Roman" w:hAnsi="Times New Roman" w:eastAsia="Times New Roman" w:cs="Times New Roman"/>
                <w:spacing w:val="-1"/>
                <w:position w:val="8"/>
                <w:sz w:val="15"/>
                <w:szCs w:val="15"/>
              </w:rPr>
              <w:t>2</w:t>
            </w:r>
            <w:r>
              <w:rPr>
                <w:spacing w:val="-1"/>
              </w:rPr>
              <w:t>（其中占用基本农田面积</w:t>
            </w:r>
            <w:r>
              <w:rPr>
                <w:spacing w:val="-27"/>
              </w:rPr>
              <w:t xml:space="preserve"> </w:t>
            </w:r>
            <w:r>
              <w:rPr>
                <w:rFonts w:ascii="Times New Roman" w:hAnsi="Times New Roman" w:eastAsia="Times New Roman" w:cs="Times New Roman"/>
                <w:spacing w:val="-1"/>
              </w:rPr>
              <w:t>12987m</w:t>
            </w:r>
            <w:r>
              <w:rPr>
                <w:rFonts w:ascii="Times New Roman" w:hAnsi="Times New Roman" w:eastAsia="Times New Roman" w:cs="Times New Roman"/>
                <w:spacing w:val="-1"/>
                <w:position w:val="1"/>
                <w:sz w:val="15"/>
                <w:szCs w:val="15"/>
              </w:rPr>
              <w:t>2</w:t>
            </w:r>
            <w:r>
              <w:rPr>
                <w:spacing w:val="11"/>
                <w:position w:val="1"/>
              </w:rPr>
              <w:t>）</w:t>
            </w:r>
            <w:r>
              <w:rPr>
                <w:spacing w:val="11"/>
              </w:rPr>
              <w:t>，</w:t>
            </w:r>
            <w:r>
              <w:rPr>
                <w:spacing w:val="-66"/>
              </w:rPr>
              <w:t xml:space="preserve"> </w:t>
            </w:r>
            <w:r>
              <w:rPr>
                <w:spacing w:val="-1"/>
              </w:rPr>
              <w:t>占地类型为</w:t>
            </w:r>
            <w:r>
              <w:rPr>
                <w:spacing w:val="-3"/>
              </w:rPr>
              <w:t>耕地、水域及水利设施用地，土地利用现状为水浇地、沟渠，周围土地类型主要</w:t>
            </w:r>
            <w:r>
              <w:rPr>
                <w:spacing w:val="-1"/>
              </w:rPr>
              <w:t>为水浇地、沟渠、林地、草地、农村宅基地等。</w:t>
            </w:r>
          </w:p>
          <w:p w14:paraId="751846F4">
            <w:pPr>
              <w:pStyle w:val="6"/>
              <w:spacing w:before="2" w:line="359" w:lineRule="auto"/>
              <w:ind w:left="112" w:right="112" w:firstLine="495"/>
              <w:jc w:val="both"/>
            </w:pPr>
            <w:r>
              <w:rPr>
                <w:spacing w:val="11"/>
              </w:rPr>
              <w:t>根据《内蒙古自治区人民政府关于划分水土流失重点预防区和重点治理</w:t>
            </w:r>
            <w:r>
              <w:rPr>
                <w:spacing w:val="7"/>
              </w:rPr>
              <w:t>区的通告》（内政发〔</w:t>
            </w:r>
            <w:r>
              <w:rPr>
                <w:rFonts w:ascii="Times New Roman" w:hAnsi="Times New Roman" w:eastAsia="Times New Roman" w:cs="Times New Roman"/>
                <w:spacing w:val="7"/>
              </w:rPr>
              <w:t>2016</w:t>
            </w:r>
            <w:r>
              <w:rPr>
                <w:spacing w:val="7"/>
              </w:rPr>
              <w:t>〕</w:t>
            </w:r>
            <w:r>
              <w:rPr>
                <w:rFonts w:ascii="Times New Roman" w:hAnsi="Times New Roman" w:eastAsia="Times New Roman" w:cs="Times New Roman"/>
                <w:spacing w:val="7"/>
              </w:rPr>
              <w:t>44</w:t>
            </w:r>
            <w:r>
              <w:rPr>
                <w:rFonts w:ascii="Times New Roman" w:hAnsi="Times New Roman" w:eastAsia="Times New Roman" w:cs="Times New Roman"/>
                <w:spacing w:val="28"/>
                <w:w w:val="101"/>
              </w:rPr>
              <w:t xml:space="preserve"> </w:t>
            </w:r>
            <w:r>
              <w:rPr>
                <w:spacing w:val="7"/>
              </w:rPr>
              <w:t>号</w:t>
            </w:r>
            <w:r>
              <w:rPr>
                <w:spacing w:val="-5"/>
              </w:rPr>
              <w:t>）</w:t>
            </w:r>
            <w:r>
              <w:rPr>
                <w:spacing w:val="-72"/>
              </w:rPr>
              <w:t xml:space="preserve"> </w:t>
            </w:r>
            <w:r>
              <w:rPr>
                <w:spacing w:val="-5"/>
              </w:rPr>
              <w:t>，</w:t>
            </w:r>
            <w:r>
              <w:rPr>
                <w:spacing w:val="7"/>
              </w:rPr>
              <w:t>项目位于黄河多沙粗</w:t>
            </w:r>
            <w:r>
              <w:rPr>
                <w:spacing w:val="6"/>
              </w:rPr>
              <w:t>沙国家级水土流</w:t>
            </w:r>
            <w:r>
              <w:rPr>
                <w:spacing w:val="5"/>
              </w:rPr>
              <w:t>失重点治理区。</w:t>
            </w:r>
          </w:p>
          <w:p w14:paraId="0DD9519A">
            <w:pPr>
              <w:pStyle w:val="6"/>
              <w:spacing w:line="218" w:lineRule="auto"/>
              <w:ind w:left="587"/>
            </w:pPr>
            <w:r>
              <w:rPr>
                <w:spacing w:val="-1"/>
              </w:rPr>
              <w:t>本项目土地利用现状见下表。</w:t>
            </w:r>
          </w:p>
        </w:tc>
      </w:tr>
    </w:tbl>
    <w:p w14:paraId="28A30069">
      <w:pPr>
        <w:rPr>
          <w:rFonts w:ascii="Arial"/>
          <w:sz w:val="21"/>
        </w:rPr>
      </w:pPr>
    </w:p>
    <w:p w14:paraId="0E9F39EC">
      <w:pPr>
        <w:rPr>
          <w:rFonts w:ascii="Arial" w:hAnsi="Arial" w:eastAsia="Arial" w:cs="Arial"/>
          <w:sz w:val="21"/>
          <w:szCs w:val="21"/>
        </w:rPr>
        <w:sectPr>
          <w:footerReference r:id="rId54" w:type="default"/>
          <w:pgSz w:w="11906" w:h="16839"/>
          <w:pgMar w:top="400" w:right="1369" w:bottom="1240" w:left="1538" w:header="0" w:footer="1078" w:gutter="0"/>
          <w:cols w:space="720" w:num="1"/>
        </w:sectPr>
      </w:pPr>
    </w:p>
    <w:p w14:paraId="75B67774">
      <w:pPr>
        <w:spacing w:before="56"/>
      </w:pPr>
    </w:p>
    <w:p w14:paraId="1F40ABE7">
      <w:pPr>
        <w:spacing w:before="56"/>
      </w:pPr>
    </w:p>
    <w:p w14:paraId="20B7C9A1">
      <w:pPr>
        <w:spacing w:before="55"/>
      </w:pPr>
    </w:p>
    <w:p w14:paraId="63D556F7">
      <w:pPr>
        <w:spacing w:before="55"/>
      </w:pPr>
    </w:p>
    <w:tbl>
      <w:tblPr>
        <w:tblStyle w:val="5"/>
        <w:tblW w:w="898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6"/>
        <w:gridCol w:w="1660"/>
        <w:gridCol w:w="1171"/>
        <w:gridCol w:w="3108"/>
        <w:gridCol w:w="1374"/>
        <w:gridCol w:w="1204"/>
      </w:tblGrid>
      <w:tr w14:paraId="2007A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466" w:type="dxa"/>
            <w:vMerge w:val="restart"/>
            <w:tcBorders>
              <w:top w:val="single" w:color="000000" w:sz="6" w:space="0"/>
              <w:left w:val="single" w:color="000000" w:sz="6" w:space="0"/>
              <w:bottom w:val="nil"/>
            </w:tcBorders>
            <w:vAlign w:val="top"/>
          </w:tcPr>
          <w:p w14:paraId="02B88977">
            <w:pPr>
              <w:rPr>
                <w:rFonts w:ascii="Arial"/>
                <w:sz w:val="21"/>
              </w:rPr>
            </w:pPr>
          </w:p>
        </w:tc>
        <w:tc>
          <w:tcPr>
            <w:tcW w:w="8517" w:type="dxa"/>
            <w:gridSpan w:val="5"/>
            <w:tcBorders>
              <w:top w:val="single" w:color="000000" w:sz="6" w:space="0"/>
              <w:bottom w:val="single" w:color="000000" w:sz="10" w:space="0"/>
              <w:right w:val="single" w:color="000000" w:sz="6" w:space="0"/>
            </w:tcBorders>
            <w:vAlign w:val="top"/>
          </w:tcPr>
          <w:p w14:paraId="5B2394A0">
            <w:pPr>
              <w:spacing w:before="88" w:line="216" w:lineRule="auto"/>
              <w:ind w:left="2023"/>
              <w:rPr>
                <w:rFonts w:ascii="Times New Roman" w:hAnsi="Times New Roman" w:eastAsia="Times New Roman" w:cs="Times New Roman"/>
                <w:sz w:val="15"/>
                <w:szCs w:val="15"/>
              </w:rPr>
            </w:pPr>
            <w:r>
              <w:rPr>
                <w:rFonts w:ascii="黑体" w:hAnsi="黑体" w:eastAsia="黑体" w:cs="黑体"/>
                <w:spacing w:val="-3"/>
                <w:sz w:val="24"/>
                <w:szCs w:val="24"/>
              </w:rPr>
              <w:t>表</w:t>
            </w:r>
            <w:r>
              <w:rPr>
                <w:rFonts w:ascii="黑体" w:hAnsi="黑体" w:eastAsia="黑体" w:cs="黑体"/>
                <w:spacing w:val="-33"/>
                <w:sz w:val="24"/>
                <w:szCs w:val="24"/>
              </w:rPr>
              <w:t xml:space="preserve"> </w:t>
            </w:r>
            <w:r>
              <w:rPr>
                <w:rFonts w:ascii="Times New Roman" w:hAnsi="Times New Roman" w:eastAsia="Times New Roman" w:cs="Times New Roman"/>
                <w:spacing w:val="-3"/>
                <w:sz w:val="24"/>
                <w:szCs w:val="24"/>
              </w:rPr>
              <w:t>3-</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 xml:space="preserve">1  </w:t>
            </w:r>
            <w:r>
              <w:rPr>
                <w:rFonts w:ascii="黑体" w:hAnsi="黑体" w:eastAsia="黑体" w:cs="黑体"/>
                <w:spacing w:val="-3"/>
                <w:sz w:val="24"/>
                <w:szCs w:val="24"/>
              </w:rPr>
              <w:t>项目土地利用现状情况表 单位：</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8"/>
                <w:sz w:val="15"/>
                <w:szCs w:val="15"/>
              </w:rPr>
              <w:t>2</w:t>
            </w:r>
          </w:p>
        </w:tc>
      </w:tr>
      <w:tr w14:paraId="420882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466" w:type="dxa"/>
            <w:vMerge w:val="continue"/>
            <w:tcBorders>
              <w:top w:val="nil"/>
              <w:left w:val="single" w:color="000000" w:sz="6" w:space="0"/>
              <w:bottom w:val="nil"/>
            </w:tcBorders>
            <w:vAlign w:val="top"/>
          </w:tcPr>
          <w:p w14:paraId="63B47660">
            <w:pPr>
              <w:rPr>
                <w:rFonts w:ascii="Arial"/>
                <w:sz w:val="21"/>
              </w:rPr>
            </w:pPr>
          </w:p>
        </w:tc>
        <w:tc>
          <w:tcPr>
            <w:tcW w:w="1660" w:type="dxa"/>
            <w:tcBorders>
              <w:top w:val="single" w:color="000000" w:sz="10" w:space="0"/>
            </w:tcBorders>
            <w:vAlign w:val="top"/>
          </w:tcPr>
          <w:p w14:paraId="3208A829">
            <w:pPr>
              <w:pStyle w:val="6"/>
              <w:spacing w:before="126" w:line="228" w:lineRule="auto"/>
              <w:ind w:left="674"/>
              <w:rPr>
                <w:sz w:val="20"/>
                <w:szCs w:val="20"/>
              </w:rPr>
            </w:pPr>
            <w:r>
              <w:rPr>
                <w:spacing w:val="4"/>
                <w:sz w:val="20"/>
                <w:szCs w:val="20"/>
              </w:rPr>
              <w:t>井号</w:t>
            </w:r>
          </w:p>
        </w:tc>
        <w:tc>
          <w:tcPr>
            <w:tcW w:w="1171" w:type="dxa"/>
            <w:tcBorders>
              <w:top w:val="single" w:color="000000" w:sz="10" w:space="0"/>
            </w:tcBorders>
            <w:vAlign w:val="top"/>
          </w:tcPr>
          <w:p w14:paraId="7439E9D8">
            <w:pPr>
              <w:pStyle w:val="6"/>
              <w:spacing w:before="125" w:line="230" w:lineRule="auto"/>
              <w:ind w:left="380"/>
              <w:rPr>
                <w:sz w:val="20"/>
                <w:szCs w:val="20"/>
              </w:rPr>
            </w:pPr>
            <w:r>
              <w:rPr>
                <w:spacing w:val="3"/>
                <w:sz w:val="20"/>
                <w:szCs w:val="20"/>
              </w:rPr>
              <w:t>名称</w:t>
            </w:r>
          </w:p>
        </w:tc>
        <w:tc>
          <w:tcPr>
            <w:tcW w:w="3108" w:type="dxa"/>
            <w:tcBorders>
              <w:top w:val="single" w:color="000000" w:sz="10" w:space="0"/>
            </w:tcBorders>
            <w:vAlign w:val="top"/>
          </w:tcPr>
          <w:p w14:paraId="0AA461AB">
            <w:pPr>
              <w:pStyle w:val="6"/>
              <w:spacing w:before="125" w:line="228" w:lineRule="auto"/>
              <w:ind w:left="1246"/>
              <w:rPr>
                <w:sz w:val="20"/>
                <w:szCs w:val="20"/>
              </w:rPr>
            </w:pPr>
            <w:r>
              <w:rPr>
                <w:spacing w:val="6"/>
                <w:sz w:val="20"/>
                <w:szCs w:val="20"/>
              </w:rPr>
              <w:t>水浇地</w:t>
            </w:r>
          </w:p>
        </w:tc>
        <w:tc>
          <w:tcPr>
            <w:tcW w:w="1374" w:type="dxa"/>
            <w:tcBorders>
              <w:top w:val="single" w:color="000000" w:sz="10" w:space="0"/>
            </w:tcBorders>
            <w:vAlign w:val="top"/>
          </w:tcPr>
          <w:p w14:paraId="1A07E25B">
            <w:pPr>
              <w:pStyle w:val="6"/>
              <w:spacing w:before="125" w:line="228" w:lineRule="auto"/>
              <w:ind w:left="485"/>
              <w:rPr>
                <w:sz w:val="20"/>
                <w:szCs w:val="20"/>
              </w:rPr>
            </w:pPr>
            <w:r>
              <w:rPr>
                <w:spacing w:val="4"/>
                <w:sz w:val="20"/>
                <w:szCs w:val="20"/>
              </w:rPr>
              <w:t>沟渠</w:t>
            </w:r>
          </w:p>
        </w:tc>
        <w:tc>
          <w:tcPr>
            <w:tcW w:w="1204" w:type="dxa"/>
            <w:tcBorders>
              <w:top w:val="single" w:color="000000" w:sz="10" w:space="0"/>
              <w:right w:val="single" w:color="000000" w:sz="6" w:space="0"/>
            </w:tcBorders>
            <w:vAlign w:val="top"/>
          </w:tcPr>
          <w:p w14:paraId="3C9FDE65">
            <w:pPr>
              <w:pStyle w:val="6"/>
              <w:spacing w:before="125" w:line="229" w:lineRule="auto"/>
              <w:ind w:left="346"/>
              <w:rPr>
                <w:sz w:val="20"/>
                <w:szCs w:val="20"/>
              </w:rPr>
            </w:pPr>
            <w:r>
              <w:rPr>
                <w:spacing w:val="4"/>
                <w:sz w:val="20"/>
                <w:szCs w:val="20"/>
              </w:rPr>
              <w:t>合计</w:t>
            </w:r>
          </w:p>
        </w:tc>
      </w:tr>
      <w:tr w14:paraId="497CFB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trPr>
        <w:tc>
          <w:tcPr>
            <w:tcW w:w="466" w:type="dxa"/>
            <w:vMerge w:val="continue"/>
            <w:tcBorders>
              <w:top w:val="nil"/>
              <w:left w:val="single" w:color="000000" w:sz="6" w:space="0"/>
              <w:bottom w:val="nil"/>
            </w:tcBorders>
            <w:vAlign w:val="top"/>
          </w:tcPr>
          <w:p w14:paraId="335C07A3">
            <w:pPr>
              <w:rPr>
                <w:rFonts w:ascii="Arial"/>
                <w:sz w:val="21"/>
              </w:rPr>
            </w:pPr>
          </w:p>
        </w:tc>
        <w:tc>
          <w:tcPr>
            <w:tcW w:w="1660" w:type="dxa"/>
            <w:tcBorders>
              <w:bottom w:val="single" w:color="000000" w:sz="10" w:space="0"/>
            </w:tcBorders>
            <w:vAlign w:val="top"/>
          </w:tcPr>
          <w:p w14:paraId="623696AF">
            <w:pPr>
              <w:pStyle w:val="6"/>
              <w:spacing w:before="135" w:line="228" w:lineRule="auto"/>
              <w:ind w:left="389"/>
              <w:rPr>
                <w:sz w:val="20"/>
                <w:szCs w:val="20"/>
              </w:rPr>
            </w:pPr>
            <w:r>
              <w:rPr>
                <w:spacing w:val="2"/>
                <w:sz w:val="20"/>
                <w:szCs w:val="20"/>
              </w:rPr>
              <w:t>扎格</w:t>
            </w:r>
            <w:r>
              <w:rPr>
                <w:spacing w:val="-36"/>
                <w:sz w:val="20"/>
                <w:szCs w:val="20"/>
              </w:rPr>
              <w:t xml:space="preserve"> </w:t>
            </w:r>
            <w:r>
              <w:rPr>
                <w:rFonts w:ascii="Times New Roman" w:hAnsi="Times New Roman" w:eastAsia="Times New Roman" w:cs="Times New Roman"/>
                <w:spacing w:val="2"/>
                <w:sz w:val="20"/>
                <w:szCs w:val="20"/>
              </w:rPr>
              <w:t>9X</w:t>
            </w:r>
            <w:r>
              <w:rPr>
                <w:rFonts w:ascii="Times New Roman" w:hAnsi="Times New Roman" w:eastAsia="Times New Roman" w:cs="Times New Roman"/>
                <w:spacing w:val="11"/>
                <w:sz w:val="20"/>
                <w:szCs w:val="20"/>
              </w:rPr>
              <w:t xml:space="preserve"> </w:t>
            </w:r>
            <w:r>
              <w:rPr>
                <w:spacing w:val="2"/>
                <w:sz w:val="20"/>
                <w:szCs w:val="20"/>
              </w:rPr>
              <w:t>井</w:t>
            </w:r>
          </w:p>
        </w:tc>
        <w:tc>
          <w:tcPr>
            <w:tcW w:w="1171" w:type="dxa"/>
            <w:tcBorders>
              <w:bottom w:val="single" w:color="000000" w:sz="10" w:space="0"/>
            </w:tcBorders>
            <w:vAlign w:val="top"/>
          </w:tcPr>
          <w:p w14:paraId="33F52665">
            <w:pPr>
              <w:pStyle w:val="6"/>
              <w:spacing w:before="136" w:line="228" w:lineRule="auto"/>
              <w:ind w:left="377"/>
              <w:rPr>
                <w:sz w:val="20"/>
                <w:szCs w:val="20"/>
              </w:rPr>
            </w:pPr>
            <w:r>
              <w:rPr>
                <w:spacing w:val="4"/>
                <w:sz w:val="20"/>
                <w:szCs w:val="20"/>
              </w:rPr>
              <w:t>井场</w:t>
            </w:r>
          </w:p>
        </w:tc>
        <w:tc>
          <w:tcPr>
            <w:tcW w:w="3108" w:type="dxa"/>
            <w:tcBorders>
              <w:bottom w:val="single" w:color="000000" w:sz="10" w:space="0"/>
            </w:tcBorders>
            <w:vAlign w:val="top"/>
          </w:tcPr>
          <w:p w14:paraId="36AEBB3F">
            <w:pPr>
              <w:pStyle w:val="6"/>
              <w:spacing w:before="135" w:line="227" w:lineRule="auto"/>
              <w:ind w:left="159"/>
              <w:rPr>
                <w:sz w:val="20"/>
                <w:szCs w:val="20"/>
              </w:rPr>
            </w:pPr>
            <w:r>
              <w:rPr>
                <w:rFonts w:ascii="Times New Roman" w:hAnsi="Times New Roman" w:eastAsia="Times New Roman" w:cs="Times New Roman"/>
                <w:spacing w:val="3"/>
                <w:sz w:val="20"/>
                <w:szCs w:val="20"/>
              </w:rPr>
              <w:t>12989</w:t>
            </w:r>
            <w:r>
              <w:rPr>
                <w:spacing w:val="3"/>
                <w:sz w:val="20"/>
                <w:szCs w:val="20"/>
              </w:rPr>
              <w:t>（其中</w:t>
            </w:r>
            <w:r>
              <w:rPr>
                <w:spacing w:val="-10"/>
                <w:sz w:val="20"/>
                <w:szCs w:val="20"/>
              </w:rPr>
              <w:t xml:space="preserve"> </w:t>
            </w:r>
            <w:r>
              <w:rPr>
                <w:rFonts w:ascii="Times New Roman" w:hAnsi="Times New Roman" w:eastAsia="Times New Roman" w:cs="Times New Roman"/>
                <w:spacing w:val="3"/>
                <w:sz w:val="20"/>
                <w:szCs w:val="20"/>
              </w:rPr>
              <w:t xml:space="preserve">12987 </w:t>
            </w:r>
            <w:r>
              <w:rPr>
                <w:spacing w:val="3"/>
                <w:sz w:val="20"/>
                <w:szCs w:val="20"/>
              </w:rPr>
              <w:t>基本农田）</w:t>
            </w:r>
          </w:p>
        </w:tc>
        <w:tc>
          <w:tcPr>
            <w:tcW w:w="1374" w:type="dxa"/>
            <w:tcBorders>
              <w:bottom w:val="single" w:color="000000" w:sz="10" w:space="0"/>
            </w:tcBorders>
            <w:vAlign w:val="top"/>
          </w:tcPr>
          <w:p w14:paraId="45AECD9B">
            <w:pPr>
              <w:spacing w:before="173" w:line="195" w:lineRule="auto"/>
              <w:ind w:left="53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304</w:t>
            </w:r>
          </w:p>
        </w:tc>
        <w:tc>
          <w:tcPr>
            <w:tcW w:w="1204" w:type="dxa"/>
            <w:tcBorders>
              <w:bottom w:val="single" w:color="000000" w:sz="10" w:space="0"/>
              <w:right w:val="single" w:color="000000" w:sz="6" w:space="0"/>
            </w:tcBorders>
            <w:vAlign w:val="top"/>
          </w:tcPr>
          <w:p w14:paraId="7E3BB44C">
            <w:pPr>
              <w:spacing w:before="173" w:line="195" w:lineRule="auto"/>
              <w:ind w:left="309"/>
              <w:rPr>
                <w:rFonts w:ascii="Times New Roman" w:hAnsi="Times New Roman" w:eastAsia="Times New Roman" w:cs="Times New Roman"/>
                <w:sz w:val="20"/>
                <w:szCs w:val="20"/>
              </w:rPr>
            </w:pPr>
            <w:r>
              <w:rPr>
                <w:rFonts w:ascii="Times New Roman" w:hAnsi="Times New Roman" w:eastAsia="Times New Roman" w:cs="Times New Roman"/>
                <w:sz w:val="20"/>
                <w:szCs w:val="20"/>
              </w:rPr>
              <w:t>13293</w:t>
            </w:r>
          </w:p>
        </w:tc>
      </w:tr>
      <w:tr w14:paraId="7E7BEE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92" w:hRule="atLeast"/>
        </w:trPr>
        <w:tc>
          <w:tcPr>
            <w:tcW w:w="466" w:type="dxa"/>
            <w:vMerge w:val="continue"/>
            <w:tcBorders>
              <w:top w:val="nil"/>
              <w:left w:val="single" w:color="000000" w:sz="6" w:space="0"/>
              <w:bottom w:val="single" w:color="000000" w:sz="6" w:space="0"/>
            </w:tcBorders>
            <w:vAlign w:val="top"/>
          </w:tcPr>
          <w:p w14:paraId="4B61EC59">
            <w:pPr>
              <w:rPr>
                <w:rFonts w:ascii="Arial"/>
                <w:sz w:val="21"/>
              </w:rPr>
            </w:pPr>
          </w:p>
        </w:tc>
        <w:tc>
          <w:tcPr>
            <w:tcW w:w="8517" w:type="dxa"/>
            <w:gridSpan w:val="5"/>
            <w:tcBorders>
              <w:top w:val="single" w:color="000000" w:sz="10" w:space="0"/>
              <w:bottom w:val="single" w:color="000000" w:sz="6" w:space="0"/>
              <w:right w:val="single" w:color="000000" w:sz="6" w:space="0"/>
            </w:tcBorders>
            <w:vAlign w:val="top"/>
          </w:tcPr>
          <w:p w14:paraId="45D4DDA8">
            <w:pPr>
              <w:spacing w:line="4364" w:lineRule="exact"/>
              <w:ind w:firstLine="768"/>
            </w:pPr>
            <w:r>
              <w:rPr>
                <w:position w:val="-87"/>
              </w:rPr>
              <w:drawing>
                <wp:inline distT="0" distB="0" distL="0" distR="0">
                  <wp:extent cx="4422140" cy="277114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92"/>
                          <a:stretch>
                            <a:fillRect/>
                          </a:stretch>
                        </pic:blipFill>
                        <pic:spPr>
                          <a:xfrm>
                            <a:off x="0" y="0"/>
                            <a:ext cx="4422647" cy="2771140"/>
                          </a:xfrm>
                          <a:prstGeom prst="rect">
                            <a:avLst/>
                          </a:prstGeom>
                        </pic:spPr>
                      </pic:pic>
                    </a:graphicData>
                  </a:graphic>
                </wp:inline>
              </w:drawing>
            </w:r>
          </w:p>
          <w:p w14:paraId="390C7254">
            <w:pPr>
              <w:spacing w:before="155" w:line="222" w:lineRule="auto"/>
              <w:ind w:left="2497"/>
              <w:rPr>
                <w:rFonts w:ascii="黑体" w:hAnsi="黑体" w:eastAsia="黑体" w:cs="黑体"/>
                <w:sz w:val="24"/>
                <w:szCs w:val="24"/>
              </w:rPr>
            </w:pPr>
            <w:r>
              <w:rPr>
                <w:rFonts w:ascii="黑体" w:hAnsi="黑体" w:eastAsia="黑体" w:cs="黑体"/>
                <w:spacing w:val="-3"/>
                <w:sz w:val="24"/>
                <w:szCs w:val="24"/>
              </w:rPr>
              <w:t>图</w:t>
            </w:r>
            <w:r>
              <w:rPr>
                <w:rFonts w:ascii="黑体" w:hAnsi="黑体" w:eastAsia="黑体" w:cs="黑体"/>
                <w:spacing w:val="-36"/>
                <w:sz w:val="24"/>
                <w:szCs w:val="24"/>
              </w:rPr>
              <w:t xml:space="preserve"> </w:t>
            </w:r>
            <w:r>
              <w:rPr>
                <w:rFonts w:ascii="Times New Roman" w:hAnsi="Times New Roman" w:eastAsia="Times New Roman" w:cs="Times New Roman"/>
                <w:spacing w:val="-3"/>
                <w:sz w:val="24"/>
                <w:szCs w:val="24"/>
              </w:rPr>
              <w:t xml:space="preserve">3-4  </w:t>
            </w:r>
            <w:r>
              <w:rPr>
                <w:rFonts w:ascii="黑体" w:hAnsi="黑体" w:eastAsia="黑体" w:cs="黑体"/>
                <w:spacing w:val="-3"/>
                <w:sz w:val="24"/>
                <w:szCs w:val="24"/>
              </w:rPr>
              <w:t>扎格</w:t>
            </w:r>
            <w:r>
              <w:rPr>
                <w:rFonts w:ascii="黑体" w:hAnsi="黑体" w:eastAsia="黑体" w:cs="黑体"/>
                <w:spacing w:val="-51"/>
                <w:sz w:val="24"/>
                <w:szCs w:val="24"/>
              </w:rPr>
              <w:t xml:space="preserve"> </w:t>
            </w:r>
            <w:r>
              <w:rPr>
                <w:rFonts w:ascii="Times New Roman" w:hAnsi="Times New Roman" w:eastAsia="Times New Roman" w:cs="Times New Roman"/>
                <w:spacing w:val="-3"/>
                <w:sz w:val="24"/>
                <w:szCs w:val="24"/>
              </w:rPr>
              <w:t xml:space="preserve">9X </w:t>
            </w:r>
            <w:r>
              <w:rPr>
                <w:rFonts w:ascii="黑体" w:hAnsi="黑体" w:eastAsia="黑体" w:cs="黑体"/>
                <w:spacing w:val="-3"/>
                <w:sz w:val="24"/>
                <w:szCs w:val="24"/>
              </w:rPr>
              <w:t>井土地利用现状图</w:t>
            </w:r>
          </w:p>
          <w:p w14:paraId="1FEF7D38">
            <w:pPr>
              <w:pStyle w:val="6"/>
              <w:spacing w:before="178" w:line="219" w:lineRule="auto"/>
              <w:ind w:left="598"/>
            </w:pPr>
            <w:r>
              <w:rPr>
                <w:spacing w:val="-3"/>
              </w:rPr>
              <w:t>（</w:t>
            </w:r>
            <w:r>
              <w:rPr>
                <w:rFonts w:ascii="Times New Roman" w:hAnsi="Times New Roman" w:eastAsia="Times New Roman" w:cs="Times New Roman"/>
                <w:spacing w:val="-3"/>
              </w:rPr>
              <w:t>2</w:t>
            </w:r>
            <w:r>
              <w:rPr>
                <w:spacing w:val="-3"/>
              </w:rPr>
              <w:t>）植被类型</w:t>
            </w:r>
          </w:p>
          <w:p w14:paraId="5778C24B">
            <w:pPr>
              <w:pStyle w:val="6"/>
              <w:spacing w:before="182" w:line="219" w:lineRule="auto"/>
              <w:ind w:left="590"/>
            </w:pPr>
            <w:r>
              <w:rPr>
                <w:spacing w:val="4"/>
              </w:rPr>
              <w:t>项目所在区域内生态以农业生态环境为主要特征，植被基本为人工种植植</w:t>
            </w:r>
          </w:p>
          <w:p w14:paraId="16F626F3">
            <w:pPr>
              <w:pStyle w:val="6"/>
              <w:spacing w:before="182" w:line="359" w:lineRule="auto"/>
              <w:ind w:left="106" w:right="22"/>
              <w:jc w:val="both"/>
            </w:pPr>
            <w:r>
              <w:rPr>
                <w:spacing w:val="-3"/>
              </w:rPr>
              <w:t>被，野生植被主要是生长在农田隙地。人工植被主要为农田植被，农田植被在项</w:t>
            </w:r>
            <w:r>
              <w:rPr>
                <w:spacing w:val="-7"/>
              </w:rPr>
              <w:t>目周围区域广泛分布。井场周边分布的主要是水浇地</w:t>
            </w:r>
            <w:r>
              <w:rPr>
                <w:spacing w:val="-8"/>
              </w:rPr>
              <w:t>农业，主要种植玉米、小麦、</w:t>
            </w:r>
            <w:r>
              <w:rPr>
                <w:spacing w:val="-1"/>
              </w:rPr>
              <w:t>葵花等农作物，另外还种植有瓜果、蔬菜等。</w:t>
            </w:r>
          </w:p>
          <w:p w14:paraId="770BF7EC">
            <w:pPr>
              <w:pStyle w:val="6"/>
              <w:spacing w:line="359" w:lineRule="auto"/>
              <w:ind w:left="108" w:right="41" w:firstLine="478"/>
            </w:pPr>
            <w:r>
              <w:rPr>
                <w:spacing w:val="-15"/>
              </w:rPr>
              <w:t>根据《国家重点保护野生植物名录》和《内蒙古重点保护草原野生植物名录》，</w:t>
            </w:r>
            <w:r>
              <w:rPr>
                <w:spacing w:val="-1"/>
              </w:rPr>
              <w:t>调查范围内不涉及重点保护野生植物。</w:t>
            </w:r>
          </w:p>
          <w:p w14:paraId="01113542">
            <w:pPr>
              <w:pStyle w:val="6"/>
              <w:spacing w:line="219" w:lineRule="auto"/>
              <w:ind w:left="598"/>
            </w:pPr>
            <w:r>
              <w:rPr>
                <w:spacing w:val="-3"/>
              </w:rPr>
              <w:t>（</w:t>
            </w:r>
            <w:r>
              <w:rPr>
                <w:rFonts w:ascii="Times New Roman" w:hAnsi="Times New Roman" w:eastAsia="Times New Roman" w:cs="Times New Roman"/>
                <w:spacing w:val="-3"/>
              </w:rPr>
              <w:t>3</w:t>
            </w:r>
            <w:r>
              <w:rPr>
                <w:spacing w:val="-3"/>
              </w:rPr>
              <w:t>）土壤类型</w:t>
            </w:r>
          </w:p>
          <w:p w14:paraId="5402DD2B">
            <w:pPr>
              <w:pStyle w:val="6"/>
              <w:spacing w:before="182" w:line="359" w:lineRule="auto"/>
              <w:ind w:left="107" w:right="41" w:firstLine="482"/>
            </w:pPr>
            <w:r>
              <w:rPr>
                <w:spacing w:val="-4"/>
              </w:rPr>
              <w:t>项目位于黄河北岸冲积平原上，海拔在</w:t>
            </w:r>
            <w:r>
              <w:rPr>
                <w:spacing w:val="-30"/>
              </w:rPr>
              <w:t xml:space="preserve"> </w:t>
            </w:r>
            <w:r>
              <w:rPr>
                <w:rFonts w:ascii="Times New Roman" w:hAnsi="Times New Roman" w:eastAsia="Times New Roman" w:cs="Times New Roman"/>
                <w:spacing w:val="-4"/>
              </w:rPr>
              <w:t xml:space="preserve">1043m </w:t>
            </w:r>
            <w:r>
              <w:rPr>
                <w:spacing w:val="-4"/>
              </w:rPr>
              <w:t>左右，地形上属于平原地貌，土壤类型为灌淤土、较肥沃的沙壤土，轻壤或中壤地块；土壤含盐量</w:t>
            </w:r>
            <w:r>
              <w:rPr>
                <w:spacing w:val="-36"/>
              </w:rPr>
              <w:t xml:space="preserve"> </w:t>
            </w:r>
            <w:r>
              <w:rPr>
                <w:rFonts w:ascii="Times New Roman" w:hAnsi="Times New Roman" w:eastAsia="Times New Roman" w:cs="Times New Roman"/>
                <w:spacing w:val="-4"/>
              </w:rPr>
              <w:t>0.5%</w:t>
            </w:r>
            <w:r>
              <w:rPr>
                <w:spacing w:val="-4"/>
              </w:rPr>
              <w:t>以下，</w:t>
            </w:r>
            <w:r>
              <w:rPr>
                <w:spacing w:val="-2"/>
              </w:rPr>
              <w:t>活土层</w:t>
            </w:r>
            <w:r>
              <w:rPr>
                <w:spacing w:val="-50"/>
              </w:rPr>
              <w:t xml:space="preserve"> </w:t>
            </w:r>
            <w:r>
              <w:rPr>
                <w:rFonts w:ascii="Times New Roman" w:hAnsi="Times New Roman" w:eastAsia="Times New Roman" w:cs="Times New Roman"/>
                <w:spacing w:val="-2"/>
              </w:rPr>
              <w:t xml:space="preserve">30 </w:t>
            </w:r>
            <w:r>
              <w:rPr>
                <w:spacing w:val="-2"/>
              </w:rPr>
              <w:t>厘米以上。</w:t>
            </w:r>
          </w:p>
          <w:p w14:paraId="2F92A7FF">
            <w:pPr>
              <w:pStyle w:val="6"/>
              <w:spacing w:line="219" w:lineRule="auto"/>
              <w:ind w:left="598"/>
            </w:pPr>
            <w:r>
              <w:rPr>
                <w:spacing w:val="-3"/>
              </w:rPr>
              <w:t>（</w:t>
            </w:r>
            <w:r>
              <w:rPr>
                <w:rFonts w:ascii="Times New Roman" w:hAnsi="Times New Roman" w:eastAsia="Times New Roman" w:cs="Times New Roman"/>
                <w:spacing w:val="-3"/>
              </w:rPr>
              <w:t>4</w:t>
            </w:r>
            <w:r>
              <w:rPr>
                <w:spacing w:val="-3"/>
              </w:rPr>
              <w:t>）动物类型</w:t>
            </w:r>
          </w:p>
          <w:p w14:paraId="3181ECFC">
            <w:pPr>
              <w:pStyle w:val="6"/>
              <w:spacing w:before="182" w:line="359" w:lineRule="auto"/>
              <w:ind w:left="108" w:right="49" w:firstLine="481"/>
            </w:pPr>
            <w:r>
              <w:rPr>
                <w:spacing w:val="-3"/>
              </w:rPr>
              <w:t>项目所在区域内野生动物组成比较简单，种类相对较少</w:t>
            </w:r>
            <w:r>
              <w:rPr>
                <w:spacing w:val="-4"/>
              </w:rPr>
              <w:t>，大多为广布种和伴</w:t>
            </w:r>
            <w:r>
              <w:rPr>
                <w:spacing w:val="-2"/>
              </w:rPr>
              <w:t>人物种，以啮齿类和鸟类为主。项目区内常见动物如麻雀、喜鹊、乌鸦、野兔、</w:t>
            </w:r>
            <w:r>
              <w:rPr>
                <w:spacing w:val="-5"/>
              </w:rPr>
              <w:t>鼠类等，</w:t>
            </w:r>
            <w:r>
              <w:rPr>
                <w:spacing w:val="-53"/>
              </w:rPr>
              <w:t xml:space="preserve"> </w:t>
            </w:r>
            <w:r>
              <w:rPr>
                <w:spacing w:val="-5"/>
              </w:rPr>
              <w:t>目前野生动物量已经很少。</w:t>
            </w:r>
          </w:p>
          <w:p w14:paraId="02371D58">
            <w:pPr>
              <w:pStyle w:val="6"/>
              <w:spacing w:before="1" w:line="219" w:lineRule="auto"/>
              <w:ind w:left="586"/>
            </w:pPr>
            <w:r>
              <w:rPr>
                <w:spacing w:val="-3"/>
              </w:rPr>
              <w:t>根据《国家重点保护野生动物名录》和《内蒙古自治区重点保护</w:t>
            </w:r>
            <w:r>
              <w:rPr>
                <w:spacing w:val="-4"/>
              </w:rPr>
              <w:t>陆生野生动</w:t>
            </w:r>
          </w:p>
        </w:tc>
      </w:tr>
    </w:tbl>
    <w:p w14:paraId="7ED14971">
      <w:pPr>
        <w:spacing w:line="170" w:lineRule="exact"/>
        <w:rPr>
          <w:rFonts w:ascii="Arial"/>
          <w:sz w:val="14"/>
        </w:rPr>
      </w:pPr>
    </w:p>
    <w:p w14:paraId="44067829">
      <w:pPr>
        <w:spacing w:line="170" w:lineRule="exact"/>
        <w:rPr>
          <w:rFonts w:ascii="Arial" w:hAnsi="Arial" w:eastAsia="Arial" w:cs="Arial"/>
          <w:sz w:val="14"/>
          <w:szCs w:val="14"/>
        </w:rPr>
        <w:sectPr>
          <w:footerReference r:id="rId55" w:type="default"/>
          <w:pgSz w:w="11906" w:h="16839"/>
          <w:pgMar w:top="400" w:right="1369" w:bottom="1240" w:left="1538" w:header="0" w:footer="1078" w:gutter="0"/>
          <w:cols w:space="720" w:num="1"/>
        </w:sectPr>
      </w:pPr>
    </w:p>
    <w:p w14:paraId="76AC568C">
      <w:pPr>
        <w:spacing w:before="56"/>
      </w:pPr>
    </w:p>
    <w:p w14:paraId="059E2692">
      <w:pPr>
        <w:spacing w:before="56"/>
      </w:pPr>
    </w:p>
    <w:p w14:paraId="401251FE">
      <w:pPr>
        <w:spacing w:before="55"/>
      </w:pPr>
    </w:p>
    <w:p w14:paraId="770F02E0">
      <w:pPr>
        <w:spacing w:before="55"/>
      </w:pPr>
    </w:p>
    <w:tbl>
      <w:tblPr>
        <w:tblStyle w:val="5"/>
        <w:tblW w:w="898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6"/>
        <w:gridCol w:w="8517"/>
      </w:tblGrid>
      <w:tr w14:paraId="32F232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495" w:hRule="atLeast"/>
        </w:trPr>
        <w:tc>
          <w:tcPr>
            <w:tcW w:w="466" w:type="dxa"/>
            <w:tcBorders>
              <w:right w:val="single" w:color="000000" w:sz="2" w:space="0"/>
            </w:tcBorders>
            <w:vAlign w:val="top"/>
          </w:tcPr>
          <w:p w14:paraId="4C9292ED">
            <w:pPr>
              <w:rPr>
                <w:rFonts w:ascii="Arial"/>
                <w:sz w:val="21"/>
              </w:rPr>
            </w:pPr>
          </w:p>
        </w:tc>
        <w:tc>
          <w:tcPr>
            <w:tcW w:w="8517" w:type="dxa"/>
            <w:tcBorders>
              <w:left w:val="single" w:color="000000" w:sz="2" w:space="0"/>
            </w:tcBorders>
            <w:vAlign w:val="top"/>
          </w:tcPr>
          <w:p w14:paraId="7198600A">
            <w:pPr>
              <w:pStyle w:val="6"/>
              <w:spacing w:before="40" w:line="219" w:lineRule="auto"/>
              <w:ind w:left="106"/>
            </w:pPr>
            <w:r>
              <w:rPr>
                <w:spacing w:val="-1"/>
              </w:rPr>
              <w:t>物名录》，调查范围内不涉及重点保护野生动物。</w:t>
            </w:r>
          </w:p>
          <w:p w14:paraId="5D21F899">
            <w:pPr>
              <w:pStyle w:val="6"/>
              <w:spacing w:before="183" w:line="219" w:lineRule="auto"/>
              <w:ind w:left="620"/>
            </w:pPr>
            <w:r>
              <w:rPr>
                <w:spacing w:val="5"/>
              </w:rPr>
              <w:t>（</w:t>
            </w:r>
            <w:r>
              <w:rPr>
                <w:rFonts w:ascii="Times New Roman" w:hAnsi="Times New Roman" w:eastAsia="Times New Roman" w:cs="Times New Roman"/>
                <w:spacing w:val="5"/>
              </w:rPr>
              <w:t>5</w:t>
            </w:r>
            <w:r>
              <w:rPr>
                <w:spacing w:val="5"/>
              </w:rPr>
              <w:t>）生态敏感区</w:t>
            </w:r>
          </w:p>
          <w:p w14:paraId="7C8E429D">
            <w:pPr>
              <w:pStyle w:val="6"/>
              <w:spacing w:before="180" w:line="359" w:lineRule="auto"/>
              <w:ind w:left="108" w:right="22" w:firstLine="481"/>
            </w:pPr>
            <w:r>
              <w:rPr>
                <w:spacing w:val="-8"/>
              </w:rPr>
              <w:t>项目不涉及国家公园、自然保护区、自然公园等自然保护地、世界自然遗产、</w:t>
            </w:r>
            <w:r>
              <w:rPr>
                <w:spacing w:val="-1"/>
              </w:rPr>
              <w:t>生态保护红线等区域以及重要生境。</w:t>
            </w:r>
          </w:p>
          <w:p w14:paraId="528D2D81">
            <w:pPr>
              <w:pStyle w:val="6"/>
              <w:spacing w:line="359" w:lineRule="auto"/>
              <w:ind w:left="108" w:right="112" w:firstLine="503"/>
            </w:pPr>
            <w:r>
              <w:rPr>
                <w:spacing w:val="11"/>
              </w:rPr>
              <w:t>项目所在区域基本农田广泛分布，因此占用基本农田不可避免，本次占</w:t>
            </w:r>
            <w:r>
              <w:rPr>
                <w:spacing w:val="2"/>
              </w:rPr>
              <w:t xml:space="preserve">用基本农田面积为 </w:t>
            </w:r>
            <w:r>
              <w:rPr>
                <w:rFonts w:ascii="Times New Roman" w:hAnsi="Times New Roman" w:eastAsia="Times New Roman" w:cs="Times New Roman"/>
                <w:spacing w:val="2"/>
              </w:rPr>
              <w:t>12987m</w:t>
            </w:r>
            <w:r>
              <w:rPr>
                <w:rFonts w:ascii="Times New Roman" w:hAnsi="Times New Roman" w:eastAsia="Times New Roman" w:cs="Times New Roman"/>
                <w:spacing w:val="2"/>
                <w:position w:val="7"/>
                <w:sz w:val="15"/>
                <w:szCs w:val="15"/>
              </w:rPr>
              <w:t>2</w:t>
            </w:r>
            <w:r>
              <w:rPr>
                <w:spacing w:val="2"/>
              </w:rPr>
              <w:t>。</w:t>
            </w:r>
          </w:p>
          <w:p w14:paraId="1A9F9755">
            <w:pPr>
              <w:pStyle w:val="6"/>
              <w:spacing w:before="1" w:line="359" w:lineRule="auto"/>
              <w:ind w:left="119" w:right="112" w:firstLine="489"/>
              <w:jc w:val="both"/>
            </w:pPr>
            <w:r>
              <w:rPr>
                <w:spacing w:val="9"/>
              </w:rPr>
              <w:t>根据内蒙古哈腾套海国家级自然保护区管理局提供的证明（文件号：</w:t>
            </w:r>
            <w:r>
              <w:rPr>
                <w:spacing w:val="-55"/>
              </w:rPr>
              <w:t xml:space="preserve"> </w:t>
            </w:r>
            <w:r>
              <w:rPr>
                <w:spacing w:val="9"/>
              </w:rPr>
              <w:t>内</w:t>
            </w:r>
            <w:r>
              <w:rPr>
                <w:spacing w:val="5"/>
              </w:rPr>
              <w:t>哈管字函【</w:t>
            </w:r>
            <w:r>
              <w:rPr>
                <w:rFonts w:ascii="Times New Roman" w:hAnsi="Times New Roman" w:eastAsia="Times New Roman" w:cs="Times New Roman"/>
                <w:spacing w:val="5"/>
              </w:rPr>
              <w:t>2025</w:t>
            </w:r>
            <w:r>
              <w:rPr>
                <w:spacing w:val="5"/>
              </w:rPr>
              <w:t>】</w:t>
            </w:r>
            <w:r>
              <w:rPr>
                <w:rFonts w:ascii="Times New Roman" w:hAnsi="Times New Roman" w:eastAsia="Times New Roman" w:cs="Times New Roman"/>
                <w:spacing w:val="5"/>
              </w:rPr>
              <w:t>721</w:t>
            </w:r>
            <w:r>
              <w:rPr>
                <w:rFonts w:ascii="Times New Roman" w:hAnsi="Times New Roman" w:eastAsia="Times New Roman" w:cs="Times New Roman"/>
                <w:spacing w:val="26"/>
              </w:rPr>
              <w:t xml:space="preserve"> </w:t>
            </w:r>
            <w:r>
              <w:rPr>
                <w:spacing w:val="5"/>
              </w:rPr>
              <w:t>号），经核对扎格</w:t>
            </w:r>
            <w:r>
              <w:rPr>
                <w:spacing w:val="-39"/>
              </w:rPr>
              <w:t xml:space="preserve"> </w:t>
            </w:r>
            <w:r>
              <w:rPr>
                <w:rFonts w:ascii="Times New Roman" w:hAnsi="Times New Roman" w:eastAsia="Times New Roman" w:cs="Times New Roman"/>
                <w:spacing w:val="5"/>
              </w:rPr>
              <w:t>9X</w:t>
            </w:r>
            <w:r>
              <w:rPr>
                <w:rFonts w:ascii="Times New Roman" w:hAnsi="Times New Roman" w:eastAsia="Times New Roman" w:cs="Times New Roman"/>
                <w:spacing w:val="21"/>
                <w:w w:val="101"/>
              </w:rPr>
              <w:t xml:space="preserve"> </w:t>
            </w:r>
            <w:r>
              <w:rPr>
                <w:spacing w:val="5"/>
              </w:rPr>
              <w:t>井</w:t>
            </w:r>
            <w:r>
              <w:rPr>
                <w:spacing w:val="4"/>
              </w:rPr>
              <w:t>坐标选址不在内蒙古哈腾套海</w:t>
            </w:r>
            <w:r>
              <w:rPr>
                <w:spacing w:val="6"/>
              </w:rPr>
              <w:t>国家级自然保护区范围内。</w:t>
            </w:r>
          </w:p>
          <w:p w14:paraId="45D32A25">
            <w:pPr>
              <w:pStyle w:val="6"/>
              <w:spacing w:before="3" w:line="349" w:lineRule="auto"/>
              <w:ind w:left="105" w:right="103" w:firstLine="510"/>
              <w:jc w:val="both"/>
            </w:pPr>
            <w:r>
              <w:rPr>
                <w:spacing w:val="-4"/>
              </w:rPr>
              <w:t>内蒙古哈腾套海国家级自然保护区位于本项目西侧，本项目井场距内蒙</w:t>
            </w:r>
            <w:r>
              <w:rPr>
                <w:spacing w:val="-5"/>
              </w:rPr>
              <w:t>古哈</w:t>
            </w:r>
            <w:r>
              <w:rPr>
                <w:spacing w:val="-3"/>
              </w:rPr>
              <w:t>腾套海国家级自然保护区实验区边界最近直线距离约</w:t>
            </w:r>
            <w:r>
              <w:rPr>
                <w:spacing w:val="-4"/>
              </w:rPr>
              <w:t>为</w:t>
            </w:r>
            <w:r>
              <w:rPr>
                <w:spacing w:val="-49"/>
              </w:rPr>
              <w:t xml:space="preserve"> </w:t>
            </w:r>
            <w:r>
              <w:rPr>
                <w:rFonts w:ascii="Times New Roman" w:hAnsi="Times New Roman" w:eastAsia="Times New Roman" w:cs="Times New Roman"/>
                <w:spacing w:val="-4"/>
              </w:rPr>
              <w:t>6km</w:t>
            </w:r>
            <w:r>
              <w:rPr>
                <w:spacing w:val="-4"/>
              </w:rPr>
              <w:t>。本项目依托工程位</w:t>
            </w:r>
            <w:r>
              <w:rPr>
                <w:spacing w:val="-1"/>
              </w:rPr>
              <w:t>于项目东北侧，运输道路不会穿越保护区。</w:t>
            </w:r>
          </w:p>
          <w:p w14:paraId="1B3710E0">
            <w:pPr>
              <w:pStyle w:val="6"/>
              <w:spacing w:line="4963" w:lineRule="exact"/>
              <w:ind w:firstLine="97"/>
            </w:pPr>
            <w:r>
              <w:rPr>
                <w:position w:val="-99"/>
              </w:rPr>
              <w:pict>
                <v:group id="_x0000_s1042" o:spid="_x0000_s1042" o:spt="203" style="height:248.2pt;width:415.35pt;" coordsize="8307,4963">
                  <o:lock v:ext="edit"/>
                  <v:shape id="_x0000_s1043" o:spid="_x0000_s1043" o:spt="75" type="#_x0000_t75" style="position:absolute;left:0;top:0;height:4963;width:8307;" filled="f" stroked="f" coordsize="21600,21600">
                    <v:path/>
                    <v:fill on="f" focussize="0,0"/>
                    <v:stroke on="f"/>
                    <v:imagedata r:id="rId193" o:title=""/>
                    <o:lock v:ext="edit" aspectratio="t"/>
                  </v:shape>
                  <v:shape id="_x0000_s1044" o:spid="_x0000_s1044" o:spt="202" type="#_x0000_t202" style="position:absolute;left:4690;top:2683;height:248;width:660;" filled="f" stroked="f" coordsize="21600,21600">
                    <v:path/>
                    <v:fill on="f" focussize="0,0"/>
                    <v:stroke on="f"/>
                    <v:imagedata o:title=""/>
                    <o:lock v:ext="edit" aspectratio="f"/>
                    <v:textbox inset="0mm,0mm,0mm,0mm">
                      <w:txbxContent>
                        <w:p w14:paraId="680283E1">
                          <w:pPr>
                            <w:spacing w:before="19" w:line="227" w:lineRule="auto"/>
                            <w:ind w:left="20"/>
                            <w:rPr>
                              <w:rFonts w:ascii="宋体" w:hAnsi="宋体" w:eastAsia="宋体" w:cs="宋体"/>
                              <w:sz w:val="20"/>
                              <w:szCs w:val="20"/>
                            </w:rPr>
                          </w:pPr>
                          <w:r>
                            <w:rPr>
                              <w:rFonts w:ascii="宋体" w:hAnsi="宋体" w:eastAsia="宋体" w:cs="宋体"/>
                              <w:spacing w:val="6"/>
                              <w:sz w:val="20"/>
                              <w:szCs w:val="20"/>
                            </w:rPr>
                            <w:t>本项目</w:t>
                          </w:r>
                        </w:p>
                      </w:txbxContent>
                    </v:textbox>
                  </v:shape>
                  <v:shape id="_x0000_s1045" o:spid="_x0000_s1045" o:spt="202" type="#_x0000_t202" style="position:absolute;left:4948;top:1779;height:187;width:427;" filled="f" stroked="f" coordsize="21600,21600">
                    <v:path/>
                    <v:fill on="f" focussize="0,0"/>
                    <v:stroke on="f"/>
                    <v:imagedata o:title=""/>
                    <o:lock v:ext="edit" aspectratio="f"/>
                    <v:textbox inset="0mm,0mm,0mm,0mm">
                      <w:txbxContent>
                        <w:p w14:paraId="3DE1D9FF">
                          <w:pPr>
                            <w:spacing w:before="19" w:line="195" w:lineRule="auto"/>
                            <w:ind w:left="20"/>
                            <w:rPr>
                              <w:rFonts w:ascii="Times New Roman" w:hAnsi="Times New Roman" w:eastAsia="Times New Roman" w:cs="Times New Roman"/>
                              <w:sz w:val="20"/>
                              <w:szCs w:val="20"/>
                            </w:rPr>
                          </w:pPr>
                          <w:r>
                            <w:rPr>
                              <w:rFonts w:ascii="Times New Roman" w:hAnsi="Times New Roman" w:eastAsia="Times New Roman" w:cs="Times New Roman"/>
                              <w:b/>
                              <w:bCs/>
                              <w:spacing w:val="9"/>
                              <w:sz w:val="20"/>
                              <w:szCs w:val="20"/>
                            </w:rPr>
                            <w:t>6</w:t>
                          </w:r>
                          <w:r>
                            <w:rPr>
                              <w:rFonts w:ascii="Times New Roman" w:hAnsi="Times New Roman" w:eastAsia="Times New Roman" w:cs="Times New Roman"/>
                              <w:b/>
                              <w:bCs/>
                              <w:sz w:val="20"/>
                              <w:szCs w:val="20"/>
                            </w:rPr>
                            <w:t>km</w:t>
                          </w:r>
                        </w:p>
                      </w:txbxContent>
                    </v:textbox>
                  </v:shape>
                  <w10:wrap type="none"/>
                  <w10:anchorlock/>
                </v:group>
              </w:pict>
            </w:r>
          </w:p>
          <w:p w14:paraId="50B9E0E7">
            <w:pPr>
              <w:pStyle w:val="6"/>
              <w:spacing w:before="157" w:line="359" w:lineRule="auto"/>
              <w:ind w:left="620" w:right="1005" w:firstLine="405"/>
            </w:pPr>
            <w:r>
              <w:rPr>
                <w:rFonts w:ascii="黑体" w:hAnsi="黑体" w:eastAsia="黑体" w:cs="黑体"/>
                <w:spacing w:val="-1"/>
              </w:rPr>
              <w:t>图</w:t>
            </w:r>
            <w:r>
              <w:rPr>
                <w:rFonts w:ascii="黑体" w:hAnsi="黑体" w:eastAsia="黑体" w:cs="黑体"/>
                <w:spacing w:val="-50"/>
              </w:rPr>
              <w:t xml:space="preserve"> </w:t>
            </w:r>
            <w:r>
              <w:rPr>
                <w:rFonts w:ascii="Times New Roman" w:hAnsi="Times New Roman" w:eastAsia="Times New Roman" w:cs="Times New Roman"/>
                <w:spacing w:val="-1"/>
              </w:rPr>
              <w:t xml:space="preserve">3-3  </w:t>
            </w:r>
            <w:r>
              <w:rPr>
                <w:rFonts w:ascii="黑体" w:hAnsi="黑体" w:eastAsia="黑体" w:cs="黑体"/>
                <w:spacing w:val="-1"/>
              </w:rPr>
              <w:t>本项目与内蒙古哈腾套海国家级自然保护</w:t>
            </w:r>
            <w:r>
              <w:rPr>
                <w:rFonts w:ascii="黑体" w:hAnsi="黑体" w:eastAsia="黑体" w:cs="黑体"/>
                <w:spacing w:val="-2"/>
              </w:rPr>
              <w:t>区位置关系图</w:t>
            </w:r>
            <w:r>
              <w:rPr>
                <w:spacing w:val="2"/>
              </w:rPr>
              <w:t>（</w:t>
            </w:r>
            <w:r>
              <w:rPr>
                <w:rFonts w:ascii="Times New Roman" w:hAnsi="Times New Roman" w:eastAsia="Times New Roman" w:cs="Times New Roman"/>
                <w:spacing w:val="2"/>
              </w:rPr>
              <w:t>6</w:t>
            </w:r>
            <w:r>
              <w:rPr>
                <w:spacing w:val="2"/>
              </w:rPr>
              <w:t>）结论</w:t>
            </w:r>
          </w:p>
          <w:p w14:paraId="3EA50932">
            <w:pPr>
              <w:pStyle w:val="6"/>
              <w:spacing w:before="5" w:line="348" w:lineRule="auto"/>
              <w:ind w:left="107" w:right="41" w:firstLine="482"/>
              <w:jc w:val="both"/>
            </w:pPr>
            <w:r>
              <w:rPr>
                <w:spacing w:val="-3"/>
              </w:rPr>
              <w:t>项目位于巴彦淖尔市磴口县隆盛合镇塔布村，临时占地面积为</w:t>
            </w:r>
            <w:r>
              <w:rPr>
                <w:spacing w:val="-22"/>
              </w:rPr>
              <w:t xml:space="preserve"> </w:t>
            </w:r>
            <w:r>
              <w:rPr>
                <w:rFonts w:ascii="Times New Roman" w:hAnsi="Times New Roman" w:eastAsia="Times New Roman" w:cs="Times New Roman"/>
                <w:spacing w:val="-3"/>
              </w:rPr>
              <w:t>13293m</w:t>
            </w:r>
            <w:r>
              <w:rPr>
                <w:rFonts w:ascii="Times New Roman" w:hAnsi="Times New Roman" w:eastAsia="Times New Roman" w:cs="Times New Roman"/>
                <w:spacing w:val="-3"/>
                <w:position w:val="8"/>
                <w:sz w:val="15"/>
                <w:szCs w:val="15"/>
              </w:rPr>
              <w:t>2</w:t>
            </w:r>
            <w:r>
              <w:rPr>
                <w:spacing w:val="-3"/>
              </w:rPr>
              <w:t>（其中基本农田面积为</w:t>
            </w:r>
            <w:r>
              <w:rPr>
                <w:spacing w:val="-31"/>
              </w:rPr>
              <w:t xml:space="preserve"> </w:t>
            </w:r>
            <w:r>
              <w:rPr>
                <w:rFonts w:ascii="Times New Roman" w:hAnsi="Times New Roman" w:eastAsia="Times New Roman" w:cs="Times New Roman"/>
                <w:spacing w:val="-3"/>
              </w:rPr>
              <w:t>12987m</w:t>
            </w:r>
            <w:r>
              <w:rPr>
                <w:rFonts w:ascii="Times New Roman" w:hAnsi="Times New Roman" w:eastAsia="Times New Roman" w:cs="Times New Roman"/>
                <w:spacing w:val="-3"/>
                <w:position w:val="1"/>
                <w:sz w:val="15"/>
                <w:szCs w:val="15"/>
              </w:rPr>
              <w:t>2</w:t>
            </w:r>
            <w:r>
              <w:rPr>
                <w:spacing w:val="9"/>
                <w:position w:val="1"/>
              </w:rPr>
              <w:t>）</w:t>
            </w:r>
            <w:r>
              <w:rPr>
                <w:spacing w:val="9"/>
              </w:rPr>
              <w:t>，</w:t>
            </w:r>
            <w:r>
              <w:rPr>
                <w:spacing w:val="-3"/>
              </w:rPr>
              <w:t>占地类型为耕地、水域及水利设施</w:t>
            </w:r>
            <w:r>
              <w:rPr>
                <w:spacing w:val="-4"/>
              </w:rPr>
              <w:t>用地，土地利</w:t>
            </w:r>
            <w:r>
              <w:rPr>
                <w:spacing w:val="-3"/>
              </w:rPr>
              <w:t>用现状为水浇地、沟渠，植被基本为人工种植农作物植被，所在地道路沿线均已</w:t>
            </w:r>
            <w:r>
              <w:rPr>
                <w:spacing w:val="-8"/>
              </w:rPr>
              <w:t>开发，人为活动频繁。项目周边生态系统结构单一，以农业生态环境为主要特征，</w:t>
            </w:r>
          </w:p>
        </w:tc>
      </w:tr>
    </w:tbl>
    <w:p w14:paraId="5A794ECB">
      <w:pPr>
        <w:rPr>
          <w:rFonts w:ascii="Arial"/>
          <w:sz w:val="21"/>
        </w:rPr>
      </w:pPr>
    </w:p>
    <w:p w14:paraId="5499E6F4">
      <w:pPr>
        <w:rPr>
          <w:rFonts w:ascii="Arial" w:hAnsi="Arial" w:eastAsia="Arial" w:cs="Arial"/>
          <w:sz w:val="21"/>
          <w:szCs w:val="21"/>
        </w:rPr>
        <w:sectPr>
          <w:footerReference r:id="rId56" w:type="default"/>
          <w:pgSz w:w="11906" w:h="16839"/>
          <w:pgMar w:top="400" w:right="1369" w:bottom="1240" w:left="1538" w:header="0" w:footer="1078" w:gutter="0"/>
          <w:cols w:space="720" w:num="1"/>
        </w:sectPr>
      </w:pPr>
    </w:p>
    <w:p w14:paraId="6E388F81">
      <w:pPr>
        <w:spacing w:before="56"/>
      </w:pPr>
    </w:p>
    <w:p w14:paraId="097EFFF7">
      <w:pPr>
        <w:spacing w:before="56"/>
      </w:pPr>
    </w:p>
    <w:p w14:paraId="72A4588A">
      <w:pPr>
        <w:spacing w:before="55"/>
      </w:pPr>
    </w:p>
    <w:p w14:paraId="3EA1E077">
      <w:pPr>
        <w:spacing w:before="55"/>
      </w:pPr>
    </w:p>
    <w:tbl>
      <w:tblPr>
        <w:tblStyle w:val="5"/>
        <w:tblW w:w="898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6"/>
        <w:gridCol w:w="1173"/>
        <w:gridCol w:w="440"/>
        <w:gridCol w:w="1410"/>
        <w:gridCol w:w="801"/>
        <w:gridCol w:w="188"/>
        <w:gridCol w:w="1074"/>
        <w:gridCol w:w="257"/>
        <w:gridCol w:w="1083"/>
        <w:gridCol w:w="362"/>
        <w:gridCol w:w="751"/>
        <w:gridCol w:w="142"/>
        <w:gridCol w:w="836"/>
      </w:tblGrid>
      <w:tr w14:paraId="674380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4" w:hRule="atLeast"/>
        </w:trPr>
        <w:tc>
          <w:tcPr>
            <w:tcW w:w="466" w:type="dxa"/>
            <w:vMerge w:val="restart"/>
            <w:tcBorders>
              <w:top w:val="single" w:color="000000" w:sz="6" w:space="0"/>
              <w:left w:val="single" w:color="000000" w:sz="6" w:space="0"/>
              <w:bottom w:val="nil"/>
            </w:tcBorders>
            <w:vAlign w:val="top"/>
          </w:tcPr>
          <w:p w14:paraId="0F3DDDA7">
            <w:pPr>
              <w:rPr>
                <w:rFonts w:ascii="Arial"/>
                <w:sz w:val="21"/>
              </w:rPr>
            </w:pPr>
          </w:p>
        </w:tc>
        <w:tc>
          <w:tcPr>
            <w:tcW w:w="8517" w:type="dxa"/>
            <w:gridSpan w:val="12"/>
            <w:tcBorders>
              <w:top w:val="single" w:color="000000" w:sz="6" w:space="0"/>
              <w:bottom w:val="single" w:color="000000" w:sz="10" w:space="0"/>
              <w:right w:val="single" w:color="000000" w:sz="6" w:space="0"/>
            </w:tcBorders>
            <w:vAlign w:val="top"/>
          </w:tcPr>
          <w:p w14:paraId="4A77F019">
            <w:pPr>
              <w:pStyle w:val="6"/>
              <w:spacing w:before="40" w:line="219" w:lineRule="auto"/>
              <w:ind w:left="108"/>
            </w:pPr>
            <w:r>
              <w:rPr>
                <w:spacing w:val="-1"/>
              </w:rPr>
              <w:t>无大型野生动物及珍稀植物，无特殊文物保护单位。</w:t>
            </w:r>
          </w:p>
          <w:p w14:paraId="4B6E4D40">
            <w:pPr>
              <w:pStyle w:val="6"/>
              <w:spacing w:before="183" w:line="359" w:lineRule="auto"/>
              <w:ind w:left="108" w:right="112" w:firstLine="500"/>
              <w:jc w:val="both"/>
            </w:pPr>
            <w:r>
              <w:rPr>
                <w:spacing w:val="11"/>
              </w:rPr>
              <w:t>沿线地区以半人工的农业生态系统和高度人工化的城镇生态系统为主，另有部分自然生态系统分布。评价范围内生态系统具有相对的稳定性及功能</w:t>
            </w:r>
            <w:r>
              <w:rPr>
                <w:spacing w:val="9"/>
              </w:rPr>
              <w:t>完整性，</w:t>
            </w:r>
            <w:r>
              <w:rPr>
                <w:spacing w:val="-53"/>
              </w:rPr>
              <w:t xml:space="preserve"> </w:t>
            </w:r>
            <w:r>
              <w:rPr>
                <w:spacing w:val="9"/>
              </w:rPr>
              <w:t>由于人工的有效管理及能量补给，系统可以得到较稳定的维持和发</w:t>
            </w:r>
            <w:r>
              <w:rPr>
                <w:spacing w:val="7"/>
              </w:rPr>
              <w:t>展，具有一定的抗干扰能力。</w:t>
            </w:r>
          </w:p>
          <w:p w14:paraId="273CE6AA">
            <w:pPr>
              <w:pStyle w:val="6"/>
              <w:spacing w:line="219" w:lineRule="auto"/>
              <w:ind w:left="581"/>
            </w:pPr>
            <w:r>
              <w:rPr>
                <w:rFonts w:ascii="Times New Roman" w:hAnsi="Times New Roman" w:eastAsia="Times New Roman" w:cs="Times New Roman"/>
                <w:b/>
                <w:bCs/>
                <w:spacing w:val="-5"/>
              </w:rPr>
              <w:t>3</w:t>
            </w:r>
            <w:r>
              <w:rPr>
                <w:rFonts w:ascii="Times New Roman" w:hAnsi="Times New Roman" w:eastAsia="Times New Roman" w:cs="Times New Roman"/>
                <w:b/>
                <w:bCs/>
                <w:spacing w:val="-31"/>
              </w:rPr>
              <w:t xml:space="preserve"> </w:t>
            </w:r>
            <w:r>
              <w:rPr>
                <w:b/>
                <w:bCs/>
                <w:spacing w:val="-5"/>
              </w:rPr>
              <w:t>、环境空气质量现状</w:t>
            </w:r>
          </w:p>
          <w:p w14:paraId="59F490A7">
            <w:pPr>
              <w:pStyle w:val="6"/>
              <w:spacing w:before="180" w:line="220" w:lineRule="auto"/>
              <w:ind w:left="598"/>
            </w:pPr>
            <w:r>
              <w:rPr>
                <w:spacing w:val="-3"/>
              </w:rPr>
              <w:t>（</w:t>
            </w:r>
            <w:r>
              <w:rPr>
                <w:rFonts w:ascii="Times New Roman" w:hAnsi="Times New Roman" w:eastAsia="Times New Roman" w:cs="Times New Roman"/>
                <w:spacing w:val="-3"/>
              </w:rPr>
              <w:t>1</w:t>
            </w:r>
            <w:r>
              <w:rPr>
                <w:spacing w:val="-3"/>
              </w:rPr>
              <w:t>）常规污染物</w:t>
            </w:r>
          </w:p>
          <w:p w14:paraId="2613858D">
            <w:pPr>
              <w:pStyle w:val="6"/>
              <w:spacing w:before="181" w:line="359" w:lineRule="auto"/>
              <w:ind w:left="105" w:right="103" w:firstLine="484"/>
            </w:pPr>
            <w:r>
              <w:rPr>
                <w:spacing w:val="-3"/>
              </w:rPr>
              <w:t>项目位于内蒙古自治区巴彦淖尔市磴口县境内，本次采</w:t>
            </w:r>
            <w:r>
              <w:rPr>
                <w:spacing w:val="-4"/>
              </w:rPr>
              <w:t>用《巴彦淖尔市环境</w:t>
            </w:r>
            <w:r>
              <w:rPr>
                <w:spacing w:val="-3"/>
              </w:rPr>
              <w:t>质量状况公报（</w:t>
            </w:r>
            <w:r>
              <w:rPr>
                <w:rFonts w:ascii="Times New Roman" w:hAnsi="Times New Roman" w:eastAsia="Times New Roman" w:cs="Times New Roman"/>
                <w:spacing w:val="-3"/>
              </w:rPr>
              <w:t>2024</w:t>
            </w:r>
            <w:r>
              <w:rPr>
                <w:spacing w:val="-3"/>
              </w:rPr>
              <w:t>年）》中巴彦高勒镇的环境空气质量监测数据作为评价区域</w:t>
            </w:r>
            <w:r>
              <w:rPr>
                <w:spacing w:val="-2"/>
              </w:rPr>
              <w:t>达标情况的依据。</w:t>
            </w:r>
          </w:p>
          <w:p w14:paraId="1D66CF77">
            <w:pPr>
              <w:spacing w:line="212" w:lineRule="auto"/>
              <w:ind w:left="1315"/>
              <w:rPr>
                <w:rFonts w:ascii="黑体" w:hAnsi="黑体" w:eastAsia="黑体" w:cs="黑体"/>
                <w:sz w:val="24"/>
                <w:szCs w:val="24"/>
              </w:rPr>
            </w:pPr>
            <w:r>
              <w:rPr>
                <w:rFonts w:ascii="黑体" w:hAnsi="黑体" w:eastAsia="黑体" w:cs="黑体"/>
                <w:spacing w:val="-2"/>
                <w:sz w:val="24"/>
                <w:szCs w:val="24"/>
              </w:rPr>
              <w:t>表</w:t>
            </w:r>
            <w:r>
              <w:rPr>
                <w:rFonts w:ascii="黑体" w:hAnsi="黑体" w:eastAsia="黑体" w:cs="黑体"/>
                <w:spacing w:val="-50"/>
                <w:sz w:val="24"/>
                <w:szCs w:val="24"/>
              </w:rPr>
              <w:t xml:space="preserve"> </w:t>
            </w:r>
            <w:r>
              <w:rPr>
                <w:rFonts w:ascii="Times New Roman" w:hAnsi="Times New Roman" w:eastAsia="Times New Roman" w:cs="Times New Roman"/>
                <w:spacing w:val="-2"/>
                <w:sz w:val="24"/>
                <w:szCs w:val="24"/>
              </w:rPr>
              <w:t>3-2</w:t>
            </w:r>
            <w:r>
              <w:rPr>
                <w:rFonts w:ascii="Times New Roman" w:hAnsi="Times New Roman" w:eastAsia="Times New Roman" w:cs="Times New Roman"/>
                <w:spacing w:val="15"/>
                <w:sz w:val="24"/>
                <w:szCs w:val="24"/>
              </w:rPr>
              <w:t xml:space="preserve">  </w:t>
            </w:r>
            <w:r>
              <w:rPr>
                <w:rFonts w:ascii="黑体" w:hAnsi="黑体" w:eastAsia="黑体" w:cs="黑体"/>
                <w:spacing w:val="-2"/>
                <w:sz w:val="24"/>
                <w:szCs w:val="24"/>
              </w:rPr>
              <w:t>巴彦淖尔市巴彦高勒镇</w:t>
            </w:r>
            <w:r>
              <w:rPr>
                <w:rFonts w:ascii="黑体" w:hAnsi="黑体" w:eastAsia="黑体" w:cs="黑体"/>
                <w:spacing w:val="-54"/>
                <w:sz w:val="24"/>
                <w:szCs w:val="24"/>
              </w:rPr>
              <w:t xml:space="preserve"> </w:t>
            </w:r>
            <w:r>
              <w:rPr>
                <w:rFonts w:ascii="Times New Roman" w:hAnsi="Times New Roman" w:eastAsia="Times New Roman" w:cs="Times New Roman"/>
                <w:spacing w:val="-2"/>
                <w:sz w:val="24"/>
                <w:szCs w:val="24"/>
              </w:rPr>
              <w:t xml:space="preserve">2024 </w:t>
            </w:r>
            <w:r>
              <w:rPr>
                <w:rFonts w:ascii="黑体" w:hAnsi="黑体" w:eastAsia="黑体" w:cs="黑体"/>
                <w:spacing w:val="-2"/>
                <w:sz w:val="24"/>
                <w:szCs w:val="24"/>
              </w:rPr>
              <w:t>年环境空</w:t>
            </w:r>
            <w:r>
              <w:rPr>
                <w:rFonts w:ascii="黑体" w:hAnsi="黑体" w:eastAsia="黑体" w:cs="黑体"/>
                <w:spacing w:val="-3"/>
                <w:sz w:val="24"/>
                <w:szCs w:val="24"/>
              </w:rPr>
              <w:t>气监测结果</w:t>
            </w:r>
          </w:p>
        </w:tc>
      </w:tr>
      <w:tr w14:paraId="57651E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466" w:type="dxa"/>
            <w:vMerge w:val="continue"/>
            <w:tcBorders>
              <w:top w:val="nil"/>
              <w:left w:val="single" w:color="000000" w:sz="6" w:space="0"/>
              <w:bottom w:val="nil"/>
            </w:tcBorders>
            <w:vAlign w:val="top"/>
          </w:tcPr>
          <w:p w14:paraId="605A90E5">
            <w:pPr>
              <w:rPr>
                <w:rFonts w:ascii="Arial"/>
                <w:sz w:val="21"/>
              </w:rPr>
            </w:pPr>
          </w:p>
        </w:tc>
        <w:tc>
          <w:tcPr>
            <w:tcW w:w="1173" w:type="dxa"/>
            <w:tcBorders>
              <w:top w:val="single" w:color="000000" w:sz="10" w:space="0"/>
            </w:tcBorders>
            <w:vAlign w:val="top"/>
          </w:tcPr>
          <w:p w14:paraId="70E98CB2">
            <w:pPr>
              <w:pStyle w:val="6"/>
              <w:spacing w:before="162" w:line="228" w:lineRule="auto"/>
              <w:ind w:left="328"/>
              <w:rPr>
                <w:sz w:val="20"/>
                <w:szCs w:val="20"/>
              </w:rPr>
            </w:pPr>
            <w:r>
              <w:rPr>
                <w:spacing w:val="6"/>
                <w:sz w:val="20"/>
                <w:szCs w:val="20"/>
              </w:rPr>
              <w:t>污染物</w:t>
            </w:r>
          </w:p>
        </w:tc>
        <w:tc>
          <w:tcPr>
            <w:tcW w:w="2651" w:type="dxa"/>
            <w:gridSpan w:val="3"/>
            <w:tcBorders>
              <w:top w:val="single" w:color="000000" w:sz="10" w:space="0"/>
            </w:tcBorders>
            <w:vAlign w:val="top"/>
          </w:tcPr>
          <w:p w14:paraId="63AF79B1">
            <w:pPr>
              <w:pStyle w:val="6"/>
              <w:spacing w:before="162" w:line="226" w:lineRule="auto"/>
              <w:ind w:left="803"/>
              <w:rPr>
                <w:sz w:val="20"/>
                <w:szCs w:val="20"/>
              </w:rPr>
            </w:pPr>
            <w:r>
              <w:rPr>
                <w:spacing w:val="7"/>
                <w:sz w:val="20"/>
                <w:szCs w:val="20"/>
              </w:rPr>
              <w:t>年评价指标</w:t>
            </w:r>
          </w:p>
        </w:tc>
        <w:tc>
          <w:tcPr>
            <w:tcW w:w="1262" w:type="dxa"/>
            <w:gridSpan w:val="2"/>
            <w:tcBorders>
              <w:top w:val="single" w:color="000000" w:sz="10" w:space="0"/>
            </w:tcBorders>
            <w:vAlign w:val="top"/>
          </w:tcPr>
          <w:p w14:paraId="77889544">
            <w:pPr>
              <w:pStyle w:val="6"/>
              <w:spacing w:before="27" w:line="232" w:lineRule="auto"/>
              <w:ind w:left="281" w:right="184" w:hanging="62"/>
              <w:rPr>
                <w:sz w:val="20"/>
                <w:szCs w:val="20"/>
              </w:rPr>
            </w:pPr>
            <w:r>
              <w:rPr>
                <w:spacing w:val="6"/>
                <w:sz w:val="20"/>
                <w:szCs w:val="20"/>
              </w:rPr>
              <w:t>现状浓度</w:t>
            </w:r>
            <w:r>
              <w:rPr>
                <w:sz w:val="20"/>
                <w:szCs w:val="20"/>
              </w:rPr>
              <w:t>(</w:t>
            </w:r>
            <w:r>
              <w:rPr>
                <w:rFonts w:ascii="Times New Roman" w:hAnsi="Times New Roman" w:eastAsia="Times New Roman" w:cs="Times New Roman"/>
                <w:sz w:val="20"/>
                <w:szCs w:val="20"/>
              </w:rPr>
              <w:t>μg/m</w:t>
            </w:r>
            <w:r>
              <w:rPr>
                <w:rFonts w:ascii="Times New Roman" w:hAnsi="Times New Roman" w:eastAsia="Times New Roman" w:cs="Times New Roman"/>
                <w:sz w:val="13"/>
                <w:szCs w:val="13"/>
              </w:rPr>
              <w:t>3</w:t>
            </w:r>
            <w:r>
              <w:rPr>
                <w:sz w:val="20"/>
                <w:szCs w:val="20"/>
              </w:rPr>
              <w:t>）</w:t>
            </w:r>
          </w:p>
        </w:tc>
        <w:tc>
          <w:tcPr>
            <w:tcW w:w="1702" w:type="dxa"/>
            <w:gridSpan w:val="3"/>
            <w:tcBorders>
              <w:top w:val="single" w:color="000000" w:sz="10" w:space="0"/>
            </w:tcBorders>
            <w:vAlign w:val="top"/>
          </w:tcPr>
          <w:p w14:paraId="7100F365">
            <w:pPr>
              <w:pStyle w:val="6"/>
              <w:spacing w:before="27" w:line="232" w:lineRule="auto"/>
              <w:ind w:left="116" w:right="53" w:firstLine="9"/>
              <w:rPr>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 xml:space="preserve">3095-2026 </w:t>
            </w:r>
            <w:r>
              <w:rPr>
                <w:spacing w:val="5"/>
                <w:sz w:val="20"/>
                <w:szCs w:val="20"/>
              </w:rPr>
              <w:t>标</w:t>
            </w:r>
            <w:r>
              <w:rPr>
                <w:spacing w:val="2"/>
                <w:sz w:val="20"/>
                <w:szCs w:val="20"/>
              </w:rPr>
              <w:t>准浓度</w:t>
            </w:r>
            <w:r>
              <w:rPr>
                <w:spacing w:val="22"/>
                <w:sz w:val="20"/>
                <w:szCs w:val="20"/>
              </w:rPr>
              <w:t xml:space="preserve"> </w:t>
            </w:r>
            <w:r>
              <w:rPr>
                <w:spacing w:val="2"/>
                <w:sz w:val="20"/>
                <w:szCs w:val="20"/>
              </w:rPr>
              <w:t>(</w:t>
            </w:r>
            <w:r>
              <w:rPr>
                <w:rFonts w:ascii="Times New Roman" w:hAnsi="Times New Roman" w:eastAsia="Times New Roman" w:cs="Times New Roman"/>
                <w:spacing w:val="2"/>
                <w:sz w:val="20"/>
                <w:szCs w:val="20"/>
              </w:rPr>
              <w:t>μg/m</w:t>
            </w:r>
            <w:r>
              <w:rPr>
                <w:rFonts w:ascii="Times New Roman" w:hAnsi="Times New Roman" w:eastAsia="Times New Roman" w:cs="Times New Roman"/>
                <w:spacing w:val="2"/>
                <w:sz w:val="13"/>
                <w:szCs w:val="13"/>
              </w:rPr>
              <w:t>3</w:t>
            </w:r>
            <w:r>
              <w:rPr>
                <w:spacing w:val="2"/>
                <w:sz w:val="20"/>
                <w:szCs w:val="20"/>
              </w:rPr>
              <w:t>）</w:t>
            </w:r>
          </w:p>
        </w:tc>
        <w:tc>
          <w:tcPr>
            <w:tcW w:w="893" w:type="dxa"/>
            <w:gridSpan w:val="2"/>
            <w:tcBorders>
              <w:top w:val="single" w:color="000000" w:sz="10" w:space="0"/>
            </w:tcBorders>
            <w:vAlign w:val="top"/>
          </w:tcPr>
          <w:p w14:paraId="08480723">
            <w:pPr>
              <w:pStyle w:val="6"/>
              <w:spacing w:before="27" w:line="228" w:lineRule="auto"/>
              <w:ind w:left="177"/>
              <w:rPr>
                <w:sz w:val="20"/>
                <w:szCs w:val="20"/>
              </w:rPr>
            </w:pPr>
            <w:r>
              <w:rPr>
                <w:spacing w:val="-5"/>
                <w:sz w:val="20"/>
                <w:szCs w:val="20"/>
              </w:rPr>
              <w:t>占标率</w:t>
            </w:r>
          </w:p>
          <w:p w14:paraId="1F50B91D">
            <w:pPr>
              <w:pStyle w:val="6"/>
              <w:spacing w:before="24" w:line="214" w:lineRule="auto"/>
              <w:ind w:left="170"/>
              <w:rPr>
                <w:sz w:val="20"/>
                <w:szCs w:val="20"/>
              </w:rPr>
            </w:pPr>
            <w:r>
              <w:rPr>
                <w:spacing w:val="-1"/>
                <w:sz w:val="20"/>
                <w:szCs w:val="20"/>
              </w:rPr>
              <w:t>（</w:t>
            </w:r>
            <w:r>
              <w:rPr>
                <w:rFonts w:ascii="Times New Roman" w:hAnsi="Times New Roman" w:eastAsia="Times New Roman" w:cs="Times New Roman"/>
                <w:spacing w:val="-1"/>
                <w:sz w:val="20"/>
                <w:szCs w:val="20"/>
              </w:rPr>
              <w:t>%</w:t>
            </w:r>
            <w:r>
              <w:rPr>
                <w:spacing w:val="-1"/>
                <w:sz w:val="20"/>
                <w:szCs w:val="20"/>
              </w:rPr>
              <w:t>）</w:t>
            </w:r>
          </w:p>
        </w:tc>
        <w:tc>
          <w:tcPr>
            <w:tcW w:w="836" w:type="dxa"/>
            <w:tcBorders>
              <w:top w:val="single" w:color="000000" w:sz="10" w:space="0"/>
              <w:right w:val="single" w:color="000000" w:sz="6" w:space="0"/>
            </w:tcBorders>
            <w:vAlign w:val="top"/>
          </w:tcPr>
          <w:p w14:paraId="6EA205B0">
            <w:pPr>
              <w:pStyle w:val="6"/>
              <w:spacing w:before="27" w:line="228" w:lineRule="auto"/>
              <w:ind w:left="159"/>
              <w:rPr>
                <w:sz w:val="20"/>
                <w:szCs w:val="20"/>
              </w:rPr>
            </w:pPr>
            <w:r>
              <w:rPr>
                <w:spacing w:val="5"/>
                <w:sz w:val="20"/>
                <w:szCs w:val="20"/>
              </w:rPr>
              <w:t>达标</w:t>
            </w:r>
          </w:p>
          <w:p w14:paraId="0AD13B3A">
            <w:pPr>
              <w:pStyle w:val="6"/>
              <w:spacing w:before="23" w:line="214" w:lineRule="auto"/>
              <w:ind w:left="160"/>
              <w:rPr>
                <w:sz w:val="20"/>
                <w:szCs w:val="20"/>
              </w:rPr>
            </w:pPr>
            <w:r>
              <w:rPr>
                <w:spacing w:val="4"/>
                <w:sz w:val="20"/>
                <w:szCs w:val="20"/>
              </w:rPr>
              <w:t>情况</w:t>
            </w:r>
          </w:p>
        </w:tc>
      </w:tr>
      <w:tr w14:paraId="7B990B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466" w:type="dxa"/>
            <w:vMerge w:val="continue"/>
            <w:tcBorders>
              <w:top w:val="nil"/>
              <w:left w:val="single" w:color="000000" w:sz="6" w:space="0"/>
              <w:bottom w:val="nil"/>
            </w:tcBorders>
            <w:vAlign w:val="top"/>
          </w:tcPr>
          <w:p w14:paraId="351F856C">
            <w:pPr>
              <w:rPr>
                <w:rFonts w:ascii="Arial"/>
                <w:sz w:val="21"/>
              </w:rPr>
            </w:pPr>
          </w:p>
        </w:tc>
        <w:tc>
          <w:tcPr>
            <w:tcW w:w="1173" w:type="dxa"/>
            <w:vAlign w:val="top"/>
          </w:tcPr>
          <w:p w14:paraId="45EBE726">
            <w:pPr>
              <w:spacing w:before="150" w:line="201" w:lineRule="auto"/>
              <w:ind w:left="398"/>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pacing w:val="6"/>
                <w:position w:val="-1"/>
                <w:sz w:val="13"/>
                <w:szCs w:val="13"/>
              </w:rPr>
              <w:t>2.5</w:t>
            </w:r>
          </w:p>
        </w:tc>
        <w:tc>
          <w:tcPr>
            <w:tcW w:w="2651" w:type="dxa"/>
            <w:gridSpan w:val="3"/>
            <w:vMerge w:val="restart"/>
            <w:tcBorders>
              <w:bottom w:val="nil"/>
            </w:tcBorders>
            <w:vAlign w:val="top"/>
          </w:tcPr>
          <w:p w14:paraId="7CE60C2F">
            <w:pPr>
              <w:spacing w:line="347" w:lineRule="auto"/>
              <w:rPr>
                <w:rFonts w:ascii="Arial"/>
                <w:sz w:val="21"/>
              </w:rPr>
            </w:pPr>
          </w:p>
          <w:p w14:paraId="5AF68043">
            <w:pPr>
              <w:spacing w:line="347" w:lineRule="auto"/>
              <w:rPr>
                <w:rFonts w:ascii="Arial"/>
                <w:sz w:val="21"/>
              </w:rPr>
            </w:pPr>
          </w:p>
          <w:p w14:paraId="3971FED4">
            <w:pPr>
              <w:pStyle w:val="6"/>
              <w:spacing w:before="65" w:line="228" w:lineRule="auto"/>
              <w:ind w:left="594"/>
              <w:rPr>
                <w:sz w:val="20"/>
                <w:szCs w:val="20"/>
              </w:rPr>
            </w:pPr>
            <w:r>
              <w:rPr>
                <w:spacing w:val="8"/>
                <w:sz w:val="20"/>
                <w:szCs w:val="20"/>
              </w:rPr>
              <w:t>年平均质量浓度</w:t>
            </w:r>
          </w:p>
        </w:tc>
        <w:tc>
          <w:tcPr>
            <w:tcW w:w="1262" w:type="dxa"/>
            <w:gridSpan w:val="2"/>
            <w:vAlign w:val="top"/>
          </w:tcPr>
          <w:p w14:paraId="0E870D2D">
            <w:pPr>
              <w:spacing w:before="147" w:line="195" w:lineRule="auto"/>
              <w:ind w:left="54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1702" w:type="dxa"/>
            <w:gridSpan w:val="3"/>
            <w:vAlign w:val="top"/>
          </w:tcPr>
          <w:p w14:paraId="6FA23175">
            <w:pPr>
              <w:spacing w:before="147" w:line="195" w:lineRule="auto"/>
              <w:ind w:left="756"/>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893" w:type="dxa"/>
            <w:gridSpan w:val="2"/>
            <w:vAlign w:val="top"/>
          </w:tcPr>
          <w:p w14:paraId="6ACFA4A9">
            <w:pPr>
              <w:spacing w:before="147"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53.3</w:t>
            </w:r>
          </w:p>
        </w:tc>
        <w:tc>
          <w:tcPr>
            <w:tcW w:w="836" w:type="dxa"/>
            <w:tcBorders>
              <w:right w:val="single" w:color="000000" w:sz="6" w:space="0"/>
            </w:tcBorders>
            <w:vAlign w:val="top"/>
          </w:tcPr>
          <w:p w14:paraId="76684B6C">
            <w:pPr>
              <w:pStyle w:val="6"/>
              <w:spacing w:before="111" w:line="228" w:lineRule="auto"/>
              <w:ind w:left="159"/>
              <w:rPr>
                <w:sz w:val="20"/>
                <w:szCs w:val="20"/>
              </w:rPr>
            </w:pPr>
            <w:r>
              <w:rPr>
                <w:spacing w:val="5"/>
                <w:sz w:val="20"/>
                <w:szCs w:val="20"/>
              </w:rPr>
              <w:t>达标</w:t>
            </w:r>
          </w:p>
        </w:tc>
      </w:tr>
      <w:tr w14:paraId="3D25F3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466" w:type="dxa"/>
            <w:vMerge w:val="continue"/>
            <w:tcBorders>
              <w:top w:val="nil"/>
              <w:left w:val="single" w:color="000000" w:sz="6" w:space="0"/>
              <w:bottom w:val="nil"/>
            </w:tcBorders>
            <w:vAlign w:val="top"/>
          </w:tcPr>
          <w:p w14:paraId="1248F7C5">
            <w:pPr>
              <w:rPr>
                <w:rFonts w:ascii="Arial"/>
                <w:sz w:val="21"/>
              </w:rPr>
            </w:pPr>
          </w:p>
        </w:tc>
        <w:tc>
          <w:tcPr>
            <w:tcW w:w="1173" w:type="dxa"/>
            <w:vAlign w:val="top"/>
          </w:tcPr>
          <w:p w14:paraId="4005020F">
            <w:pPr>
              <w:spacing w:before="152" w:line="199" w:lineRule="auto"/>
              <w:ind w:left="415"/>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pacing w:val="8"/>
                <w:position w:val="-1"/>
                <w:sz w:val="13"/>
                <w:szCs w:val="13"/>
              </w:rPr>
              <w:t>10</w:t>
            </w:r>
          </w:p>
        </w:tc>
        <w:tc>
          <w:tcPr>
            <w:tcW w:w="2651" w:type="dxa"/>
            <w:gridSpan w:val="3"/>
            <w:vMerge w:val="continue"/>
            <w:tcBorders>
              <w:top w:val="nil"/>
              <w:bottom w:val="nil"/>
            </w:tcBorders>
            <w:vAlign w:val="top"/>
          </w:tcPr>
          <w:p w14:paraId="691EC91B">
            <w:pPr>
              <w:rPr>
                <w:rFonts w:ascii="Arial"/>
                <w:sz w:val="21"/>
              </w:rPr>
            </w:pPr>
          </w:p>
        </w:tc>
        <w:tc>
          <w:tcPr>
            <w:tcW w:w="1262" w:type="dxa"/>
            <w:gridSpan w:val="2"/>
            <w:vAlign w:val="top"/>
          </w:tcPr>
          <w:p w14:paraId="0EC1F0B9">
            <w:pPr>
              <w:spacing w:before="152" w:line="192" w:lineRule="auto"/>
              <w:ind w:left="534"/>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1702" w:type="dxa"/>
            <w:gridSpan w:val="3"/>
            <w:vAlign w:val="top"/>
          </w:tcPr>
          <w:p w14:paraId="10A6BE35">
            <w:pPr>
              <w:spacing w:before="149" w:line="195" w:lineRule="auto"/>
              <w:ind w:left="756"/>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893" w:type="dxa"/>
            <w:gridSpan w:val="2"/>
            <w:vAlign w:val="top"/>
          </w:tcPr>
          <w:p w14:paraId="52B9C470">
            <w:pPr>
              <w:spacing w:before="149" w:line="195" w:lineRule="auto"/>
              <w:ind w:left="352"/>
              <w:rPr>
                <w:rFonts w:ascii="Times New Roman" w:hAnsi="Times New Roman" w:eastAsia="Times New Roman" w:cs="Times New Roman"/>
                <w:sz w:val="20"/>
                <w:szCs w:val="20"/>
              </w:rPr>
            </w:pPr>
            <w:r>
              <w:rPr>
                <w:rFonts w:ascii="Times New Roman" w:hAnsi="Times New Roman" w:eastAsia="Times New Roman" w:cs="Times New Roman"/>
                <w:sz w:val="20"/>
                <w:szCs w:val="20"/>
              </w:rPr>
              <w:t>95</w:t>
            </w:r>
          </w:p>
        </w:tc>
        <w:tc>
          <w:tcPr>
            <w:tcW w:w="836" w:type="dxa"/>
            <w:tcBorders>
              <w:right w:val="single" w:color="000000" w:sz="6" w:space="0"/>
            </w:tcBorders>
            <w:vAlign w:val="top"/>
          </w:tcPr>
          <w:p w14:paraId="6B9A79BC">
            <w:pPr>
              <w:pStyle w:val="6"/>
              <w:spacing w:before="114" w:line="228" w:lineRule="auto"/>
              <w:ind w:left="159"/>
              <w:rPr>
                <w:sz w:val="20"/>
                <w:szCs w:val="20"/>
              </w:rPr>
            </w:pPr>
            <w:r>
              <w:rPr>
                <w:spacing w:val="5"/>
                <w:sz w:val="20"/>
                <w:szCs w:val="20"/>
              </w:rPr>
              <w:t>达标</w:t>
            </w:r>
          </w:p>
        </w:tc>
      </w:tr>
      <w:tr w14:paraId="4ACA47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466" w:type="dxa"/>
            <w:vMerge w:val="continue"/>
            <w:tcBorders>
              <w:top w:val="nil"/>
              <w:left w:val="single" w:color="000000" w:sz="6" w:space="0"/>
              <w:bottom w:val="nil"/>
            </w:tcBorders>
            <w:vAlign w:val="top"/>
          </w:tcPr>
          <w:p w14:paraId="56A4EF3D">
            <w:pPr>
              <w:rPr>
                <w:rFonts w:ascii="Arial"/>
                <w:sz w:val="21"/>
              </w:rPr>
            </w:pPr>
          </w:p>
        </w:tc>
        <w:tc>
          <w:tcPr>
            <w:tcW w:w="1173" w:type="dxa"/>
            <w:vAlign w:val="top"/>
          </w:tcPr>
          <w:p w14:paraId="766D4C45">
            <w:pPr>
              <w:spacing w:before="150" w:line="202" w:lineRule="auto"/>
              <w:ind w:left="477"/>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pacing w:val="3"/>
                <w:position w:val="-1"/>
                <w:sz w:val="13"/>
                <w:szCs w:val="13"/>
              </w:rPr>
              <w:t>2</w:t>
            </w:r>
          </w:p>
        </w:tc>
        <w:tc>
          <w:tcPr>
            <w:tcW w:w="2651" w:type="dxa"/>
            <w:gridSpan w:val="3"/>
            <w:vMerge w:val="continue"/>
            <w:tcBorders>
              <w:top w:val="nil"/>
              <w:bottom w:val="nil"/>
            </w:tcBorders>
            <w:vAlign w:val="top"/>
          </w:tcPr>
          <w:p w14:paraId="742F75A5">
            <w:pPr>
              <w:rPr>
                <w:rFonts w:ascii="Arial"/>
                <w:sz w:val="21"/>
              </w:rPr>
            </w:pPr>
          </w:p>
        </w:tc>
        <w:tc>
          <w:tcPr>
            <w:tcW w:w="1262" w:type="dxa"/>
            <w:gridSpan w:val="2"/>
            <w:vAlign w:val="top"/>
          </w:tcPr>
          <w:p w14:paraId="30BFDAB4">
            <w:pPr>
              <w:spacing w:before="150" w:line="195" w:lineRule="auto"/>
              <w:ind w:left="54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702" w:type="dxa"/>
            <w:gridSpan w:val="3"/>
            <w:vAlign w:val="top"/>
          </w:tcPr>
          <w:p w14:paraId="52C93CB8">
            <w:pPr>
              <w:spacing w:before="150" w:line="195" w:lineRule="auto"/>
              <w:ind w:left="756"/>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893" w:type="dxa"/>
            <w:gridSpan w:val="2"/>
            <w:vAlign w:val="top"/>
          </w:tcPr>
          <w:p w14:paraId="5F85DA34">
            <w:pPr>
              <w:spacing w:before="150"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16.7</w:t>
            </w:r>
          </w:p>
        </w:tc>
        <w:tc>
          <w:tcPr>
            <w:tcW w:w="836" w:type="dxa"/>
            <w:tcBorders>
              <w:right w:val="single" w:color="000000" w:sz="6" w:space="0"/>
            </w:tcBorders>
            <w:vAlign w:val="top"/>
          </w:tcPr>
          <w:p w14:paraId="7AC16670">
            <w:pPr>
              <w:pStyle w:val="6"/>
              <w:spacing w:before="114" w:line="228" w:lineRule="auto"/>
              <w:ind w:left="159"/>
              <w:rPr>
                <w:sz w:val="20"/>
                <w:szCs w:val="20"/>
              </w:rPr>
            </w:pPr>
            <w:r>
              <w:rPr>
                <w:spacing w:val="5"/>
                <w:sz w:val="20"/>
                <w:szCs w:val="20"/>
              </w:rPr>
              <w:t>达标</w:t>
            </w:r>
          </w:p>
        </w:tc>
      </w:tr>
      <w:tr w14:paraId="2E614F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466" w:type="dxa"/>
            <w:vMerge w:val="continue"/>
            <w:tcBorders>
              <w:top w:val="nil"/>
              <w:left w:val="single" w:color="000000" w:sz="6" w:space="0"/>
              <w:bottom w:val="nil"/>
            </w:tcBorders>
            <w:vAlign w:val="top"/>
          </w:tcPr>
          <w:p w14:paraId="2D8652DE">
            <w:pPr>
              <w:rPr>
                <w:rFonts w:ascii="Arial"/>
                <w:sz w:val="21"/>
              </w:rPr>
            </w:pPr>
          </w:p>
        </w:tc>
        <w:tc>
          <w:tcPr>
            <w:tcW w:w="1173" w:type="dxa"/>
            <w:vAlign w:val="top"/>
          </w:tcPr>
          <w:p w14:paraId="74133627">
            <w:pPr>
              <w:spacing w:before="149" w:line="202" w:lineRule="auto"/>
              <w:ind w:left="443"/>
              <w:rPr>
                <w:rFonts w:ascii="Times New Roman" w:hAnsi="Times New Roman" w:eastAsia="Times New Roman" w:cs="Times New Roman"/>
                <w:sz w:val="13"/>
                <w:szCs w:val="13"/>
              </w:rPr>
            </w:pPr>
            <w:r>
              <w:rPr>
                <w:rFonts w:ascii="Times New Roman" w:hAnsi="Times New Roman" w:eastAsia="Times New Roman" w:cs="Times New Roman"/>
                <w:spacing w:val="7"/>
                <w:sz w:val="20"/>
                <w:szCs w:val="20"/>
              </w:rPr>
              <w:t>NO</w:t>
            </w:r>
            <w:r>
              <w:rPr>
                <w:rFonts w:ascii="Times New Roman" w:hAnsi="Times New Roman" w:eastAsia="Times New Roman" w:cs="Times New Roman"/>
                <w:spacing w:val="7"/>
                <w:position w:val="-1"/>
                <w:sz w:val="13"/>
                <w:szCs w:val="13"/>
              </w:rPr>
              <w:t>2</w:t>
            </w:r>
          </w:p>
        </w:tc>
        <w:tc>
          <w:tcPr>
            <w:tcW w:w="2651" w:type="dxa"/>
            <w:gridSpan w:val="3"/>
            <w:vMerge w:val="continue"/>
            <w:tcBorders>
              <w:top w:val="nil"/>
            </w:tcBorders>
            <w:vAlign w:val="top"/>
          </w:tcPr>
          <w:p w14:paraId="38DDD894">
            <w:pPr>
              <w:rPr>
                <w:rFonts w:ascii="Arial"/>
                <w:sz w:val="21"/>
              </w:rPr>
            </w:pPr>
          </w:p>
        </w:tc>
        <w:tc>
          <w:tcPr>
            <w:tcW w:w="1262" w:type="dxa"/>
            <w:gridSpan w:val="2"/>
            <w:vAlign w:val="top"/>
          </w:tcPr>
          <w:p w14:paraId="630D84D3">
            <w:pPr>
              <w:spacing w:before="149" w:line="195" w:lineRule="auto"/>
              <w:ind w:left="54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1702" w:type="dxa"/>
            <w:gridSpan w:val="3"/>
            <w:vAlign w:val="top"/>
          </w:tcPr>
          <w:p w14:paraId="08DFAA02">
            <w:pPr>
              <w:spacing w:before="149" w:line="195" w:lineRule="auto"/>
              <w:ind w:left="75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893" w:type="dxa"/>
            <w:gridSpan w:val="2"/>
            <w:vAlign w:val="top"/>
          </w:tcPr>
          <w:p w14:paraId="55B4E877">
            <w:pPr>
              <w:spacing w:before="149" w:line="195"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45.0</w:t>
            </w:r>
          </w:p>
        </w:tc>
        <w:tc>
          <w:tcPr>
            <w:tcW w:w="836" w:type="dxa"/>
            <w:tcBorders>
              <w:right w:val="single" w:color="000000" w:sz="6" w:space="0"/>
            </w:tcBorders>
            <w:vAlign w:val="top"/>
          </w:tcPr>
          <w:p w14:paraId="1557DCAA">
            <w:pPr>
              <w:pStyle w:val="6"/>
              <w:spacing w:before="114" w:line="228" w:lineRule="auto"/>
              <w:ind w:left="159"/>
              <w:rPr>
                <w:sz w:val="20"/>
                <w:szCs w:val="20"/>
              </w:rPr>
            </w:pPr>
            <w:r>
              <w:rPr>
                <w:spacing w:val="5"/>
                <w:sz w:val="20"/>
                <w:szCs w:val="20"/>
              </w:rPr>
              <w:t>达标</w:t>
            </w:r>
          </w:p>
        </w:tc>
      </w:tr>
      <w:tr w14:paraId="093A0F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466" w:type="dxa"/>
            <w:vMerge w:val="continue"/>
            <w:tcBorders>
              <w:top w:val="nil"/>
              <w:left w:val="single" w:color="000000" w:sz="6" w:space="0"/>
              <w:bottom w:val="nil"/>
            </w:tcBorders>
            <w:vAlign w:val="top"/>
          </w:tcPr>
          <w:p w14:paraId="2316E9D1">
            <w:pPr>
              <w:rPr>
                <w:rFonts w:ascii="Arial"/>
                <w:sz w:val="21"/>
              </w:rPr>
            </w:pPr>
          </w:p>
        </w:tc>
        <w:tc>
          <w:tcPr>
            <w:tcW w:w="1173" w:type="dxa"/>
            <w:vAlign w:val="top"/>
          </w:tcPr>
          <w:p w14:paraId="4BBB28D6">
            <w:pPr>
              <w:spacing w:before="150" w:line="195" w:lineRule="auto"/>
              <w:ind w:left="4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CO</w:t>
            </w:r>
          </w:p>
        </w:tc>
        <w:tc>
          <w:tcPr>
            <w:tcW w:w="2651" w:type="dxa"/>
            <w:gridSpan w:val="3"/>
            <w:vAlign w:val="top"/>
          </w:tcPr>
          <w:p w14:paraId="5EF8BF0F">
            <w:pPr>
              <w:pStyle w:val="6"/>
              <w:spacing w:before="113" w:line="228" w:lineRule="auto"/>
              <w:ind w:left="15"/>
              <w:rPr>
                <w:sz w:val="20"/>
                <w:szCs w:val="20"/>
              </w:rPr>
            </w:pPr>
            <w:r>
              <w:rPr>
                <w:spacing w:val="5"/>
                <w:sz w:val="20"/>
                <w:szCs w:val="20"/>
              </w:rPr>
              <w:t>第</w:t>
            </w:r>
            <w:r>
              <w:rPr>
                <w:spacing w:val="-40"/>
                <w:sz w:val="20"/>
                <w:szCs w:val="20"/>
              </w:rPr>
              <w:t xml:space="preserve"> </w:t>
            </w:r>
            <w:r>
              <w:rPr>
                <w:rFonts w:ascii="Times New Roman" w:hAnsi="Times New Roman" w:eastAsia="Times New Roman" w:cs="Times New Roman"/>
                <w:spacing w:val="5"/>
                <w:sz w:val="20"/>
                <w:szCs w:val="20"/>
              </w:rPr>
              <w:t>95</w:t>
            </w:r>
            <w:r>
              <w:rPr>
                <w:rFonts w:ascii="Times New Roman" w:hAnsi="Times New Roman" w:eastAsia="Times New Roman" w:cs="Times New Roman"/>
                <w:spacing w:val="19"/>
                <w:w w:val="101"/>
                <w:sz w:val="20"/>
                <w:szCs w:val="20"/>
              </w:rPr>
              <w:t xml:space="preserve"> </w:t>
            </w:r>
            <w:r>
              <w:rPr>
                <w:spacing w:val="5"/>
                <w:sz w:val="20"/>
                <w:szCs w:val="20"/>
              </w:rPr>
              <w:t>百分位数</w:t>
            </w:r>
            <w:r>
              <w:rPr>
                <w:spacing w:val="-41"/>
                <w:sz w:val="20"/>
                <w:szCs w:val="20"/>
              </w:rPr>
              <w:t xml:space="preserve"> </w:t>
            </w:r>
            <w:r>
              <w:rPr>
                <w:rFonts w:ascii="Times New Roman" w:hAnsi="Times New Roman" w:eastAsia="Times New Roman" w:cs="Times New Roman"/>
                <w:spacing w:val="5"/>
                <w:sz w:val="20"/>
                <w:szCs w:val="20"/>
              </w:rPr>
              <w:t xml:space="preserve">24h </w:t>
            </w:r>
            <w:r>
              <w:rPr>
                <w:spacing w:val="5"/>
                <w:sz w:val="20"/>
                <w:szCs w:val="20"/>
              </w:rPr>
              <w:t>平均浓度</w:t>
            </w:r>
          </w:p>
        </w:tc>
        <w:tc>
          <w:tcPr>
            <w:tcW w:w="1262" w:type="dxa"/>
            <w:gridSpan w:val="2"/>
            <w:vAlign w:val="top"/>
          </w:tcPr>
          <w:p w14:paraId="1C0F1D94">
            <w:pPr>
              <w:spacing w:before="150" w:line="195"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1100</w:t>
            </w:r>
          </w:p>
        </w:tc>
        <w:tc>
          <w:tcPr>
            <w:tcW w:w="1702" w:type="dxa"/>
            <w:gridSpan w:val="3"/>
            <w:vAlign w:val="top"/>
          </w:tcPr>
          <w:p w14:paraId="058908CE">
            <w:pPr>
              <w:spacing w:before="150" w:line="195" w:lineRule="auto"/>
              <w:ind w:left="6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4000</w:t>
            </w:r>
          </w:p>
        </w:tc>
        <w:tc>
          <w:tcPr>
            <w:tcW w:w="893" w:type="dxa"/>
            <w:gridSpan w:val="2"/>
            <w:vAlign w:val="top"/>
          </w:tcPr>
          <w:p w14:paraId="2BB922D3">
            <w:pPr>
              <w:spacing w:before="150"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27.5</w:t>
            </w:r>
          </w:p>
        </w:tc>
        <w:tc>
          <w:tcPr>
            <w:tcW w:w="836" w:type="dxa"/>
            <w:tcBorders>
              <w:right w:val="single" w:color="000000" w:sz="6" w:space="0"/>
            </w:tcBorders>
            <w:vAlign w:val="top"/>
          </w:tcPr>
          <w:p w14:paraId="211AF149">
            <w:pPr>
              <w:pStyle w:val="6"/>
              <w:spacing w:before="136" w:line="228" w:lineRule="auto"/>
              <w:ind w:left="159"/>
              <w:rPr>
                <w:sz w:val="20"/>
                <w:szCs w:val="20"/>
              </w:rPr>
            </w:pPr>
            <w:r>
              <w:rPr>
                <w:spacing w:val="5"/>
                <w:sz w:val="20"/>
                <w:szCs w:val="20"/>
              </w:rPr>
              <w:t>达标</w:t>
            </w:r>
          </w:p>
        </w:tc>
      </w:tr>
      <w:tr w14:paraId="545031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466" w:type="dxa"/>
            <w:vMerge w:val="continue"/>
            <w:tcBorders>
              <w:top w:val="nil"/>
              <w:left w:val="single" w:color="000000" w:sz="6" w:space="0"/>
              <w:bottom w:val="nil"/>
            </w:tcBorders>
            <w:vAlign w:val="top"/>
          </w:tcPr>
          <w:p w14:paraId="110816D1">
            <w:pPr>
              <w:rPr>
                <w:rFonts w:ascii="Arial"/>
                <w:sz w:val="21"/>
              </w:rPr>
            </w:pPr>
          </w:p>
        </w:tc>
        <w:tc>
          <w:tcPr>
            <w:tcW w:w="1173" w:type="dxa"/>
            <w:tcBorders>
              <w:bottom w:val="single" w:color="000000" w:sz="10" w:space="0"/>
            </w:tcBorders>
            <w:vAlign w:val="top"/>
          </w:tcPr>
          <w:p w14:paraId="3D3AA382">
            <w:pPr>
              <w:spacing w:before="152" w:line="202" w:lineRule="auto"/>
              <w:ind w:left="529"/>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O</w:t>
            </w:r>
            <w:r>
              <w:rPr>
                <w:rFonts w:ascii="Times New Roman" w:hAnsi="Times New Roman" w:eastAsia="Times New Roman" w:cs="Times New Roman"/>
                <w:spacing w:val="1"/>
                <w:position w:val="-1"/>
                <w:sz w:val="13"/>
                <w:szCs w:val="13"/>
              </w:rPr>
              <w:t>3</w:t>
            </w:r>
          </w:p>
        </w:tc>
        <w:tc>
          <w:tcPr>
            <w:tcW w:w="2651" w:type="dxa"/>
            <w:gridSpan w:val="3"/>
            <w:tcBorders>
              <w:bottom w:val="single" w:color="000000" w:sz="10" w:space="0"/>
            </w:tcBorders>
            <w:vAlign w:val="top"/>
          </w:tcPr>
          <w:p w14:paraId="3B17F4A1">
            <w:pPr>
              <w:pStyle w:val="6"/>
              <w:spacing w:before="115" w:line="228" w:lineRule="auto"/>
              <w:ind w:left="67"/>
              <w:rPr>
                <w:sz w:val="20"/>
                <w:szCs w:val="20"/>
              </w:rPr>
            </w:pPr>
            <w:r>
              <w:rPr>
                <w:spacing w:val="4"/>
                <w:sz w:val="20"/>
                <w:szCs w:val="20"/>
              </w:rPr>
              <w:t>第</w:t>
            </w:r>
            <w:r>
              <w:rPr>
                <w:spacing w:val="-33"/>
                <w:sz w:val="20"/>
                <w:szCs w:val="20"/>
              </w:rPr>
              <w:t xml:space="preserve"> </w:t>
            </w:r>
            <w:r>
              <w:rPr>
                <w:rFonts w:ascii="Times New Roman" w:hAnsi="Times New Roman" w:eastAsia="Times New Roman" w:cs="Times New Roman"/>
                <w:spacing w:val="4"/>
                <w:sz w:val="20"/>
                <w:szCs w:val="20"/>
              </w:rPr>
              <w:t>90</w:t>
            </w:r>
            <w:r>
              <w:rPr>
                <w:rFonts w:ascii="Times New Roman" w:hAnsi="Times New Roman" w:eastAsia="Times New Roman" w:cs="Times New Roman"/>
                <w:spacing w:val="20"/>
                <w:sz w:val="20"/>
                <w:szCs w:val="20"/>
              </w:rPr>
              <w:t xml:space="preserve"> </w:t>
            </w:r>
            <w:r>
              <w:rPr>
                <w:spacing w:val="4"/>
                <w:sz w:val="20"/>
                <w:szCs w:val="20"/>
              </w:rPr>
              <w:t>百分位数</w:t>
            </w:r>
            <w:r>
              <w:rPr>
                <w:spacing w:val="-35"/>
                <w:sz w:val="20"/>
                <w:szCs w:val="20"/>
              </w:rPr>
              <w:t xml:space="preserve"> </w:t>
            </w:r>
            <w:r>
              <w:rPr>
                <w:rFonts w:ascii="Times New Roman" w:hAnsi="Times New Roman" w:eastAsia="Times New Roman" w:cs="Times New Roman"/>
                <w:spacing w:val="4"/>
                <w:sz w:val="20"/>
                <w:szCs w:val="20"/>
              </w:rPr>
              <w:t xml:space="preserve">8h </w:t>
            </w:r>
            <w:r>
              <w:rPr>
                <w:spacing w:val="4"/>
                <w:sz w:val="20"/>
                <w:szCs w:val="20"/>
              </w:rPr>
              <w:t>平均浓度</w:t>
            </w:r>
          </w:p>
        </w:tc>
        <w:tc>
          <w:tcPr>
            <w:tcW w:w="1262" w:type="dxa"/>
            <w:gridSpan w:val="2"/>
            <w:tcBorders>
              <w:bottom w:val="single" w:color="000000" w:sz="10" w:space="0"/>
            </w:tcBorders>
            <w:vAlign w:val="top"/>
          </w:tcPr>
          <w:p w14:paraId="1F907155">
            <w:pPr>
              <w:spacing w:before="151" w:line="195" w:lineRule="auto"/>
              <w:ind w:left="4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132</w:t>
            </w:r>
          </w:p>
        </w:tc>
        <w:tc>
          <w:tcPr>
            <w:tcW w:w="1702" w:type="dxa"/>
            <w:gridSpan w:val="3"/>
            <w:tcBorders>
              <w:bottom w:val="single" w:color="000000" w:sz="10" w:space="0"/>
            </w:tcBorders>
            <w:vAlign w:val="top"/>
          </w:tcPr>
          <w:p w14:paraId="22C05A9E">
            <w:pPr>
              <w:spacing w:before="151" w:line="195" w:lineRule="auto"/>
              <w:ind w:left="7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160</w:t>
            </w:r>
          </w:p>
        </w:tc>
        <w:tc>
          <w:tcPr>
            <w:tcW w:w="893" w:type="dxa"/>
            <w:gridSpan w:val="2"/>
            <w:tcBorders>
              <w:bottom w:val="single" w:color="000000" w:sz="10" w:space="0"/>
            </w:tcBorders>
            <w:vAlign w:val="top"/>
          </w:tcPr>
          <w:p w14:paraId="29D7A58A">
            <w:pPr>
              <w:spacing w:before="151"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82.5</w:t>
            </w:r>
          </w:p>
        </w:tc>
        <w:tc>
          <w:tcPr>
            <w:tcW w:w="836" w:type="dxa"/>
            <w:tcBorders>
              <w:bottom w:val="single" w:color="000000" w:sz="10" w:space="0"/>
              <w:right w:val="single" w:color="000000" w:sz="6" w:space="0"/>
            </w:tcBorders>
            <w:vAlign w:val="top"/>
          </w:tcPr>
          <w:p w14:paraId="52BB403C">
            <w:pPr>
              <w:pStyle w:val="6"/>
              <w:spacing w:before="135" w:line="228" w:lineRule="auto"/>
              <w:ind w:left="159"/>
              <w:rPr>
                <w:sz w:val="20"/>
                <w:szCs w:val="20"/>
              </w:rPr>
            </w:pPr>
            <w:r>
              <w:rPr>
                <w:spacing w:val="5"/>
                <w:sz w:val="20"/>
                <w:szCs w:val="20"/>
              </w:rPr>
              <w:t>达标</w:t>
            </w:r>
          </w:p>
        </w:tc>
      </w:tr>
      <w:tr w14:paraId="6292AA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4" w:hRule="atLeast"/>
        </w:trPr>
        <w:tc>
          <w:tcPr>
            <w:tcW w:w="466" w:type="dxa"/>
            <w:vMerge w:val="continue"/>
            <w:tcBorders>
              <w:top w:val="nil"/>
              <w:left w:val="single" w:color="000000" w:sz="6" w:space="0"/>
              <w:bottom w:val="nil"/>
            </w:tcBorders>
            <w:vAlign w:val="top"/>
          </w:tcPr>
          <w:p w14:paraId="1D3FC568">
            <w:pPr>
              <w:rPr>
                <w:rFonts w:ascii="Arial"/>
                <w:sz w:val="21"/>
              </w:rPr>
            </w:pPr>
          </w:p>
        </w:tc>
        <w:tc>
          <w:tcPr>
            <w:tcW w:w="8517" w:type="dxa"/>
            <w:gridSpan w:val="12"/>
            <w:tcBorders>
              <w:top w:val="single" w:color="000000" w:sz="10" w:space="0"/>
              <w:bottom w:val="single" w:color="000000" w:sz="10" w:space="0"/>
              <w:right w:val="single" w:color="000000" w:sz="6" w:space="0"/>
            </w:tcBorders>
            <w:vAlign w:val="top"/>
          </w:tcPr>
          <w:p w14:paraId="7CD050FD">
            <w:pPr>
              <w:pStyle w:val="6"/>
              <w:spacing w:before="36" w:line="359" w:lineRule="auto"/>
              <w:ind w:left="107" w:right="103" w:firstLine="479"/>
            </w:pPr>
            <w:r>
              <w:rPr>
                <w:spacing w:val="-1"/>
              </w:rPr>
              <w:t>根据上表可知，基本污染物满足《环境空气质量》（</w:t>
            </w:r>
            <w:r>
              <w:rPr>
                <w:rFonts w:ascii="Times New Roman" w:hAnsi="Times New Roman" w:eastAsia="Times New Roman" w:cs="Times New Roman"/>
                <w:spacing w:val="-1"/>
              </w:rPr>
              <w:t>GB3095-2026</w:t>
            </w:r>
            <w:r>
              <w:rPr>
                <w:spacing w:val="-1"/>
              </w:rPr>
              <w:t>）过渡阶段二级标准浓度限值要求，项目位于达标区。</w:t>
            </w:r>
          </w:p>
          <w:p w14:paraId="17972C33">
            <w:pPr>
              <w:pStyle w:val="6"/>
              <w:spacing w:line="220" w:lineRule="auto"/>
              <w:ind w:left="598"/>
            </w:pPr>
            <w:r>
              <w:rPr>
                <w:spacing w:val="-3"/>
              </w:rPr>
              <w:t>（</w:t>
            </w:r>
            <w:r>
              <w:rPr>
                <w:rFonts w:ascii="Times New Roman" w:hAnsi="Times New Roman" w:eastAsia="Times New Roman" w:cs="Times New Roman"/>
                <w:spacing w:val="-3"/>
              </w:rPr>
              <w:t>2</w:t>
            </w:r>
            <w:r>
              <w:rPr>
                <w:spacing w:val="-3"/>
              </w:rPr>
              <w:t>）其他污染物</w:t>
            </w:r>
          </w:p>
          <w:p w14:paraId="72B61149">
            <w:pPr>
              <w:pStyle w:val="6"/>
              <w:spacing w:before="181" w:line="359" w:lineRule="auto"/>
              <w:ind w:left="105" w:right="75" w:firstLine="483"/>
            </w:pPr>
            <w:r>
              <w:rPr>
                <w:spacing w:val="-2"/>
              </w:rPr>
              <w:t>为了解项目所在地大气特征污染因子非甲烷总烃、</w:t>
            </w:r>
            <w:r>
              <w:rPr>
                <w:rFonts w:ascii="Times New Roman" w:hAnsi="Times New Roman" w:eastAsia="Times New Roman" w:cs="Times New Roman"/>
                <w:spacing w:val="-2"/>
              </w:rPr>
              <w:t xml:space="preserve">TSP </w:t>
            </w:r>
            <w:r>
              <w:rPr>
                <w:spacing w:val="-2"/>
              </w:rPr>
              <w:t>环境空气质量</w:t>
            </w:r>
            <w:r>
              <w:rPr>
                <w:spacing w:val="-3"/>
              </w:rPr>
              <w:t>现状，</w:t>
            </w:r>
            <w:r>
              <w:rPr>
                <w:spacing w:val="-4"/>
              </w:rPr>
              <w:t>委托河北艾珂检测技术有限公司于</w:t>
            </w:r>
            <w:r>
              <w:rPr>
                <w:spacing w:val="-55"/>
              </w:rPr>
              <w:t xml:space="preserve"> </w:t>
            </w:r>
            <w:r>
              <w:rPr>
                <w:rFonts w:ascii="Times New Roman" w:hAnsi="Times New Roman" w:eastAsia="Times New Roman" w:cs="Times New Roman"/>
                <w:spacing w:val="-4"/>
              </w:rPr>
              <w:t xml:space="preserve">2025 </w:t>
            </w:r>
            <w:r>
              <w:rPr>
                <w:spacing w:val="-4"/>
              </w:rPr>
              <w:t>年</w:t>
            </w:r>
            <w:r>
              <w:rPr>
                <w:spacing w:val="-46"/>
              </w:rPr>
              <w:t xml:space="preserve"> </w:t>
            </w:r>
            <w:r>
              <w:rPr>
                <w:rFonts w:ascii="Times New Roman" w:hAnsi="Times New Roman" w:eastAsia="Times New Roman" w:cs="Times New Roman"/>
                <w:spacing w:val="-4"/>
              </w:rPr>
              <w:t>8</w:t>
            </w:r>
            <w:r>
              <w:rPr>
                <w:rFonts w:ascii="Times New Roman" w:hAnsi="Times New Roman" w:eastAsia="Times New Roman" w:cs="Times New Roman"/>
                <w:spacing w:val="15"/>
                <w:w w:val="101"/>
              </w:rPr>
              <w:t xml:space="preserve"> </w:t>
            </w:r>
            <w:r>
              <w:rPr>
                <w:spacing w:val="-4"/>
              </w:rPr>
              <w:t>月</w:t>
            </w:r>
            <w:r>
              <w:rPr>
                <w:spacing w:val="-48"/>
              </w:rPr>
              <w:t xml:space="preserve"> </w:t>
            </w:r>
            <w:r>
              <w:rPr>
                <w:rFonts w:ascii="Times New Roman" w:hAnsi="Times New Roman" w:eastAsia="Times New Roman" w:cs="Times New Roman"/>
                <w:spacing w:val="-4"/>
              </w:rPr>
              <w:t xml:space="preserve">3  </w:t>
            </w:r>
            <w:r>
              <w:rPr>
                <w:spacing w:val="-4"/>
              </w:rPr>
              <w:t>日至</w:t>
            </w:r>
            <w:r>
              <w:rPr>
                <w:spacing w:val="-45"/>
              </w:rPr>
              <w:t xml:space="preserve"> </w:t>
            </w:r>
            <w:r>
              <w:rPr>
                <w:rFonts w:ascii="Times New Roman" w:hAnsi="Times New Roman" w:eastAsia="Times New Roman" w:cs="Times New Roman"/>
                <w:spacing w:val="-4"/>
              </w:rPr>
              <w:t>8</w:t>
            </w:r>
            <w:r>
              <w:rPr>
                <w:rFonts w:ascii="Times New Roman" w:hAnsi="Times New Roman" w:eastAsia="Times New Roman" w:cs="Times New Roman"/>
                <w:spacing w:val="17"/>
                <w:w w:val="101"/>
              </w:rPr>
              <w:t xml:space="preserve"> </w:t>
            </w:r>
            <w:r>
              <w:rPr>
                <w:spacing w:val="-4"/>
              </w:rPr>
              <w:t>月</w:t>
            </w:r>
            <w:r>
              <w:rPr>
                <w:spacing w:val="-49"/>
              </w:rPr>
              <w:t xml:space="preserve"> </w:t>
            </w:r>
            <w:r>
              <w:rPr>
                <w:rFonts w:ascii="Times New Roman" w:hAnsi="Times New Roman" w:eastAsia="Times New Roman" w:cs="Times New Roman"/>
                <w:spacing w:val="-4"/>
              </w:rPr>
              <w:t xml:space="preserve">5  </w:t>
            </w:r>
            <w:r>
              <w:rPr>
                <w:spacing w:val="-4"/>
              </w:rPr>
              <w:t>日进行现状监</w:t>
            </w:r>
            <w:r>
              <w:rPr>
                <w:spacing w:val="-5"/>
              </w:rPr>
              <w:t>测，</w:t>
            </w:r>
            <w:r>
              <w:rPr>
                <w:spacing w:val="-2"/>
              </w:rPr>
              <w:t>检测报告编号：</w:t>
            </w:r>
            <w:r>
              <w:rPr>
                <w:rFonts w:ascii="Times New Roman" w:hAnsi="Times New Roman" w:eastAsia="Times New Roman" w:cs="Times New Roman"/>
                <w:spacing w:val="-2"/>
              </w:rPr>
              <w:t>AKXZ25028</w:t>
            </w:r>
            <w:r>
              <w:rPr>
                <w:rFonts w:ascii="Times New Roman" w:hAnsi="Times New Roman" w:eastAsia="Times New Roman" w:cs="Times New Roman"/>
                <w:spacing w:val="-19"/>
              </w:rPr>
              <w:t xml:space="preserve"> </w:t>
            </w:r>
            <w:r>
              <w:rPr>
                <w:spacing w:val="-2"/>
              </w:rPr>
              <w:t>，具体数据见下表。</w:t>
            </w:r>
          </w:p>
          <w:p w14:paraId="42173B38">
            <w:pPr>
              <w:spacing w:line="205" w:lineRule="auto"/>
              <w:ind w:left="2604"/>
              <w:rPr>
                <w:rFonts w:ascii="黑体" w:hAnsi="黑体" w:eastAsia="黑体" w:cs="黑体"/>
                <w:sz w:val="24"/>
                <w:szCs w:val="24"/>
              </w:rPr>
            </w:pPr>
            <w:r>
              <w:rPr>
                <w:rFonts w:ascii="黑体" w:hAnsi="黑体" w:eastAsia="黑体" w:cs="黑体"/>
                <w:spacing w:val="-1"/>
                <w:sz w:val="24"/>
                <w:szCs w:val="24"/>
              </w:rPr>
              <w:t>表</w:t>
            </w:r>
            <w:r>
              <w:rPr>
                <w:rFonts w:ascii="Times New Roman" w:hAnsi="Times New Roman" w:eastAsia="Times New Roman" w:cs="Times New Roman"/>
                <w:spacing w:val="-1"/>
                <w:sz w:val="24"/>
                <w:szCs w:val="24"/>
              </w:rPr>
              <w:t xml:space="preserve">3-3  </w:t>
            </w:r>
            <w:r>
              <w:rPr>
                <w:rFonts w:ascii="黑体" w:hAnsi="黑体" w:eastAsia="黑体" w:cs="黑体"/>
                <w:spacing w:val="-1"/>
                <w:sz w:val="24"/>
                <w:szCs w:val="24"/>
              </w:rPr>
              <w:t>环境空气污染物浓度统计</w:t>
            </w:r>
          </w:p>
        </w:tc>
      </w:tr>
      <w:tr w14:paraId="45A71B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466" w:type="dxa"/>
            <w:vMerge w:val="continue"/>
            <w:tcBorders>
              <w:top w:val="nil"/>
              <w:left w:val="single" w:color="000000" w:sz="6" w:space="0"/>
              <w:bottom w:val="nil"/>
            </w:tcBorders>
            <w:vAlign w:val="top"/>
          </w:tcPr>
          <w:p w14:paraId="6FDC557F">
            <w:pPr>
              <w:rPr>
                <w:rFonts w:ascii="Arial"/>
                <w:sz w:val="21"/>
              </w:rPr>
            </w:pPr>
          </w:p>
        </w:tc>
        <w:tc>
          <w:tcPr>
            <w:tcW w:w="1613" w:type="dxa"/>
            <w:gridSpan w:val="2"/>
            <w:tcBorders>
              <w:top w:val="single" w:color="000000" w:sz="10" w:space="0"/>
              <w:bottom w:val="single" w:color="000000" w:sz="4" w:space="0"/>
              <w:right w:val="single" w:color="000000" w:sz="4" w:space="0"/>
            </w:tcBorders>
            <w:vAlign w:val="top"/>
          </w:tcPr>
          <w:p w14:paraId="2F2E3BFD">
            <w:pPr>
              <w:pStyle w:val="6"/>
              <w:spacing w:before="168" w:line="229" w:lineRule="auto"/>
              <w:ind w:left="442"/>
              <w:rPr>
                <w:sz w:val="20"/>
                <w:szCs w:val="20"/>
              </w:rPr>
            </w:pPr>
            <w:r>
              <w:rPr>
                <w:spacing w:val="7"/>
                <w:sz w:val="20"/>
                <w:szCs w:val="20"/>
              </w:rPr>
              <w:t>监测点位</w:t>
            </w:r>
          </w:p>
        </w:tc>
        <w:tc>
          <w:tcPr>
            <w:tcW w:w="1410" w:type="dxa"/>
            <w:tcBorders>
              <w:top w:val="single" w:color="000000" w:sz="10" w:space="0"/>
              <w:left w:val="single" w:color="000000" w:sz="4" w:space="0"/>
              <w:bottom w:val="single" w:color="000000" w:sz="4" w:space="0"/>
              <w:right w:val="single" w:color="000000" w:sz="4" w:space="0"/>
            </w:tcBorders>
            <w:vAlign w:val="top"/>
          </w:tcPr>
          <w:p w14:paraId="72AA0EAD">
            <w:pPr>
              <w:pStyle w:val="6"/>
              <w:spacing w:before="168" w:line="228" w:lineRule="auto"/>
              <w:ind w:left="497"/>
              <w:rPr>
                <w:sz w:val="20"/>
                <w:szCs w:val="20"/>
              </w:rPr>
            </w:pPr>
            <w:r>
              <w:rPr>
                <w:spacing w:val="3"/>
                <w:sz w:val="20"/>
                <w:szCs w:val="20"/>
              </w:rPr>
              <w:t>项目</w:t>
            </w:r>
          </w:p>
        </w:tc>
        <w:tc>
          <w:tcPr>
            <w:tcW w:w="989" w:type="dxa"/>
            <w:gridSpan w:val="2"/>
            <w:tcBorders>
              <w:top w:val="single" w:color="000000" w:sz="10" w:space="0"/>
              <w:left w:val="single" w:color="000000" w:sz="4" w:space="0"/>
              <w:bottom w:val="single" w:color="000000" w:sz="4" w:space="0"/>
              <w:right w:val="single" w:color="000000" w:sz="4" w:space="0"/>
            </w:tcBorders>
            <w:vAlign w:val="top"/>
          </w:tcPr>
          <w:p w14:paraId="46F68AD9">
            <w:pPr>
              <w:pStyle w:val="6"/>
              <w:spacing w:before="168" w:line="228" w:lineRule="auto"/>
              <w:ind w:left="74"/>
              <w:rPr>
                <w:sz w:val="20"/>
                <w:szCs w:val="20"/>
              </w:rPr>
            </w:pPr>
            <w:r>
              <w:rPr>
                <w:spacing w:val="7"/>
                <w:sz w:val="20"/>
                <w:szCs w:val="20"/>
              </w:rPr>
              <w:t>平均时间</w:t>
            </w:r>
          </w:p>
        </w:tc>
        <w:tc>
          <w:tcPr>
            <w:tcW w:w="1331" w:type="dxa"/>
            <w:gridSpan w:val="2"/>
            <w:tcBorders>
              <w:top w:val="single" w:color="000000" w:sz="10" w:space="0"/>
              <w:left w:val="single" w:color="000000" w:sz="4" w:space="0"/>
              <w:bottom w:val="single" w:color="000000" w:sz="4" w:space="0"/>
              <w:right w:val="single" w:color="000000" w:sz="4" w:space="0"/>
            </w:tcBorders>
            <w:vAlign w:val="top"/>
          </w:tcPr>
          <w:p w14:paraId="7F2B0F7C">
            <w:pPr>
              <w:pStyle w:val="6"/>
              <w:spacing w:before="33" w:line="230" w:lineRule="auto"/>
              <w:ind w:left="190" w:right="189" w:firstLine="57"/>
              <w:rPr>
                <w:sz w:val="20"/>
                <w:szCs w:val="20"/>
              </w:rPr>
            </w:pPr>
            <w:r>
              <w:rPr>
                <w:spacing w:val="7"/>
                <w:sz w:val="20"/>
                <w:szCs w:val="20"/>
              </w:rPr>
              <w:t>浓度范围</w:t>
            </w:r>
            <w:r>
              <w:rPr>
                <w:spacing w:val="1"/>
                <w:sz w:val="20"/>
                <w:szCs w:val="20"/>
              </w:rPr>
              <w:t>（</w:t>
            </w:r>
            <w:r>
              <w:rPr>
                <w:rFonts w:ascii="Times New Roman" w:hAnsi="Times New Roman" w:eastAsia="Times New Roman" w:cs="Times New Roman"/>
                <w:sz w:val="20"/>
                <w:szCs w:val="20"/>
              </w:rPr>
              <w:t>mg</w:t>
            </w:r>
            <w:r>
              <w:rPr>
                <w:rFonts w:ascii="Times New Roman" w:hAnsi="Times New Roman" w:eastAsia="Times New Roman" w:cs="Times New Roman"/>
                <w:spacing w:val="1"/>
                <w:sz w:val="20"/>
                <w:szCs w:val="20"/>
              </w:rPr>
              <w:t>/m</w:t>
            </w:r>
            <w:r>
              <w:rPr>
                <w:rFonts w:ascii="Times New Roman" w:hAnsi="Times New Roman" w:eastAsia="Times New Roman" w:cs="Times New Roman"/>
                <w:spacing w:val="1"/>
                <w:sz w:val="13"/>
                <w:szCs w:val="13"/>
              </w:rPr>
              <w:t>3</w:t>
            </w:r>
            <w:r>
              <w:rPr>
                <w:spacing w:val="1"/>
                <w:sz w:val="20"/>
                <w:szCs w:val="20"/>
              </w:rPr>
              <w:t>）</w:t>
            </w:r>
          </w:p>
        </w:tc>
        <w:tc>
          <w:tcPr>
            <w:tcW w:w="1083" w:type="dxa"/>
            <w:tcBorders>
              <w:top w:val="single" w:color="000000" w:sz="10" w:space="0"/>
              <w:left w:val="single" w:color="000000" w:sz="4" w:space="0"/>
              <w:bottom w:val="single" w:color="000000" w:sz="4" w:space="0"/>
              <w:right w:val="single" w:color="000000" w:sz="4" w:space="0"/>
            </w:tcBorders>
            <w:vAlign w:val="top"/>
          </w:tcPr>
          <w:p w14:paraId="795CD9D9">
            <w:pPr>
              <w:pStyle w:val="6"/>
              <w:spacing w:before="33" w:line="230" w:lineRule="auto"/>
              <w:ind w:left="67" w:right="65" w:firstLine="165"/>
              <w:rPr>
                <w:sz w:val="20"/>
                <w:szCs w:val="20"/>
              </w:rPr>
            </w:pPr>
            <w:r>
              <w:rPr>
                <w:spacing w:val="6"/>
                <w:sz w:val="20"/>
                <w:szCs w:val="20"/>
              </w:rPr>
              <w:t>标准值</w:t>
            </w:r>
            <w:r>
              <w:rPr>
                <w:spacing w:val="1"/>
                <w:sz w:val="20"/>
                <w:szCs w:val="20"/>
              </w:rPr>
              <w:t>（</w:t>
            </w:r>
            <w:r>
              <w:rPr>
                <w:rFonts w:ascii="Times New Roman" w:hAnsi="Times New Roman" w:eastAsia="Times New Roman" w:cs="Times New Roman"/>
                <w:sz w:val="20"/>
                <w:szCs w:val="20"/>
              </w:rPr>
              <w:t>mg</w:t>
            </w:r>
            <w:r>
              <w:rPr>
                <w:rFonts w:ascii="Times New Roman" w:hAnsi="Times New Roman" w:eastAsia="Times New Roman" w:cs="Times New Roman"/>
                <w:spacing w:val="1"/>
                <w:sz w:val="20"/>
                <w:szCs w:val="20"/>
              </w:rPr>
              <w:t>/m</w:t>
            </w:r>
            <w:r>
              <w:rPr>
                <w:rFonts w:ascii="Times New Roman" w:hAnsi="Times New Roman" w:eastAsia="Times New Roman" w:cs="Times New Roman"/>
                <w:spacing w:val="1"/>
                <w:sz w:val="13"/>
                <w:szCs w:val="13"/>
              </w:rPr>
              <w:t>3</w:t>
            </w:r>
            <w:r>
              <w:rPr>
                <w:spacing w:val="1"/>
                <w:sz w:val="20"/>
                <w:szCs w:val="20"/>
              </w:rPr>
              <w:t>）</w:t>
            </w:r>
          </w:p>
        </w:tc>
        <w:tc>
          <w:tcPr>
            <w:tcW w:w="1113" w:type="dxa"/>
            <w:gridSpan w:val="2"/>
            <w:tcBorders>
              <w:top w:val="single" w:color="000000" w:sz="10" w:space="0"/>
              <w:left w:val="single" w:color="000000" w:sz="4" w:space="0"/>
              <w:bottom w:val="single" w:color="000000" w:sz="4" w:space="0"/>
              <w:right w:val="single" w:color="000000" w:sz="4" w:space="0"/>
            </w:tcBorders>
            <w:vAlign w:val="top"/>
          </w:tcPr>
          <w:p w14:paraId="4DB73170">
            <w:pPr>
              <w:pStyle w:val="6"/>
              <w:spacing w:before="33" w:line="230" w:lineRule="auto"/>
              <w:ind w:left="277" w:right="128" w:hanging="133"/>
              <w:rPr>
                <w:sz w:val="20"/>
                <w:szCs w:val="20"/>
              </w:rPr>
            </w:pPr>
            <w:r>
              <w:rPr>
                <w:spacing w:val="7"/>
                <w:sz w:val="20"/>
                <w:szCs w:val="20"/>
              </w:rPr>
              <w:t>评价指数</w:t>
            </w:r>
            <w:r>
              <w:rPr>
                <w:spacing w:val="-1"/>
                <w:sz w:val="20"/>
                <w:szCs w:val="20"/>
              </w:rPr>
              <w:t>（</w:t>
            </w:r>
            <w:r>
              <w:rPr>
                <w:rFonts w:ascii="Times New Roman" w:hAnsi="Times New Roman" w:eastAsia="Times New Roman" w:cs="Times New Roman"/>
                <w:spacing w:val="-1"/>
                <w:sz w:val="20"/>
                <w:szCs w:val="20"/>
              </w:rPr>
              <w:t>%</w:t>
            </w:r>
            <w:r>
              <w:rPr>
                <w:spacing w:val="-1"/>
                <w:sz w:val="20"/>
                <w:szCs w:val="20"/>
              </w:rPr>
              <w:t>）</w:t>
            </w:r>
          </w:p>
        </w:tc>
        <w:tc>
          <w:tcPr>
            <w:tcW w:w="978" w:type="dxa"/>
            <w:gridSpan w:val="2"/>
            <w:tcBorders>
              <w:top w:val="single" w:color="000000" w:sz="10" w:space="0"/>
              <w:left w:val="single" w:color="000000" w:sz="4" w:space="0"/>
              <w:bottom w:val="single" w:color="000000" w:sz="4" w:space="0"/>
              <w:right w:val="single" w:color="000000" w:sz="6" w:space="0"/>
            </w:tcBorders>
            <w:vAlign w:val="top"/>
          </w:tcPr>
          <w:p w14:paraId="3FFCBB92">
            <w:pPr>
              <w:pStyle w:val="6"/>
              <w:spacing w:before="33" w:line="230" w:lineRule="auto"/>
              <w:ind w:left="336" w:right="220" w:hanging="213"/>
              <w:rPr>
                <w:sz w:val="20"/>
                <w:szCs w:val="20"/>
              </w:rPr>
            </w:pPr>
            <w:r>
              <w:rPr>
                <w:spacing w:val="7"/>
                <w:sz w:val="20"/>
                <w:szCs w:val="20"/>
              </w:rPr>
              <w:t>达标情</w:t>
            </w:r>
            <w:r>
              <w:rPr>
                <w:sz w:val="20"/>
                <w:szCs w:val="20"/>
              </w:rPr>
              <w:t>况</w:t>
            </w:r>
          </w:p>
        </w:tc>
      </w:tr>
      <w:tr w14:paraId="517A17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466" w:type="dxa"/>
            <w:vMerge w:val="continue"/>
            <w:tcBorders>
              <w:top w:val="nil"/>
              <w:left w:val="single" w:color="000000" w:sz="6" w:space="0"/>
              <w:bottom w:val="nil"/>
            </w:tcBorders>
            <w:vAlign w:val="top"/>
          </w:tcPr>
          <w:p w14:paraId="465139EA">
            <w:pPr>
              <w:rPr>
                <w:rFonts w:ascii="Arial"/>
                <w:sz w:val="21"/>
              </w:rPr>
            </w:pPr>
          </w:p>
        </w:tc>
        <w:tc>
          <w:tcPr>
            <w:tcW w:w="1613" w:type="dxa"/>
            <w:gridSpan w:val="2"/>
            <w:vMerge w:val="restart"/>
            <w:tcBorders>
              <w:top w:val="single" w:color="000000" w:sz="4" w:space="0"/>
              <w:bottom w:val="nil"/>
              <w:right w:val="single" w:color="000000" w:sz="4" w:space="0"/>
            </w:tcBorders>
            <w:vAlign w:val="top"/>
          </w:tcPr>
          <w:p w14:paraId="1F0171D1">
            <w:pPr>
              <w:spacing w:line="300" w:lineRule="auto"/>
              <w:rPr>
                <w:rFonts w:ascii="Arial"/>
                <w:sz w:val="21"/>
              </w:rPr>
            </w:pPr>
          </w:p>
          <w:p w14:paraId="462874B4">
            <w:pPr>
              <w:pStyle w:val="6"/>
              <w:spacing w:before="65" w:line="228" w:lineRule="auto"/>
              <w:ind w:left="261"/>
              <w:rPr>
                <w:sz w:val="20"/>
                <w:szCs w:val="20"/>
              </w:rPr>
            </w:pPr>
            <w:r>
              <w:rPr>
                <w:spacing w:val="3"/>
                <w:sz w:val="20"/>
                <w:szCs w:val="20"/>
              </w:rPr>
              <w:t>扎格</w:t>
            </w:r>
            <w:r>
              <w:rPr>
                <w:spacing w:val="-36"/>
                <w:sz w:val="20"/>
                <w:szCs w:val="20"/>
              </w:rPr>
              <w:t xml:space="preserve"> </w:t>
            </w:r>
            <w:r>
              <w:rPr>
                <w:rFonts w:ascii="Times New Roman" w:hAnsi="Times New Roman" w:eastAsia="Times New Roman" w:cs="Times New Roman"/>
                <w:spacing w:val="3"/>
                <w:sz w:val="20"/>
                <w:szCs w:val="20"/>
              </w:rPr>
              <w:t>9X</w:t>
            </w:r>
            <w:r>
              <w:rPr>
                <w:rFonts w:ascii="Times New Roman" w:hAnsi="Times New Roman" w:eastAsia="Times New Roman" w:cs="Times New Roman"/>
                <w:spacing w:val="12"/>
                <w:sz w:val="20"/>
                <w:szCs w:val="20"/>
              </w:rPr>
              <w:t xml:space="preserve"> </w:t>
            </w:r>
            <w:r>
              <w:rPr>
                <w:spacing w:val="3"/>
                <w:sz w:val="20"/>
                <w:szCs w:val="20"/>
              </w:rPr>
              <w:t>井场</w:t>
            </w:r>
          </w:p>
        </w:tc>
        <w:tc>
          <w:tcPr>
            <w:tcW w:w="1410" w:type="dxa"/>
            <w:tcBorders>
              <w:top w:val="single" w:color="000000" w:sz="4" w:space="0"/>
              <w:left w:val="single" w:color="000000" w:sz="4" w:space="0"/>
              <w:bottom w:val="single" w:color="000000" w:sz="4" w:space="0"/>
              <w:right w:val="single" w:color="000000" w:sz="4" w:space="0"/>
            </w:tcBorders>
            <w:vAlign w:val="top"/>
          </w:tcPr>
          <w:p w14:paraId="608B3460">
            <w:pPr>
              <w:pStyle w:val="6"/>
              <w:spacing w:before="132" w:line="228" w:lineRule="auto"/>
              <w:ind w:left="183"/>
              <w:rPr>
                <w:sz w:val="20"/>
                <w:szCs w:val="20"/>
              </w:rPr>
            </w:pPr>
            <w:r>
              <w:rPr>
                <w:spacing w:val="7"/>
                <w:sz w:val="20"/>
                <w:szCs w:val="20"/>
              </w:rPr>
              <w:t>非甲烷总烃</w:t>
            </w:r>
          </w:p>
        </w:tc>
        <w:tc>
          <w:tcPr>
            <w:tcW w:w="989" w:type="dxa"/>
            <w:gridSpan w:val="2"/>
            <w:tcBorders>
              <w:top w:val="single" w:color="000000" w:sz="4" w:space="0"/>
              <w:left w:val="single" w:color="000000" w:sz="4" w:space="0"/>
              <w:bottom w:val="single" w:color="000000" w:sz="4" w:space="0"/>
              <w:right w:val="single" w:color="000000" w:sz="4" w:space="0"/>
            </w:tcBorders>
            <w:vAlign w:val="top"/>
          </w:tcPr>
          <w:p w14:paraId="0D7CC66F">
            <w:pPr>
              <w:pStyle w:val="6"/>
              <w:spacing w:before="132" w:line="230" w:lineRule="auto"/>
              <w:ind w:left="223"/>
              <w:rPr>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16"/>
                <w:sz w:val="20"/>
                <w:szCs w:val="20"/>
              </w:rPr>
              <w:t xml:space="preserve"> </w:t>
            </w:r>
            <w:r>
              <w:rPr>
                <w:spacing w:val="-6"/>
                <w:sz w:val="20"/>
                <w:szCs w:val="20"/>
              </w:rPr>
              <w:t>小时</w:t>
            </w:r>
          </w:p>
        </w:tc>
        <w:tc>
          <w:tcPr>
            <w:tcW w:w="1331" w:type="dxa"/>
            <w:gridSpan w:val="2"/>
            <w:tcBorders>
              <w:top w:val="single" w:color="000000" w:sz="4" w:space="0"/>
              <w:left w:val="single" w:color="000000" w:sz="4" w:space="0"/>
              <w:bottom w:val="single" w:color="000000" w:sz="4" w:space="0"/>
              <w:right w:val="single" w:color="000000" w:sz="4" w:space="0"/>
            </w:tcBorders>
            <w:vAlign w:val="top"/>
          </w:tcPr>
          <w:p w14:paraId="11A76740">
            <w:pPr>
              <w:spacing w:before="168"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0.42~0.58</w:t>
            </w:r>
          </w:p>
        </w:tc>
        <w:tc>
          <w:tcPr>
            <w:tcW w:w="1083" w:type="dxa"/>
            <w:tcBorders>
              <w:top w:val="single" w:color="000000" w:sz="4" w:space="0"/>
              <w:left w:val="single" w:color="000000" w:sz="4" w:space="0"/>
              <w:bottom w:val="single" w:color="000000" w:sz="4" w:space="0"/>
              <w:right w:val="single" w:color="000000" w:sz="4" w:space="0"/>
            </w:tcBorders>
            <w:vAlign w:val="top"/>
          </w:tcPr>
          <w:p w14:paraId="1EA8D319">
            <w:pPr>
              <w:spacing w:before="168" w:line="195" w:lineRule="auto"/>
              <w:ind w:left="41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113" w:type="dxa"/>
            <w:gridSpan w:val="2"/>
            <w:tcBorders>
              <w:top w:val="single" w:color="000000" w:sz="4" w:space="0"/>
              <w:left w:val="single" w:color="000000" w:sz="4" w:space="0"/>
              <w:bottom w:val="single" w:color="000000" w:sz="4" w:space="0"/>
              <w:right w:val="single" w:color="000000" w:sz="4" w:space="0"/>
            </w:tcBorders>
            <w:vAlign w:val="top"/>
          </w:tcPr>
          <w:p w14:paraId="10FC5BCE">
            <w:pPr>
              <w:spacing w:before="168" w:line="195" w:lineRule="auto"/>
              <w:ind w:left="1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21.0~29.0</w:t>
            </w:r>
          </w:p>
        </w:tc>
        <w:tc>
          <w:tcPr>
            <w:tcW w:w="978" w:type="dxa"/>
            <w:gridSpan w:val="2"/>
            <w:tcBorders>
              <w:top w:val="single" w:color="000000" w:sz="4" w:space="0"/>
              <w:left w:val="single" w:color="000000" w:sz="4" w:space="0"/>
              <w:bottom w:val="single" w:color="000000" w:sz="4" w:space="0"/>
              <w:right w:val="single" w:color="000000" w:sz="6" w:space="0"/>
            </w:tcBorders>
            <w:vAlign w:val="top"/>
          </w:tcPr>
          <w:p w14:paraId="5FE2E05F">
            <w:pPr>
              <w:pStyle w:val="6"/>
              <w:spacing w:before="132" w:line="228" w:lineRule="auto"/>
              <w:ind w:left="229"/>
              <w:rPr>
                <w:sz w:val="20"/>
                <w:szCs w:val="20"/>
              </w:rPr>
            </w:pPr>
            <w:r>
              <w:rPr>
                <w:spacing w:val="5"/>
                <w:sz w:val="20"/>
                <w:szCs w:val="20"/>
              </w:rPr>
              <w:t>达标</w:t>
            </w:r>
          </w:p>
        </w:tc>
      </w:tr>
      <w:tr w14:paraId="0A3654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466" w:type="dxa"/>
            <w:vMerge w:val="continue"/>
            <w:tcBorders>
              <w:top w:val="nil"/>
              <w:left w:val="single" w:color="000000" w:sz="6" w:space="0"/>
              <w:bottom w:val="nil"/>
            </w:tcBorders>
            <w:vAlign w:val="top"/>
          </w:tcPr>
          <w:p w14:paraId="13CB9387">
            <w:pPr>
              <w:rPr>
                <w:rFonts w:ascii="Arial"/>
                <w:sz w:val="21"/>
              </w:rPr>
            </w:pPr>
          </w:p>
        </w:tc>
        <w:tc>
          <w:tcPr>
            <w:tcW w:w="1613" w:type="dxa"/>
            <w:gridSpan w:val="2"/>
            <w:vMerge w:val="continue"/>
            <w:tcBorders>
              <w:top w:val="nil"/>
              <w:bottom w:val="single" w:color="000000" w:sz="10" w:space="0"/>
              <w:right w:val="single" w:color="000000" w:sz="4" w:space="0"/>
            </w:tcBorders>
            <w:vAlign w:val="top"/>
          </w:tcPr>
          <w:p w14:paraId="1546B74A">
            <w:pPr>
              <w:rPr>
                <w:rFonts w:ascii="Arial"/>
                <w:sz w:val="21"/>
              </w:rPr>
            </w:pPr>
          </w:p>
        </w:tc>
        <w:tc>
          <w:tcPr>
            <w:tcW w:w="1410" w:type="dxa"/>
            <w:tcBorders>
              <w:top w:val="single" w:color="000000" w:sz="4" w:space="0"/>
              <w:left w:val="single" w:color="000000" w:sz="4" w:space="0"/>
              <w:bottom w:val="single" w:color="000000" w:sz="10" w:space="0"/>
              <w:right w:val="single" w:color="000000" w:sz="4" w:space="0"/>
            </w:tcBorders>
            <w:vAlign w:val="top"/>
          </w:tcPr>
          <w:p w14:paraId="20EC6AB0">
            <w:pPr>
              <w:spacing w:before="168" w:line="195" w:lineRule="auto"/>
              <w:ind w:left="5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TSP</w:t>
            </w:r>
          </w:p>
        </w:tc>
        <w:tc>
          <w:tcPr>
            <w:tcW w:w="989" w:type="dxa"/>
            <w:gridSpan w:val="2"/>
            <w:tcBorders>
              <w:top w:val="single" w:color="000000" w:sz="4" w:space="0"/>
              <w:left w:val="single" w:color="000000" w:sz="4" w:space="0"/>
              <w:bottom w:val="single" w:color="000000" w:sz="10" w:space="0"/>
              <w:right w:val="single" w:color="000000" w:sz="4" w:space="0"/>
            </w:tcBorders>
            <w:vAlign w:val="top"/>
          </w:tcPr>
          <w:p w14:paraId="25394534">
            <w:pPr>
              <w:pStyle w:val="6"/>
              <w:spacing w:before="132" w:line="230" w:lineRule="auto"/>
              <w:ind w:left="150"/>
              <w:rPr>
                <w:sz w:val="20"/>
                <w:szCs w:val="20"/>
              </w:rPr>
            </w:pPr>
            <w:r>
              <w:rPr>
                <w:rFonts w:ascii="Times New Roman" w:hAnsi="Times New Roman" w:eastAsia="Times New Roman" w:cs="Times New Roman"/>
                <w:spacing w:val="2"/>
                <w:sz w:val="20"/>
                <w:szCs w:val="20"/>
              </w:rPr>
              <w:t>24</w:t>
            </w:r>
            <w:r>
              <w:rPr>
                <w:rFonts w:ascii="Times New Roman" w:hAnsi="Times New Roman" w:eastAsia="Times New Roman" w:cs="Times New Roman"/>
                <w:spacing w:val="16"/>
                <w:sz w:val="20"/>
                <w:szCs w:val="20"/>
              </w:rPr>
              <w:t xml:space="preserve"> </w:t>
            </w:r>
            <w:r>
              <w:rPr>
                <w:spacing w:val="2"/>
                <w:sz w:val="20"/>
                <w:szCs w:val="20"/>
              </w:rPr>
              <w:t>小时</w:t>
            </w:r>
          </w:p>
        </w:tc>
        <w:tc>
          <w:tcPr>
            <w:tcW w:w="1331" w:type="dxa"/>
            <w:gridSpan w:val="2"/>
            <w:tcBorders>
              <w:top w:val="single" w:color="000000" w:sz="4" w:space="0"/>
              <w:left w:val="single" w:color="000000" w:sz="4" w:space="0"/>
              <w:bottom w:val="single" w:color="000000" w:sz="10" w:space="0"/>
              <w:right w:val="single" w:color="000000" w:sz="4" w:space="0"/>
            </w:tcBorders>
            <w:vAlign w:val="top"/>
          </w:tcPr>
          <w:p w14:paraId="4D7B18FD">
            <w:pPr>
              <w:spacing w:before="168" w:line="195" w:lineRule="auto"/>
              <w:ind w:left="1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0.071~0.108</w:t>
            </w:r>
          </w:p>
        </w:tc>
        <w:tc>
          <w:tcPr>
            <w:tcW w:w="1083" w:type="dxa"/>
            <w:tcBorders>
              <w:top w:val="single" w:color="000000" w:sz="4" w:space="0"/>
              <w:left w:val="single" w:color="000000" w:sz="4" w:space="0"/>
              <w:bottom w:val="single" w:color="000000" w:sz="10" w:space="0"/>
              <w:right w:val="single" w:color="000000" w:sz="4" w:space="0"/>
            </w:tcBorders>
            <w:vAlign w:val="top"/>
          </w:tcPr>
          <w:p w14:paraId="2802A150">
            <w:pPr>
              <w:spacing w:before="168" w:line="195" w:lineRule="auto"/>
              <w:ind w:left="4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w:t>
            </w:r>
          </w:p>
        </w:tc>
        <w:tc>
          <w:tcPr>
            <w:tcW w:w="1113" w:type="dxa"/>
            <w:gridSpan w:val="2"/>
            <w:tcBorders>
              <w:top w:val="single" w:color="000000" w:sz="4" w:space="0"/>
              <w:left w:val="single" w:color="000000" w:sz="4" w:space="0"/>
              <w:bottom w:val="single" w:color="000000" w:sz="10" w:space="0"/>
              <w:right w:val="single" w:color="000000" w:sz="4" w:space="0"/>
            </w:tcBorders>
            <w:vAlign w:val="top"/>
          </w:tcPr>
          <w:p w14:paraId="11565257">
            <w:pPr>
              <w:spacing w:before="168" w:line="195" w:lineRule="auto"/>
              <w:ind w:left="1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23.7~36.0</w:t>
            </w:r>
          </w:p>
        </w:tc>
        <w:tc>
          <w:tcPr>
            <w:tcW w:w="978" w:type="dxa"/>
            <w:gridSpan w:val="2"/>
            <w:tcBorders>
              <w:top w:val="single" w:color="000000" w:sz="4" w:space="0"/>
              <w:left w:val="single" w:color="000000" w:sz="4" w:space="0"/>
              <w:bottom w:val="single" w:color="000000" w:sz="10" w:space="0"/>
              <w:right w:val="single" w:color="000000" w:sz="6" w:space="0"/>
            </w:tcBorders>
            <w:vAlign w:val="top"/>
          </w:tcPr>
          <w:p w14:paraId="5310761E">
            <w:pPr>
              <w:pStyle w:val="6"/>
              <w:spacing w:before="132" w:line="228" w:lineRule="auto"/>
              <w:ind w:left="229"/>
              <w:rPr>
                <w:sz w:val="20"/>
                <w:szCs w:val="20"/>
              </w:rPr>
            </w:pPr>
            <w:r>
              <w:rPr>
                <w:spacing w:val="5"/>
                <w:sz w:val="20"/>
                <w:szCs w:val="20"/>
              </w:rPr>
              <w:t>达标</w:t>
            </w:r>
          </w:p>
        </w:tc>
      </w:tr>
      <w:tr w14:paraId="76D304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466" w:type="dxa"/>
            <w:vMerge w:val="continue"/>
            <w:tcBorders>
              <w:top w:val="nil"/>
              <w:left w:val="single" w:color="000000" w:sz="6" w:space="0"/>
              <w:bottom w:val="single" w:color="000000" w:sz="6" w:space="0"/>
            </w:tcBorders>
            <w:vAlign w:val="top"/>
          </w:tcPr>
          <w:p w14:paraId="47A9D722">
            <w:pPr>
              <w:rPr>
                <w:rFonts w:ascii="Arial"/>
                <w:sz w:val="21"/>
              </w:rPr>
            </w:pPr>
          </w:p>
        </w:tc>
        <w:tc>
          <w:tcPr>
            <w:tcW w:w="8517" w:type="dxa"/>
            <w:gridSpan w:val="12"/>
            <w:tcBorders>
              <w:top w:val="single" w:color="000000" w:sz="10" w:space="0"/>
              <w:bottom w:val="single" w:color="000000" w:sz="6" w:space="0"/>
              <w:right w:val="single" w:color="000000" w:sz="6" w:space="0"/>
            </w:tcBorders>
            <w:vAlign w:val="top"/>
          </w:tcPr>
          <w:p w14:paraId="17F4AF0D">
            <w:pPr>
              <w:pStyle w:val="6"/>
              <w:spacing w:before="39" w:line="343" w:lineRule="auto"/>
              <w:ind w:left="108" w:right="103" w:firstLine="479"/>
            </w:pPr>
            <w:r>
              <w:rPr>
                <w:spacing w:val="-3"/>
              </w:rPr>
              <w:t>本项目非甲烷总烃参照执行《大气污染物综合排放标准详解》</w:t>
            </w:r>
            <w:r>
              <w:rPr>
                <w:spacing w:val="-4"/>
              </w:rPr>
              <w:t>中要求，由以</w:t>
            </w:r>
            <w:r>
              <w:rPr>
                <w:spacing w:val="-3"/>
              </w:rPr>
              <w:t>上监测结果可以得出，区域非甲烷总烃小时浓度符合《大气污染物综合排放标准</w:t>
            </w:r>
          </w:p>
        </w:tc>
      </w:tr>
    </w:tbl>
    <w:p w14:paraId="0CB6B75D">
      <w:pPr>
        <w:spacing w:line="178" w:lineRule="exact"/>
        <w:rPr>
          <w:rFonts w:ascii="Arial"/>
          <w:sz w:val="15"/>
        </w:rPr>
      </w:pPr>
    </w:p>
    <w:p w14:paraId="2D3D1389">
      <w:pPr>
        <w:spacing w:line="178" w:lineRule="exact"/>
        <w:rPr>
          <w:rFonts w:ascii="Arial" w:hAnsi="Arial" w:eastAsia="Arial" w:cs="Arial"/>
          <w:sz w:val="15"/>
          <w:szCs w:val="15"/>
        </w:rPr>
        <w:sectPr>
          <w:footerReference r:id="rId57" w:type="default"/>
          <w:pgSz w:w="11906" w:h="16839"/>
          <w:pgMar w:top="400" w:right="1369" w:bottom="1240" w:left="1538" w:header="0" w:footer="1078" w:gutter="0"/>
          <w:cols w:space="720" w:num="1"/>
        </w:sectPr>
      </w:pPr>
    </w:p>
    <w:p w14:paraId="3DDD1B0E">
      <w:pPr>
        <w:spacing w:before="56"/>
      </w:pPr>
    </w:p>
    <w:p w14:paraId="5CDDAD1F">
      <w:pPr>
        <w:spacing w:before="56"/>
      </w:pPr>
    </w:p>
    <w:p w14:paraId="5A74C0CF">
      <w:pPr>
        <w:spacing w:before="55"/>
      </w:pPr>
    </w:p>
    <w:p w14:paraId="10322625">
      <w:pPr>
        <w:spacing w:before="55"/>
      </w:pPr>
    </w:p>
    <w:tbl>
      <w:tblPr>
        <w:tblStyle w:val="5"/>
        <w:tblW w:w="898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6"/>
        <w:gridCol w:w="8517"/>
      </w:tblGrid>
      <w:tr w14:paraId="48F890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7" w:hRule="atLeast"/>
        </w:trPr>
        <w:tc>
          <w:tcPr>
            <w:tcW w:w="466" w:type="dxa"/>
            <w:tcBorders>
              <w:top w:val="single" w:color="000000" w:sz="6" w:space="0"/>
              <w:left w:val="single" w:color="000000" w:sz="6" w:space="0"/>
            </w:tcBorders>
            <w:vAlign w:val="top"/>
          </w:tcPr>
          <w:p w14:paraId="175DFD8D">
            <w:pPr>
              <w:rPr>
                <w:rFonts w:ascii="Arial"/>
                <w:sz w:val="21"/>
              </w:rPr>
            </w:pPr>
          </w:p>
        </w:tc>
        <w:tc>
          <w:tcPr>
            <w:tcW w:w="8517" w:type="dxa"/>
            <w:tcBorders>
              <w:top w:val="single" w:color="000000" w:sz="6" w:space="0"/>
              <w:right w:val="single" w:color="000000" w:sz="6" w:space="0"/>
            </w:tcBorders>
            <w:vAlign w:val="top"/>
          </w:tcPr>
          <w:p w14:paraId="4442EF13">
            <w:pPr>
              <w:pStyle w:val="6"/>
              <w:spacing w:before="40" w:line="219" w:lineRule="auto"/>
              <w:ind w:left="109"/>
            </w:pPr>
            <w:r>
              <w:rPr>
                <w:spacing w:val="-1"/>
              </w:rPr>
              <w:t>详解》中要求；</w:t>
            </w:r>
            <w:r>
              <w:rPr>
                <w:rFonts w:ascii="Times New Roman" w:hAnsi="Times New Roman" w:eastAsia="Times New Roman" w:cs="Times New Roman"/>
                <w:spacing w:val="-1"/>
              </w:rPr>
              <w:t>TSP24</w:t>
            </w:r>
            <w:r>
              <w:rPr>
                <w:rFonts w:ascii="Times New Roman" w:hAnsi="Times New Roman" w:eastAsia="Times New Roman" w:cs="Times New Roman"/>
                <w:spacing w:val="16"/>
                <w:w w:val="101"/>
              </w:rPr>
              <w:t xml:space="preserve"> </w:t>
            </w:r>
            <w:r>
              <w:rPr>
                <w:spacing w:val="-1"/>
              </w:rPr>
              <w:t>小时浓度符合《环境空气质量标准》（</w:t>
            </w:r>
            <w:r>
              <w:rPr>
                <w:rFonts w:ascii="Times New Roman" w:hAnsi="Times New Roman" w:eastAsia="Times New Roman" w:cs="Times New Roman"/>
                <w:spacing w:val="-1"/>
              </w:rPr>
              <w:t>GB3095-2026</w:t>
            </w:r>
            <w:r>
              <w:rPr>
                <w:spacing w:val="-1"/>
              </w:rPr>
              <w:t>）表</w:t>
            </w:r>
          </w:p>
          <w:p w14:paraId="03FC2106">
            <w:pPr>
              <w:pStyle w:val="6"/>
              <w:spacing w:before="183" w:line="219" w:lineRule="auto"/>
              <w:ind w:left="102"/>
            </w:pPr>
            <w:r>
              <w:rPr>
                <w:rFonts w:ascii="Times New Roman" w:hAnsi="Times New Roman" w:eastAsia="Times New Roman" w:cs="Times New Roman"/>
              </w:rPr>
              <w:t xml:space="preserve">2 </w:t>
            </w:r>
            <w:r>
              <w:t>环境空气污染物其他项目浓度限值中的日平均</w:t>
            </w:r>
            <w:r>
              <w:rPr>
                <w:spacing w:val="-1"/>
              </w:rPr>
              <w:t>二级浓度限值。</w:t>
            </w:r>
          </w:p>
          <w:p w14:paraId="1643E18D">
            <w:pPr>
              <w:pStyle w:val="6"/>
              <w:spacing w:before="180" w:line="219" w:lineRule="auto"/>
              <w:ind w:left="583"/>
            </w:pPr>
            <w:r>
              <w:rPr>
                <w:rFonts w:ascii="Times New Roman" w:hAnsi="Times New Roman" w:eastAsia="Times New Roman" w:cs="Times New Roman"/>
                <w:b/>
                <w:bCs/>
                <w:spacing w:val="-6"/>
              </w:rPr>
              <w:t>4</w:t>
            </w:r>
            <w:r>
              <w:rPr>
                <w:rFonts w:ascii="Times New Roman" w:hAnsi="Times New Roman" w:eastAsia="Times New Roman" w:cs="Times New Roman"/>
                <w:b/>
                <w:bCs/>
                <w:spacing w:val="-26"/>
              </w:rPr>
              <w:t xml:space="preserve"> </w:t>
            </w:r>
            <w:r>
              <w:rPr>
                <w:b/>
                <w:bCs/>
                <w:spacing w:val="-6"/>
              </w:rPr>
              <w:t>、声环境质量现状</w:t>
            </w:r>
          </w:p>
          <w:p w14:paraId="6DF54CEA">
            <w:pPr>
              <w:pStyle w:val="6"/>
              <w:spacing w:before="183" w:line="359" w:lineRule="auto"/>
              <w:ind w:left="110" w:right="103" w:firstLine="476"/>
            </w:pPr>
            <w:r>
              <w:rPr>
                <w:spacing w:val="-4"/>
              </w:rPr>
              <w:t>根据现场踏勘，扎格</w:t>
            </w:r>
            <w:r>
              <w:rPr>
                <w:spacing w:val="-51"/>
              </w:rPr>
              <w:t xml:space="preserve"> </w:t>
            </w:r>
            <w:r>
              <w:rPr>
                <w:rFonts w:ascii="Times New Roman" w:hAnsi="Times New Roman" w:eastAsia="Times New Roman" w:cs="Times New Roman"/>
                <w:spacing w:val="-4"/>
              </w:rPr>
              <w:t xml:space="preserve">9X </w:t>
            </w:r>
            <w:r>
              <w:rPr>
                <w:spacing w:val="-4"/>
              </w:rPr>
              <w:t>井场场界</w:t>
            </w:r>
            <w:r>
              <w:rPr>
                <w:spacing w:val="-49"/>
              </w:rPr>
              <w:t xml:space="preserve"> </w:t>
            </w:r>
            <w:r>
              <w:rPr>
                <w:rFonts w:ascii="Times New Roman" w:hAnsi="Times New Roman" w:eastAsia="Times New Roman" w:cs="Times New Roman"/>
                <w:spacing w:val="-4"/>
              </w:rPr>
              <w:t>50m</w:t>
            </w:r>
            <w:r>
              <w:rPr>
                <w:rFonts w:ascii="Times New Roman" w:hAnsi="Times New Roman" w:eastAsia="Times New Roman" w:cs="Times New Roman"/>
                <w:spacing w:val="16"/>
              </w:rPr>
              <w:t xml:space="preserve"> </w:t>
            </w:r>
            <w:r>
              <w:rPr>
                <w:spacing w:val="-4"/>
              </w:rPr>
              <w:t>范围内无声环境保护目标，依据《建</w:t>
            </w:r>
            <w:r>
              <w:t>设项目环境影响报告表编制技术指南（试行</w:t>
            </w:r>
            <w:r>
              <w:rPr>
                <w:spacing w:val="-1"/>
              </w:rPr>
              <w:t>）》，无需进行声环境现状监测。</w:t>
            </w:r>
          </w:p>
          <w:p w14:paraId="140E3270">
            <w:pPr>
              <w:pStyle w:val="6"/>
              <w:spacing w:line="219" w:lineRule="auto"/>
              <w:ind w:left="585"/>
            </w:pPr>
            <w:r>
              <w:rPr>
                <w:rFonts w:ascii="Times New Roman" w:hAnsi="Times New Roman" w:eastAsia="Times New Roman" w:cs="Times New Roman"/>
                <w:b/>
                <w:bCs/>
                <w:spacing w:val="-4"/>
              </w:rPr>
              <w:t>5</w:t>
            </w:r>
            <w:r>
              <w:rPr>
                <w:rFonts w:ascii="Times New Roman" w:hAnsi="Times New Roman" w:eastAsia="Times New Roman" w:cs="Times New Roman"/>
                <w:b/>
                <w:bCs/>
                <w:spacing w:val="-34"/>
              </w:rPr>
              <w:t xml:space="preserve"> </w:t>
            </w:r>
            <w:r>
              <w:rPr>
                <w:b/>
                <w:bCs/>
                <w:spacing w:val="-4"/>
              </w:rPr>
              <w:t>、地下水、土壤环境质量现状</w:t>
            </w:r>
          </w:p>
          <w:p w14:paraId="2CC4D26F">
            <w:pPr>
              <w:pStyle w:val="6"/>
              <w:spacing w:before="181" w:line="359" w:lineRule="auto"/>
              <w:ind w:left="105" w:right="103" w:firstLine="484"/>
              <w:jc w:val="both"/>
            </w:pPr>
            <w:r>
              <w:rPr>
                <w:spacing w:val="-3"/>
              </w:rPr>
              <w:t>项目供水方式为通过罐车拉水运送至井场，不取用地下</w:t>
            </w:r>
            <w:r>
              <w:rPr>
                <w:spacing w:val="-4"/>
              </w:rPr>
              <w:t>水。根据《环境影响</w:t>
            </w:r>
            <w:r>
              <w:rPr>
                <w:spacing w:val="-2"/>
              </w:rPr>
              <w:t>评价技术导则地下水环境》（</w:t>
            </w:r>
            <w:r>
              <w:rPr>
                <w:rFonts w:ascii="Times New Roman" w:hAnsi="Times New Roman" w:eastAsia="Times New Roman" w:cs="Times New Roman"/>
                <w:spacing w:val="-2"/>
              </w:rPr>
              <w:t>HJ610-2016</w:t>
            </w:r>
            <w:r>
              <w:rPr>
                <w:spacing w:val="-7"/>
              </w:rPr>
              <w:t>），</w:t>
            </w:r>
            <w:r>
              <w:rPr>
                <w:spacing w:val="-2"/>
              </w:rPr>
              <w:t>项目为矿产资源地质勘查（包括勘</w:t>
            </w:r>
            <w:r>
              <w:rPr>
                <w:spacing w:val="-1"/>
              </w:rPr>
              <w:t>探活动</w:t>
            </w:r>
            <w:r>
              <w:rPr>
                <w:spacing w:val="7"/>
              </w:rPr>
              <w:t>），</w:t>
            </w:r>
            <w:r>
              <w:rPr>
                <w:spacing w:val="-1"/>
              </w:rPr>
              <w:t>属于</w:t>
            </w:r>
            <w:r>
              <w:rPr>
                <w:rFonts w:ascii="Times New Roman" w:hAnsi="Times New Roman" w:eastAsia="Times New Roman" w:cs="Times New Roman"/>
                <w:spacing w:val="-1"/>
              </w:rPr>
              <w:t>Ⅳ</w:t>
            </w:r>
            <w:r>
              <w:rPr>
                <w:spacing w:val="-1"/>
              </w:rPr>
              <w:t>类项目，可不开展地下水环境影响评价。</w:t>
            </w:r>
          </w:p>
          <w:p w14:paraId="0EC633E9">
            <w:pPr>
              <w:pStyle w:val="6"/>
              <w:spacing w:before="2" w:line="347" w:lineRule="auto"/>
              <w:ind w:left="108" w:right="103" w:firstLine="478"/>
              <w:jc w:val="both"/>
            </w:pPr>
            <w:r>
              <w:t>根据《环境影响评价技术导则 土壤环境（试行）》（</w:t>
            </w:r>
            <w:r>
              <w:rPr>
                <w:rFonts w:ascii="Times New Roman" w:hAnsi="Times New Roman" w:eastAsia="Times New Roman" w:cs="Times New Roman"/>
              </w:rPr>
              <w:t>HJ964-2018</w:t>
            </w:r>
            <w:r>
              <w:rPr>
                <w:spacing w:val="14"/>
              </w:rPr>
              <w:t>），</w:t>
            </w:r>
            <w:r>
              <w:t>项目</w:t>
            </w:r>
            <w:r>
              <w:rPr>
                <w:spacing w:val="-4"/>
              </w:rPr>
              <w:t>为“</w:t>
            </w:r>
            <w:r>
              <w:rPr>
                <w:spacing w:val="-71"/>
              </w:rPr>
              <w:t xml:space="preserve"> </w:t>
            </w:r>
            <w:r>
              <w:rPr>
                <w:spacing w:val="-4"/>
              </w:rPr>
              <w:t>附录</w:t>
            </w:r>
            <w:r>
              <w:rPr>
                <w:spacing w:val="-58"/>
              </w:rPr>
              <w:t xml:space="preserve"> </w:t>
            </w:r>
            <w:r>
              <w:rPr>
                <w:rFonts w:ascii="Times New Roman" w:hAnsi="Times New Roman" w:eastAsia="Times New Roman" w:cs="Times New Roman"/>
                <w:spacing w:val="-4"/>
              </w:rPr>
              <w:t>A</w:t>
            </w:r>
            <w:r>
              <w:rPr>
                <w:rFonts w:ascii="Times New Roman" w:hAnsi="Times New Roman" w:eastAsia="Times New Roman" w:cs="Times New Roman"/>
                <w:spacing w:val="-32"/>
              </w:rPr>
              <w:t xml:space="preserve"> </w:t>
            </w:r>
            <w:r>
              <w:rPr>
                <w:spacing w:val="-4"/>
              </w:rPr>
              <w:t>、土壤环境影响评价项目类别</w:t>
            </w:r>
            <w:r>
              <w:rPr>
                <w:spacing w:val="-88"/>
              </w:rPr>
              <w:t xml:space="preserve"> </w:t>
            </w:r>
            <w:r>
              <w:rPr>
                <w:spacing w:val="-4"/>
              </w:rPr>
              <w:t>”中“其他行业</w:t>
            </w:r>
            <w:r>
              <w:rPr>
                <w:spacing w:val="-88"/>
              </w:rPr>
              <w:t xml:space="preserve"> </w:t>
            </w:r>
            <w:r>
              <w:rPr>
                <w:spacing w:val="-4"/>
              </w:rPr>
              <w:t>”，属于</w:t>
            </w:r>
            <w:r>
              <w:rPr>
                <w:spacing w:val="-52"/>
              </w:rPr>
              <w:t xml:space="preserve"> </w:t>
            </w:r>
            <w:r>
              <w:rPr>
                <w:rFonts w:ascii="Times New Roman" w:hAnsi="Times New Roman" w:eastAsia="Times New Roman" w:cs="Times New Roman"/>
                <w:spacing w:val="-4"/>
              </w:rPr>
              <w:t xml:space="preserve">IV </w:t>
            </w:r>
            <w:r>
              <w:rPr>
                <w:spacing w:val="-4"/>
              </w:rPr>
              <w:t>类项目，</w:t>
            </w:r>
            <w:r>
              <w:rPr>
                <w:spacing w:val="-1"/>
              </w:rPr>
              <w:t>可不开展土壤环境影响评价。</w:t>
            </w:r>
          </w:p>
        </w:tc>
      </w:tr>
      <w:tr w14:paraId="0F8F3B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1" w:hRule="atLeast"/>
        </w:trPr>
        <w:tc>
          <w:tcPr>
            <w:tcW w:w="466" w:type="dxa"/>
            <w:tcBorders>
              <w:left w:val="single" w:color="000000" w:sz="6" w:space="0"/>
            </w:tcBorders>
            <w:textDirection w:val="tbRlV"/>
            <w:vAlign w:val="top"/>
          </w:tcPr>
          <w:p w14:paraId="04B994AF">
            <w:pPr>
              <w:pStyle w:val="6"/>
              <w:spacing w:before="113" w:line="194" w:lineRule="auto"/>
              <w:ind w:left="41"/>
            </w:pPr>
            <w:r>
              <w:rPr>
                <w:b/>
                <w:bCs/>
                <w:spacing w:val="24"/>
                <w:w w:val="117"/>
              </w:rPr>
              <w:t>与项</w:t>
            </w:r>
            <w:r>
              <w:rPr>
                <w:b/>
                <w:bCs/>
                <w:spacing w:val="24"/>
                <w:w w:val="117"/>
                <w:position w:val="2"/>
              </w:rPr>
              <w:t>目</w:t>
            </w:r>
            <w:r>
              <w:rPr>
                <w:b/>
                <w:bCs/>
                <w:spacing w:val="24"/>
                <w:w w:val="117"/>
              </w:rPr>
              <w:t>有关的原有环境污染和生态破坏</w:t>
            </w:r>
            <w:r>
              <w:rPr>
                <w:b/>
                <w:bCs/>
                <w:spacing w:val="24"/>
                <w:w w:val="117"/>
                <w:position w:val="1"/>
              </w:rPr>
              <w:t>问</w:t>
            </w:r>
            <w:r>
              <w:rPr>
                <w:b/>
                <w:bCs/>
                <w:spacing w:val="24"/>
                <w:w w:val="117"/>
              </w:rPr>
              <w:t>题</w:t>
            </w:r>
          </w:p>
        </w:tc>
        <w:tc>
          <w:tcPr>
            <w:tcW w:w="8517" w:type="dxa"/>
            <w:tcBorders>
              <w:right w:val="single" w:color="000000" w:sz="6" w:space="0"/>
            </w:tcBorders>
            <w:vAlign w:val="top"/>
          </w:tcPr>
          <w:p w14:paraId="55973CDC">
            <w:pPr>
              <w:spacing w:line="242" w:lineRule="auto"/>
              <w:rPr>
                <w:rFonts w:ascii="Arial"/>
                <w:sz w:val="21"/>
              </w:rPr>
            </w:pPr>
          </w:p>
          <w:p w14:paraId="54219137">
            <w:pPr>
              <w:spacing w:line="242" w:lineRule="auto"/>
              <w:rPr>
                <w:rFonts w:ascii="Arial"/>
                <w:sz w:val="21"/>
              </w:rPr>
            </w:pPr>
          </w:p>
          <w:p w14:paraId="1BF595F1">
            <w:pPr>
              <w:spacing w:line="242" w:lineRule="auto"/>
              <w:rPr>
                <w:rFonts w:ascii="Arial"/>
                <w:sz w:val="21"/>
              </w:rPr>
            </w:pPr>
          </w:p>
          <w:p w14:paraId="4702E7E6">
            <w:pPr>
              <w:spacing w:line="242" w:lineRule="auto"/>
              <w:rPr>
                <w:rFonts w:ascii="Arial"/>
                <w:sz w:val="21"/>
              </w:rPr>
            </w:pPr>
          </w:p>
          <w:p w14:paraId="7640D10D">
            <w:pPr>
              <w:spacing w:line="242" w:lineRule="auto"/>
              <w:rPr>
                <w:rFonts w:ascii="Arial"/>
                <w:sz w:val="21"/>
              </w:rPr>
            </w:pPr>
          </w:p>
          <w:p w14:paraId="055CF2CB">
            <w:pPr>
              <w:spacing w:line="243" w:lineRule="auto"/>
              <w:rPr>
                <w:rFonts w:ascii="Arial"/>
                <w:sz w:val="21"/>
              </w:rPr>
            </w:pPr>
          </w:p>
          <w:p w14:paraId="4B568BFE">
            <w:pPr>
              <w:spacing w:line="243" w:lineRule="auto"/>
              <w:rPr>
                <w:rFonts w:ascii="Arial"/>
                <w:sz w:val="21"/>
              </w:rPr>
            </w:pPr>
          </w:p>
          <w:p w14:paraId="2DA44616">
            <w:pPr>
              <w:spacing w:line="243" w:lineRule="auto"/>
              <w:rPr>
                <w:rFonts w:ascii="Arial"/>
                <w:sz w:val="21"/>
              </w:rPr>
            </w:pPr>
          </w:p>
          <w:p w14:paraId="06C6CD01">
            <w:pPr>
              <w:spacing w:line="243" w:lineRule="auto"/>
              <w:rPr>
                <w:rFonts w:ascii="Arial"/>
                <w:sz w:val="21"/>
              </w:rPr>
            </w:pPr>
          </w:p>
          <w:p w14:paraId="218B8B93">
            <w:pPr>
              <w:spacing w:line="243" w:lineRule="auto"/>
              <w:rPr>
                <w:rFonts w:ascii="Arial"/>
                <w:sz w:val="21"/>
              </w:rPr>
            </w:pPr>
          </w:p>
          <w:p w14:paraId="76281F26">
            <w:pPr>
              <w:spacing w:line="243" w:lineRule="auto"/>
              <w:rPr>
                <w:rFonts w:ascii="Arial"/>
                <w:sz w:val="21"/>
              </w:rPr>
            </w:pPr>
          </w:p>
          <w:p w14:paraId="43F32706">
            <w:pPr>
              <w:pStyle w:val="6"/>
              <w:spacing w:before="78" w:line="220" w:lineRule="auto"/>
              <w:ind w:left="588"/>
            </w:pPr>
            <w:r>
              <w:t>无</w:t>
            </w:r>
          </w:p>
        </w:tc>
      </w:tr>
      <w:tr w14:paraId="5169B7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4" w:hRule="atLeast"/>
        </w:trPr>
        <w:tc>
          <w:tcPr>
            <w:tcW w:w="466" w:type="dxa"/>
            <w:tcBorders>
              <w:left w:val="single" w:color="000000" w:sz="6" w:space="0"/>
              <w:bottom w:val="single" w:color="000000" w:sz="6" w:space="0"/>
            </w:tcBorders>
            <w:textDirection w:val="tbRlV"/>
            <w:vAlign w:val="top"/>
          </w:tcPr>
          <w:p w14:paraId="2688739C">
            <w:pPr>
              <w:pStyle w:val="6"/>
              <w:spacing w:before="112" w:line="194" w:lineRule="auto"/>
              <w:ind w:left="48"/>
            </w:pPr>
            <w:r>
              <w:rPr>
                <w:b/>
                <w:bCs/>
                <w:spacing w:val="22"/>
                <w:w w:val="115"/>
              </w:rPr>
              <w:t>生态环境保护</w:t>
            </w:r>
            <w:r>
              <w:rPr>
                <w:b/>
                <w:bCs/>
                <w:spacing w:val="22"/>
                <w:w w:val="115"/>
                <w:position w:val="2"/>
              </w:rPr>
              <w:t>目</w:t>
            </w:r>
          </w:p>
        </w:tc>
        <w:tc>
          <w:tcPr>
            <w:tcW w:w="8517" w:type="dxa"/>
            <w:tcBorders>
              <w:bottom w:val="single" w:color="000000" w:sz="6" w:space="0"/>
              <w:right w:val="single" w:color="000000" w:sz="6" w:space="0"/>
            </w:tcBorders>
            <w:vAlign w:val="top"/>
          </w:tcPr>
          <w:p w14:paraId="18EFBF4A">
            <w:pPr>
              <w:pStyle w:val="6"/>
              <w:spacing w:before="89" w:line="219" w:lineRule="auto"/>
              <w:ind w:left="590"/>
            </w:pPr>
            <w:r>
              <w:rPr>
                <w:spacing w:val="-1"/>
              </w:rPr>
              <w:t>项目主要环境保护目标情况见下表。</w:t>
            </w:r>
          </w:p>
          <w:p w14:paraId="53B6DAA0">
            <w:pPr>
              <w:spacing w:before="180" w:line="213" w:lineRule="auto"/>
              <w:ind w:left="2215"/>
              <w:rPr>
                <w:rFonts w:ascii="黑体" w:hAnsi="黑体" w:eastAsia="黑体" w:cs="黑体"/>
                <w:sz w:val="24"/>
                <w:szCs w:val="24"/>
              </w:rPr>
            </w:pPr>
            <w:r>
              <w:rPr>
                <w:rFonts w:ascii="黑体" w:hAnsi="黑体" w:eastAsia="黑体" w:cs="黑体"/>
                <w:spacing w:val="-2"/>
                <w:sz w:val="24"/>
                <w:szCs w:val="24"/>
              </w:rPr>
              <w:t>表</w:t>
            </w:r>
            <w:r>
              <w:rPr>
                <w:rFonts w:ascii="黑体" w:hAnsi="黑体" w:eastAsia="黑体" w:cs="黑体"/>
                <w:spacing w:val="-35"/>
                <w:sz w:val="24"/>
                <w:szCs w:val="24"/>
              </w:rPr>
              <w:t xml:space="preserve"> </w:t>
            </w:r>
            <w:r>
              <w:rPr>
                <w:rFonts w:ascii="Times New Roman" w:hAnsi="Times New Roman" w:eastAsia="Times New Roman" w:cs="Times New Roman"/>
                <w:spacing w:val="-2"/>
                <w:sz w:val="24"/>
                <w:szCs w:val="24"/>
              </w:rPr>
              <w:t xml:space="preserve">3-4  </w:t>
            </w:r>
            <w:r>
              <w:rPr>
                <w:rFonts w:ascii="黑体" w:hAnsi="黑体" w:eastAsia="黑体" w:cs="黑体"/>
                <w:spacing w:val="-2"/>
                <w:sz w:val="24"/>
                <w:szCs w:val="24"/>
              </w:rPr>
              <w:t>主要保护目标及保护级别一览表</w:t>
            </w:r>
          </w:p>
          <w:tbl>
            <w:tblPr>
              <w:tblStyle w:val="5"/>
              <w:tblW w:w="8306" w:type="dxa"/>
              <w:tblInd w:w="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4"/>
              <w:gridCol w:w="1254"/>
              <w:gridCol w:w="1429"/>
              <w:gridCol w:w="1287"/>
              <w:gridCol w:w="965"/>
              <w:gridCol w:w="726"/>
              <w:gridCol w:w="706"/>
              <w:gridCol w:w="495"/>
              <w:gridCol w:w="690"/>
            </w:tblGrid>
            <w:tr w14:paraId="3162A0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754" w:type="dxa"/>
                  <w:vMerge w:val="restart"/>
                  <w:tcBorders>
                    <w:top w:val="single" w:color="000000" w:sz="10" w:space="0"/>
                    <w:left w:val="nil"/>
                    <w:bottom w:val="nil"/>
                  </w:tcBorders>
                  <w:vAlign w:val="top"/>
                </w:tcPr>
                <w:p w14:paraId="72EFDA0B">
                  <w:pPr>
                    <w:pStyle w:val="6"/>
                    <w:spacing w:before="172" w:line="252" w:lineRule="auto"/>
                    <w:ind w:left="175" w:right="161"/>
                    <w:rPr>
                      <w:sz w:val="20"/>
                      <w:szCs w:val="20"/>
                    </w:rPr>
                  </w:pPr>
                  <w:r>
                    <w:rPr>
                      <w:b/>
                      <w:bCs/>
                      <w:spacing w:val="3"/>
                      <w:sz w:val="20"/>
                      <w:szCs w:val="20"/>
                    </w:rPr>
                    <w:t>环境要素</w:t>
                  </w:r>
                </w:p>
              </w:tc>
              <w:tc>
                <w:tcPr>
                  <w:tcW w:w="1254" w:type="dxa"/>
                  <w:vMerge w:val="restart"/>
                  <w:tcBorders>
                    <w:top w:val="single" w:color="000000" w:sz="10" w:space="0"/>
                    <w:bottom w:val="nil"/>
                  </w:tcBorders>
                  <w:vAlign w:val="top"/>
                </w:tcPr>
                <w:p w14:paraId="3C9BE027">
                  <w:pPr>
                    <w:rPr>
                      <w:rFonts w:ascii="Arial"/>
                      <w:sz w:val="21"/>
                    </w:rPr>
                  </w:pPr>
                </w:p>
                <w:p w14:paraId="161FD509">
                  <w:pPr>
                    <w:pStyle w:val="6"/>
                    <w:spacing w:before="65" w:line="228" w:lineRule="auto"/>
                    <w:ind w:left="208"/>
                    <w:rPr>
                      <w:sz w:val="20"/>
                      <w:szCs w:val="20"/>
                    </w:rPr>
                  </w:pPr>
                  <w:r>
                    <w:rPr>
                      <w:b/>
                      <w:bCs/>
                      <w:spacing w:val="6"/>
                      <w:sz w:val="20"/>
                      <w:szCs w:val="20"/>
                    </w:rPr>
                    <w:t>保护对象</w:t>
                  </w:r>
                </w:p>
              </w:tc>
              <w:tc>
                <w:tcPr>
                  <w:tcW w:w="2716" w:type="dxa"/>
                  <w:gridSpan w:val="2"/>
                  <w:tcBorders>
                    <w:top w:val="single" w:color="000000" w:sz="10" w:space="0"/>
                  </w:tcBorders>
                  <w:vAlign w:val="top"/>
                </w:tcPr>
                <w:p w14:paraId="24AC7CAE">
                  <w:pPr>
                    <w:pStyle w:val="6"/>
                    <w:spacing w:before="99" w:line="228" w:lineRule="auto"/>
                    <w:ind w:left="1150"/>
                    <w:rPr>
                      <w:sz w:val="20"/>
                      <w:szCs w:val="20"/>
                    </w:rPr>
                  </w:pPr>
                  <w:r>
                    <w:rPr>
                      <w:b/>
                      <w:bCs/>
                      <w:spacing w:val="3"/>
                      <w:sz w:val="20"/>
                      <w:szCs w:val="20"/>
                    </w:rPr>
                    <w:t>坐标</w:t>
                  </w:r>
                </w:p>
              </w:tc>
              <w:tc>
                <w:tcPr>
                  <w:tcW w:w="965" w:type="dxa"/>
                  <w:vMerge w:val="restart"/>
                  <w:tcBorders>
                    <w:top w:val="single" w:color="000000" w:sz="10" w:space="0"/>
                    <w:bottom w:val="nil"/>
                  </w:tcBorders>
                  <w:vAlign w:val="top"/>
                </w:tcPr>
                <w:p w14:paraId="50D8F312">
                  <w:pPr>
                    <w:rPr>
                      <w:rFonts w:ascii="Arial"/>
                      <w:sz w:val="21"/>
                    </w:rPr>
                  </w:pPr>
                </w:p>
                <w:p w14:paraId="4B4F3EAC">
                  <w:pPr>
                    <w:pStyle w:val="6"/>
                    <w:spacing w:before="65" w:line="228" w:lineRule="auto"/>
                    <w:ind w:left="64"/>
                    <w:rPr>
                      <w:sz w:val="20"/>
                      <w:szCs w:val="20"/>
                    </w:rPr>
                  </w:pPr>
                  <w:r>
                    <w:rPr>
                      <w:b/>
                      <w:bCs/>
                      <w:spacing w:val="6"/>
                      <w:sz w:val="20"/>
                      <w:szCs w:val="20"/>
                    </w:rPr>
                    <w:t>保护对象</w:t>
                  </w:r>
                </w:p>
              </w:tc>
              <w:tc>
                <w:tcPr>
                  <w:tcW w:w="726" w:type="dxa"/>
                  <w:vMerge w:val="restart"/>
                  <w:tcBorders>
                    <w:top w:val="single" w:color="000000" w:sz="10" w:space="0"/>
                    <w:bottom w:val="nil"/>
                  </w:tcBorders>
                  <w:vAlign w:val="top"/>
                </w:tcPr>
                <w:p w14:paraId="691F17EB">
                  <w:pPr>
                    <w:pStyle w:val="6"/>
                    <w:spacing w:before="173" w:line="252" w:lineRule="auto"/>
                    <w:ind w:left="261" w:right="43" w:hanging="212"/>
                    <w:rPr>
                      <w:sz w:val="20"/>
                      <w:szCs w:val="20"/>
                    </w:rPr>
                  </w:pPr>
                  <w:r>
                    <w:rPr>
                      <w:b/>
                      <w:bCs/>
                      <w:spacing w:val="5"/>
                      <w:sz w:val="20"/>
                      <w:szCs w:val="20"/>
                    </w:rPr>
                    <w:t>保护内</w:t>
                  </w:r>
                  <w:r>
                    <w:rPr>
                      <w:b/>
                      <w:bCs/>
                      <w:spacing w:val="-3"/>
                      <w:sz w:val="20"/>
                      <w:szCs w:val="20"/>
                    </w:rPr>
                    <w:t>容</w:t>
                  </w:r>
                </w:p>
              </w:tc>
              <w:tc>
                <w:tcPr>
                  <w:tcW w:w="706" w:type="dxa"/>
                  <w:vMerge w:val="restart"/>
                  <w:tcBorders>
                    <w:top w:val="single" w:color="000000" w:sz="10" w:space="0"/>
                    <w:bottom w:val="nil"/>
                  </w:tcBorders>
                  <w:vAlign w:val="top"/>
                </w:tcPr>
                <w:p w14:paraId="36E6EA83">
                  <w:pPr>
                    <w:pStyle w:val="6"/>
                    <w:spacing w:before="174" w:line="252" w:lineRule="auto"/>
                    <w:ind w:left="151" w:right="32" w:hanging="111"/>
                    <w:rPr>
                      <w:sz w:val="20"/>
                      <w:szCs w:val="20"/>
                    </w:rPr>
                  </w:pPr>
                  <w:r>
                    <w:rPr>
                      <w:b/>
                      <w:bCs/>
                      <w:spacing w:val="5"/>
                      <w:sz w:val="20"/>
                      <w:szCs w:val="20"/>
                    </w:rPr>
                    <w:t>环境功</w:t>
                  </w:r>
                  <w:r>
                    <w:rPr>
                      <w:b/>
                      <w:bCs/>
                      <w:spacing w:val="-1"/>
                      <w:sz w:val="20"/>
                      <w:szCs w:val="20"/>
                    </w:rPr>
                    <w:t>能区</w:t>
                  </w:r>
                </w:p>
              </w:tc>
              <w:tc>
                <w:tcPr>
                  <w:tcW w:w="495" w:type="dxa"/>
                  <w:vMerge w:val="restart"/>
                  <w:tcBorders>
                    <w:top w:val="single" w:color="000000" w:sz="10" w:space="0"/>
                    <w:bottom w:val="nil"/>
                  </w:tcBorders>
                  <w:vAlign w:val="top"/>
                </w:tcPr>
                <w:p w14:paraId="24502BCC">
                  <w:pPr>
                    <w:pStyle w:val="6"/>
                    <w:spacing w:before="36" w:line="229" w:lineRule="auto"/>
                    <w:ind w:left="37"/>
                    <w:rPr>
                      <w:sz w:val="20"/>
                      <w:szCs w:val="20"/>
                    </w:rPr>
                  </w:pPr>
                  <w:r>
                    <w:rPr>
                      <w:b/>
                      <w:bCs/>
                      <w:spacing w:val="3"/>
                      <w:sz w:val="20"/>
                      <w:szCs w:val="20"/>
                    </w:rPr>
                    <w:t>相对</w:t>
                  </w:r>
                </w:p>
                <w:p w14:paraId="32A32A3E">
                  <w:pPr>
                    <w:pStyle w:val="6"/>
                    <w:spacing w:before="23" w:line="228" w:lineRule="auto"/>
                    <w:ind w:left="40"/>
                    <w:rPr>
                      <w:sz w:val="20"/>
                      <w:szCs w:val="20"/>
                    </w:rPr>
                  </w:pPr>
                  <w:r>
                    <w:rPr>
                      <w:b/>
                      <w:bCs/>
                      <w:spacing w:val="2"/>
                      <w:sz w:val="20"/>
                      <w:szCs w:val="20"/>
                    </w:rPr>
                    <w:t>厂址</w:t>
                  </w:r>
                </w:p>
                <w:p w14:paraId="07112111">
                  <w:pPr>
                    <w:pStyle w:val="6"/>
                    <w:spacing w:before="26" w:line="204" w:lineRule="auto"/>
                    <w:ind w:left="38"/>
                    <w:rPr>
                      <w:sz w:val="20"/>
                      <w:szCs w:val="20"/>
                    </w:rPr>
                  </w:pPr>
                  <w:r>
                    <w:rPr>
                      <w:b/>
                      <w:bCs/>
                      <w:spacing w:val="3"/>
                      <w:sz w:val="20"/>
                      <w:szCs w:val="20"/>
                    </w:rPr>
                    <w:t>方位</w:t>
                  </w:r>
                </w:p>
              </w:tc>
              <w:tc>
                <w:tcPr>
                  <w:tcW w:w="690" w:type="dxa"/>
                  <w:vMerge w:val="restart"/>
                  <w:tcBorders>
                    <w:top w:val="single" w:color="000000" w:sz="10" w:space="0"/>
                    <w:bottom w:val="nil"/>
                    <w:right w:val="nil"/>
                  </w:tcBorders>
                  <w:vAlign w:val="top"/>
                </w:tcPr>
                <w:p w14:paraId="0E0BC18D">
                  <w:pPr>
                    <w:pStyle w:val="6"/>
                    <w:spacing w:before="37" w:line="228" w:lineRule="auto"/>
                    <w:ind w:left="34"/>
                    <w:rPr>
                      <w:sz w:val="20"/>
                      <w:szCs w:val="20"/>
                    </w:rPr>
                  </w:pPr>
                  <w:r>
                    <w:rPr>
                      <w:b/>
                      <w:bCs/>
                      <w:spacing w:val="4"/>
                      <w:sz w:val="20"/>
                      <w:szCs w:val="20"/>
                    </w:rPr>
                    <w:t>相对场</w:t>
                  </w:r>
                </w:p>
                <w:p w14:paraId="7B7669D7">
                  <w:pPr>
                    <w:pStyle w:val="6"/>
                    <w:spacing w:before="24" w:line="228" w:lineRule="auto"/>
                    <w:ind w:left="39"/>
                    <w:rPr>
                      <w:sz w:val="20"/>
                      <w:szCs w:val="20"/>
                    </w:rPr>
                  </w:pPr>
                  <w:r>
                    <w:rPr>
                      <w:b/>
                      <w:bCs/>
                      <w:spacing w:val="3"/>
                      <w:sz w:val="20"/>
                      <w:szCs w:val="20"/>
                    </w:rPr>
                    <w:t>界距离</w:t>
                  </w:r>
                </w:p>
                <w:p w14:paraId="7C12DD37">
                  <w:pPr>
                    <w:pStyle w:val="6"/>
                    <w:spacing w:before="26" w:line="204" w:lineRule="auto"/>
                    <w:ind w:left="64"/>
                    <w:rPr>
                      <w:sz w:val="20"/>
                      <w:szCs w:val="20"/>
                    </w:rPr>
                  </w:pPr>
                  <w:r>
                    <w:rPr>
                      <w:b/>
                      <w:bCs/>
                      <w:spacing w:val="-3"/>
                      <w:sz w:val="20"/>
                      <w:szCs w:val="20"/>
                    </w:rPr>
                    <w:t>（</w:t>
                  </w:r>
                  <w:r>
                    <w:rPr>
                      <w:rFonts w:ascii="Times New Roman" w:hAnsi="Times New Roman" w:eastAsia="Times New Roman" w:cs="Times New Roman"/>
                      <w:b/>
                      <w:bCs/>
                      <w:spacing w:val="-3"/>
                      <w:sz w:val="20"/>
                      <w:szCs w:val="20"/>
                    </w:rPr>
                    <w:t>m</w:t>
                  </w:r>
                  <w:r>
                    <w:rPr>
                      <w:b/>
                      <w:bCs/>
                      <w:spacing w:val="-3"/>
                      <w:sz w:val="20"/>
                      <w:szCs w:val="20"/>
                    </w:rPr>
                    <w:t>）</w:t>
                  </w:r>
                </w:p>
              </w:tc>
            </w:tr>
            <w:tr w14:paraId="101FB1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754" w:type="dxa"/>
                  <w:vMerge w:val="continue"/>
                  <w:tcBorders>
                    <w:top w:val="nil"/>
                    <w:left w:val="nil"/>
                  </w:tcBorders>
                  <w:vAlign w:val="top"/>
                </w:tcPr>
                <w:p w14:paraId="09A228B8">
                  <w:pPr>
                    <w:rPr>
                      <w:rFonts w:ascii="Arial"/>
                      <w:sz w:val="21"/>
                    </w:rPr>
                  </w:pPr>
                </w:p>
              </w:tc>
              <w:tc>
                <w:tcPr>
                  <w:tcW w:w="1254" w:type="dxa"/>
                  <w:vMerge w:val="continue"/>
                  <w:tcBorders>
                    <w:top w:val="nil"/>
                  </w:tcBorders>
                  <w:vAlign w:val="top"/>
                </w:tcPr>
                <w:p w14:paraId="5EBA1746">
                  <w:pPr>
                    <w:rPr>
                      <w:rFonts w:ascii="Arial"/>
                      <w:sz w:val="21"/>
                    </w:rPr>
                  </w:pPr>
                </w:p>
              </w:tc>
              <w:tc>
                <w:tcPr>
                  <w:tcW w:w="1429" w:type="dxa"/>
                  <w:vAlign w:val="top"/>
                </w:tcPr>
                <w:p w14:paraId="099911E4">
                  <w:pPr>
                    <w:pStyle w:val="6"/>
                    <w:spacing w:before="103" w:line="228" w:lineRule="auto"/>
                    <w:ind w:left="508"/>
                    <w:rPr>
                      <w:sz w:val="20"/>
                      <w:szCs w:val="20"/>
                    </w:rPr>
                  </w:pPr>
                  <w:r>
                    <w:rPr>
                      <w:b/>
                      <w:bCs/>
                      <w:spacing w:val="3"/>
                      <w:sz w:val="20"/>
                      <w:szCs w:val="20"/>
                    </w:rPr>
                    <w:t>经度</w:t>
                  </w:r>
                </w:p>
              </w:tc>
              <w:tc>
                <w:tcPr>
                  <w:tcW w:w="1287" w:type="dxa"/>
                  <w:vAlign w:val="top"/>
                </w:tcPr>
                <w:p w14:paraId="3A72E77B">
                  <w:pPr>
                    <w:pStyle w:val="6"/>
                    <w:spacing w:before="103" w:line="228" w:lineRule="auto"/>
                    <w:ind w:left="434"/>
                    <w:rPr>
                      <w:sz w:val="20"/>
                      <w:szCs w:val="20"/>
                    </w:rPr>
                  </w:pPr>
                  <w:r>
                    <w:rPr>
                      <w:b/>
                      <w:bCs/>
                      <w:spacing w:val="3"/>
                      <w:sz w:val="20"/>
                      <w:szCs w:val="20"/>
                    </w:rPr>
                    <w:t>纬度</w:t>
                  </w:r>
                </w:p>
              </w:tc>
              <w:tc>
                <w:tcPr>
                  <w:tcW w:w="965" w:type="dxa"/>
                  <w:vMerge w:val="continue"/>
                  <w:tcBorders>
                    <w:top w:val="nil"/>
                  </w:tcBorders>
                  <w:vAlign w:val="top"/>
                </w:tcPr>
                <w:p w14:paraId="09C6B8E9">
                  <w:pPr>
                    <w:rPr>
                      <w:rFonts w:ascii="Arial"/>
                      <w:sz w:val="21"/>
                    </w:rPr>
                  </w:pPr>
                </w:p>
              </w:tc>
              <w:tc>
                <w:tcPr>
                  <w:tcW w:w="726" w:type="dxa"/>
                  <w:vMerge w:val="continue"/>
                  <w:tcBorders>
                    <w:top w:val="nil"/>
                  </w:tcBorders>
                  <w:vAlign w:val="top"/>
                </w:tcPr>
                <w:p w14:paraId="2D3CA325">
                  <w:pPr>
                    <w:rPr>
                      <w:rFonts w:ascii="Arial"/>
                      <w:sz w:val="21"/>
                    </w:rPr>
                  </w:pPr>
                </w:p>
              </w:tc>
              <w:tc>
                <w:tcPr>
                  <w:tcW w:w="706" w:type="dxa"/>
                  <w:vMerge w:val="continue"/>
                  <w:tcBorders>
                    <w:top w:val="nil"/>
                  </w:tcBorders>
                  <w:vAlign w:val="top"/>
                </w:tcPr>
                <w:p w14:paraId="38EB85F0">
                  <w:pPr>
                    <w:rPr>
                      <w:rFonts w:ascii="Arial"/>
                      <w:sz w:val="21"/>
                    </w:rPr>
                  </w:pPr>
                </w:p>
              </w:tc>
              <w:tc>
                <w:tcPr>
                  <w:tcW w:w="495" w:type="dxa"/>
                  <w:vMerge w:val="continue"/>
                  <w:tcBorders>
                    <w:top w:val="nil"/>
                  </w:tcBorders>
                  <w:vAlign w:val="top"/>
                </w:tcPr>
                <w:p w14:paraId="5CC38374">
                  <w:pPr>
                    <w:rPr>
                      <w:rFonts w:ascii="Arial"/>
                      <w:sz w:val="21"/>
                    </w:rPr>
                  </w:pPr>
                </w:p>
              </w:tc>
              <w:tc>
                <w:tcPr>
                  <w:tcW w:w="690" w:type="dxa"/>
                  <w:vMerge w:val="continue"/>
                  <w:tcBorders>
                    <w:top w:val="nil"/>
                    <w:right w:val="nil"/>
                  </w:tcBorders>
                  <w:vAlign w:val="top"/>
                </w:tcPr>
                <w:p w14:paraId="572E7438">
                  <w:pPr>
                    <w:rPr>
                      <w:rFonts w:ascii="Arial"/>
                      <w:sz w:val="21"/>
                    </w:rPr>
                  </w:pPr>
                </w:p>
              </w:tc>
            </w:tr>
            <w:tr w14:paraId="5ED914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754" w:type="dxa"/>
                  <w:tcBorders>
                    <w:left w:val="nil"/>
                    <w:bottom w:val="single" w:color="000000" w:sz="10" w:space="0"/>
                  </w:tcBorders>
                  <w:vAlign w:val="top"/>
                </w:tcPr>
                <w:p w14:paraId="60322670">
                  <w:pPr>
                    <w:pStyle w:val="6"/>
                    <w:spacing w:before="135" w:line="228" w:lineRule="auto"/>
                    <w:ind w:left="175"/>
                    <w:rPr>
                      <w:sz w:val="20"/>
                      <w:szCs w:val="20"/>
                    </w:rPr>
                  </w:pPr>
                  <w:r>
                    <w:rPr>
                      <w:spacing w:val="4"/>
                      <w:sz w:val="20"/>
                      <w:szCs w:val="20"/>
                    </w:rPr>
                    <w:t>环境</w:t>
                  </w:r>
                </w:p>
              </w:tc>
              <w:tc>
                <w:tcPr>
                  <w:tcW w:w="1254" w:type="dxa"/>
                  <w:tcBorders>
                    <w:bottom w:val="single" w:color="000000" w:sz="10" w:space="0"/>
                  </w:tcBorders>
                  <w:vAlign w:val="top"/>
                </w:tcPr>
                <w:p w14:paraId="66167FE7">
                  <w:pPr>
                    <w:pStyle w:val="6"/>
                    <w:spacing w:before="134" w:line="228" w:lineRule="auto"/>
                    <w:ind w:left="339"/>
                    <w:rPr>
                      <w:rFonts w:ascii="Times New Roman" w:hAnsi="Times New Roman" w:eastAsia="Times New Roman" w:cs="Times New Roman"/>
                      <w:sz w:val="20"/>
                      <w:szCs w:val="20"/>
                    </w:rPr>
                  </w:pPr>
                  <w:r>
                    <w:rPr>
                      <w:spacing w:val="3"/>
                      <w:sz w:val="20"/>
                      <w:szCs w:val="20"/>
                    </w:rPr>
                    <w:t>散户</w:t>
                  </w:r>
                  <w:r>
                    <w:rPr>
                      <w:spacing w:val="-21"/>
                      <w:sz w:val="20"/>
                      <w:szCs w:val="20"/>
                    </w:rPr>
                    <w:t xml:space="preserve"> </w:t>
                  </w:r>
                  <w:r>
                    <w:rPr>
                      <w:rFonts w:ascii="Times New Roman" w:hAnsi="Times New Roman" w:eastAsia="Times New Roman" w:cs="Times New Roman"/>
                      <w:spacing w:val="3"/>
                      <w:sz w:val="20"/>
                      <w:szCs w:val="20"/>
                    </w:rPr>
                    <w:t>1</w:t>
                  </w:r>
                </w:p>
              </w:tc>
              <w:tc>
                <w:tcPr>
                  <w:tcW w:w="1429" w:type="dxa"/>
                  <w:tcBorders>
                    <w:bottom w:val="single" w:color="000000" w:sz="10" w:space="0"/>
                  </w:tcBorders>
                  <w:vAlign w:val="top"/>
                </w:tcPr>
                <w:p w14:paraId="7868DECE">
                  <w:pPr>
                    <w:spacing w:before="171" w:line="163"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106°54,</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pacing w:val="-1"/>
                      <w:sz w:val="20"/>
                      <w:szCs w:val="20"/>
                    </w:rPr>
                    <w:t>13.0</w:t>
                  </w:r>
                  <w:r>
                    <w:rPr>
                      <w:rFonts w:ascii="Times New Roman" w:hAnsi="Times New Roman" w:eastAsia="Times New Roman" w:cs="Times New Roman"/>
                      <w:spacing w:val="-35"/>
                      <w:sz w:val="20"/>
                      <w:szCs w:val="20"/>
                    </w:rPr>
                    <w:t xml:space="preserve"> </w:t>
                  </w:r>
                  <w:r>
                    <w:rPr>
                      <w:rFonts w:ascii="Times New Roman" w:hAnsi="Times New Roman" w:eastAsia="Times New Roman" w:cs="Times New Roman"/>
                      <w:spacing w:val="-1"/>
                      <w:sz w:val="20"/>
                      <w:szCs w:val="20"/>
                    </w:rPr>
                    <w:t>″</w:t>
                  </w:r>
                </w:p>
              </w:tc>
              <w:tc>
                <w:tcPr>
                  <w:tcW w:w="1287" w:type="dxa"/>
                  <w:tcBorders>
                    <w:bottom w:val="single" w:color="000000" w:sz="10" w:space="0"/>
                  </w:tcBorders>
                  <w:vAlign w:val="top"/>
                </w:tcPr>
                <w:p w14:paraId="358B766A">
                  <w:pPr>
                    <w:spacing w:before="171" w:line="163" w:lineRule="auto"/>
                    <w:ind w:left="138"/>
                    <w:rPr>
                      <w:rFonts w:ascii="Times New Roman" w:hAnsi="Times New Roman" w:eastAsia="Times New Roman" w:cs="Times New Roman"/>
                      <w:sz w:val="20"/>
                      <w:szCs w:val="20"/>
                    </w:rPr>
                  </w:pPr>
                  <w:r>
                    <w:rPr>
                      <w:rFonts w:ascii="Times New Roman" w:hAnsi="Times New Roman" w:eastAsia="Times New Roman" w:cs="Times New Roman"/>
                      <w:sz w:val="20"/>
                      <w:szCs w:val="20"/>
                    </w:rPr>
                    <w:t>40°40,</w:t>
                  </w:r>
                  <w:r>
                    <w:rPr>
                      <w:rFonts w:ascii="Times New Roman" w:hAnsi="Times New Roman" w:eastAsia="Times New Roman" w:cs="Times New Roman"/>
                      <w:spacing w:val="-17"/>
                      <w:sz w:val="20"/>
                      <w:szCs w:val="20"/>
                    </w:rPr>
                    <w:t xml:space="preserve"> </w:t>
                  </w:r>
                  <w:r>
                    <w:rPr>
                      <w:rFonts w:ascii="Times New Roman" w:hAnsi="Times New Roman" w:eastAsia="Times New Roman" w:cs="Times New Roman"/>
                      <w:sz w:val="20"/>
                      <w:szCs w:val="20"/>
                    </w:rPr>
                    <w:t>10.2</w:t>
                  </w:r>
                  <w:r>
                    <w:rPr>
                      <w:rFonts w:ascii="Times New Roman" w:hAnsi="Times New Roman" w:eastAsia="Times New Roman" w:cs="Times New Roman"/>
                      <w:spacing w:val="-35"/>
                      <w:sz w:val="20"/>
                      <w:szCs w:val="20"/>
                    </w:rPr>
                    <w:t xml:space="preserve"> </w:t>
                  </w:r>
                  <w:r>
                    <w:rPr>
                      <w:rFonts w:ascii="Times New Roman" w:hAnsi="Times New Roman" w:eastAsia="Times New Roman" w:cs="Times New Roman"/>
                      <w:sz w:val="20"/>
                      <w:szCs w:val="20"/>
                    </w:rPr>
                    <w:t>″</w:t>
                  </w:r>
                </w:p>
              </w:tc>
              <w:tc>
                <w:tcPr>
                  <w:tcW w:w="965" w:type="dxa"/>
                  <w:tcBorders>
                    <w:bottom w:val="single" w:color="000000" w:sz="10" w:space="0"/>
                  </w:tcBorders>
                  <w:vAlign w:val="top"/>
                </w:tcPr>
                <w:p w14:paraId="2D5B0982">
                  <w:pPr>
                    <w:pStyle w:val="6"/>
                    <w:spacing w:before="135" w:line="228" w:lineRule="auto"/>
                    <w:ind w:left="67"/>
                    <w:rPr>
                      <w:sz w:val="20"/>
                      <w:szCs w:val="20"/>
                    </w:rPr>
                  </w:pPr>
                  <w:r>
                    <w:rPr>
                      <w:sz w:val="20"/>
                      <w:szCs w:val="20"/>
                    </w:rPr>
                    <w:t>居民</w:t>
                  </w:r>
                  <w:r>
                    <w:rPr>
                      <w:spacing w:val="-36"/>
                      <w:sz w:val="20"/>
                      <w:szCs w:val="20"/>
                    </w:rPr>
                    <w:t xml:space="preserve"> </w:t>
                  </w:r>
                  <w:r>
                    <w:rPr>
                      <w:rFonts w:ascii="Times New Roman" w:hAnsi="Times New Roman" w:eastAsia="Times New Roman" w:cs="Times New Roman"/>
                      <w:sz w:val="20"/>
                      <w:szCs w:val="20"/>
                    </w:rPr>
                    <w:t>3</w:t>
                  </w:r>
                  <w:r>
                    <w:rPr>
                      <w:rFonts w:ascii="Times New Roman" w:hAnsi="Times New Roman" w:eastAsia="Times New Roman" w:cs="Times New Roman"/>
                      <w:spacing w:val="13"/>
                      <w:w w:val="101"/>
                      <w:sz w:val="20"/>
                      <w:szCs w:val="20"/>
                    </w:rPr>
                    <w:t xml:space="preserve"> </w:t>
                  </w:r>
                  <w:r>
                    <w:rPr>
                      <w:sz w:val="20"/>
                      <w:szCs w:val="20"/>
                    </w:rPr>
                    <w:t>人</w:t>
                  </w:r>
                </w:p>
              </w:tc>
              <w:tc>
                <w:tcPr>
                  <w:tcW w:w="726" w:type="dxa"/>
                  <w:tcBorders>
                    <w:bottom w:val="single" w:color="000000" w:sz="10" w:space="0"/>
                  </w:tcBorders>
                  <w:vAlign w:val="top"/>
                </w:tcPr>
                <w:p w14:paraId="4B34E2A8">
                  <w:pPr>
                    <w:pStyle w:val="6"/>
                    <w:spacing w:before="135" w:line="228" w:lineRule="auto"/>
                    <w:ind w:left="52"/>
                    <w:rPr>
                      <w:sz w:val="20"/>
                      <w:szCs w:val="20"/>
                    </w:rPr>
                  </w:pPr>
                  <w:r>
                    <w:rPr>
                      <w:spacing w:val="6"/>
                      <w:sz w:val="20"/>
                      <w:szCs w:val="20"/>
                    </w:rPr>
                    <w:t>周围环</w:t>
                  </w:r>
                </w:p>
              </w:tc>
              <w:tc>
                <w:tcPr>
                  <w:tcW w:w="706" w:type="dxa"/>
                  <w:tcBorders>
                    <w:bottom w:val="single" w:color="000000" w:sz="10" w:space="0"/>
                  </w:tcBorders>
                  <w:vAlign w:val="top"/>
                </w:tcPr>
                <w:p w14:paraId="6E7E238F">
                  <w:pPr>
                    <w:pStyle w:val="6"/>
                    <w:spacing w:before="134" w:line="228" w:lineRule="auto"/>
                    <w:ind w:left="44"/>
                    <w:rPr>
                      <w:sz w:val="20"/>
                      <w:szCs w:val="20"/>
                    </w:rPr>
                  </w:pPr>
                  <w:r>
                    <w:rPr>
                      <w:spacing w:val="5"/>
                      <w:sz w:val="20"/>
                      <w:szCs w:val="20"/>
                    </w:rPr>
                    <w:t>二类功</w:t>
                  </w:r>
                </w:p>
              </w:tc>
              <w:tc>
                <w:tcPr>
                  <w:tcW w:w="495" w:type="dxa"/>
                  <w:tcBorders>
                    <w:bottom w:val="single" w:color="000000" w:sz="10" w:space="0"/>
                  </w:tcBorders>
                  <w:vAlign w:val="top"/>
                </w:tcPr>
                <w:p w14:paraId="6A1096BA">
                  <w:pPr>
                    <w:pStyle w:val="6"/>
                    <w:spacing w:before="135" w:line="231" w:lineRule="auto"/>
                    <w:ind w:left="45"/>
                    <w:rPr>
                      <w:sz w:val="20"/>
                      <w:szCs w:val="20"/>
                    </w:rPr>
                  </w:pPr>
                  <w:r>
                    <w:rPr>
                      <w:spacing w:val="2"/>
                      <w:sz w:val="20"/>
                      <w:szCs w:val="20"/>
                    </w:rPr>
                    <w:t>西北</w:t>
                  </w:r>
                </w:p>
              </w:tc>
              <w:tc>
                <w:tcPr>
                  <w:tcW w:w="690" w:type="dxa"/>
                  <w:tcBorders>
                    <w:bottom w:val="single" w:color="000000" w:sz="10" w:space="0"/>
                    <w:right w:val="nil"/>
                  </w:tcBorders>
                  <w:vAlign w:val="top"/>
                </w:tcPr>
                <w:p w14:paraId="06BB996E">
                  <w:pPr>
                    <w:spacing w:before="171" w:line="195" w:lineRule="auto"/>
                    <w:ind w:left="1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465</w:t>
                  </w:r>
                </w:p>
              </w:tc>
            </w:tr>
          </w:tbl>
          <w:p w14:paraId="217A7111">
            <w:pPr>
              <w:spacing w:line="96" w:lineRule="auto"/>
              <w:rPr>
                <w:rFonts w:ascii="Arial"/>
                <w:sz w:val="2"/>
              </w:rPr>
            </w:pPr>
          </w:p>
        </w:tc>
      </w:tr>
    </w:tbl>
    <w:p w14:paraId="72ED5B67">
      <w:pPr>
        <w:rPr>
          <w:rFonts w:ascii="Arial"/>
          <w:sz w:val="21"/>
        </w:rPr>
      </w:pPr>
    </w:p>
    <w:p w14:paraId="3FF09ED0">
      <w:pPr>
        <w:rPr>
          <w:rFonts w:ascii="Arial" w:hAnsi="Arial" w:eastAsia="Arial" w:cs="Arial"/>
          <w:sz w:val="21"/>
          <w:szCs w:val="21"/>
        </w:rPr>
        <w:sectPr>
          <w:footerReference r:id="rId58" w:type="default"/>
          <w:pgSz w:w="11906" w:h="16839"/>
          <w:pgMar w:top="400" w:right="1369" w:bottom="1240" w:left="1538" w:header="0" w:footer="1078" w:gutter="0"/>
          <w:cols w:space="720" w:num="1"/>
        </w:sectPr>
      </w:pPr>
    </w:p>
    <w:p w14:paraId="3D717C2A">
      <w:pPr>
        <w:spacing w:before="56"/>
      </w:pPr>
    </w:p>
    <w:p w14:paraId="3DE811CC">
      <w:pPr>
        <w:spacing w:before="56"/>
      </w:pPr>
    </w:p>
    <w:p w14:paraId="4777725E">
      <w:pPr>
        <w:spacing w:before="55"/>
      </w:pPr>
    </w:p>
    <w:p w14:paraId="2943C629">
      <w:pPr>
        <w:spacing w:before="55"/>
      </w:pPr>
    </w:p>
    <w:tbl>
      <w:tblPr>
        <w:tblStyle w:val="5"/>
        <w:tblW w:w="8983"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6"/>
        <w:gridCol w:w="860"/>
        <w:gridCol w:w="7657"/>
      </w:tblGrid>
      <w:tr w14:paraId="5B9468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2" w:hRule="atLeast"/>
        </w:trPr>
        <w:tc>
          <w:tcPr>
            <w:tcW w:w="466" w:type="dxa"/>
            <w:vMerge w:val="restart"/>
            <w:tcBorders>
              <w:top w:val="single" w:color="000000" w:sz="6" w:space="0"/>
              <w:left w:val="single" w:color="000000" w:sz="6" w:space="0"/>
              <w:bottom w:val="nil"/>
              <w:right w:val="single" w:color="000000" w:sz="2" w:space="0"/>
            </w:tcBorders>
            <w:vAlign w:val="top"/>
          </w:tcPr>
          <w:p w14:paraId="0AFD787E">
            <w:pPr>
              <w:pStyle w:val="6"/>
              <w:spacing w:before="30" w:line="220" w:lineRule="auto"/>
              <w:ind w:left="112"/>
            </w:pPr>
            <w:r>
              <w:rPr>
                <w:b/>
                <w:bCs/>
                <w:spacing w:val="-3"/>
              </w:rPr>
              <w:t>标</w:t>
            </w:r>
          </w:p>
        </w:tc>
        <w:tc>
          <w:tcPr>
            <w:tcW w:w="860" w:type="dxa"/>
            <w:tcBorders>
              <w:top w:val="single" w:color="000000" w:sz="6" w:space="0"/>
              <w:left w:val="single" w:color="000000" w:sz="2" w:space="0"/>
            </w:tcBorders>
            <w:vAlign w:val="top"/>
          </w:tcPr>
          <w:p w14:paraId="48A8D01D">
            <w:pPr>
              <w:pStyle w:val="6"/>
              <w:spacing w:before="42" w:line="229" w:lineRule="auto"/>
              <w:ind w:left="280"/>
              <w:rPr>
                <w:sz w:val="20"/>
                <w:szCs w:val="20"/>
              </w:rPr>
            </w:pPr>
            <w:r>
              <w:rPr>
                <w:spacing w:val="1"/>
                <w:sz w:val="20"/>
                <w:szCs w:val="20"/>
              </w:rPr>
              <w:t>空气</w:t>
            </w:r>
          </w:p>
        </w:tc>
        <w:tc>
          <w:tcPr>
            <w:tcW w:w="7657" w:type="dxa"/>
            <w:vMerge w:val="restart"/>
            <w:tcBorders>
              <w:top w:val="single" w:color="000000" w:sz="6" w:space="0"/>
              <w:bottom w:val="nil"/>
              <w:right w:val="single" w:color="000000" w:sz="6" w:space="0"/>
            </w:tcBorders>
            <w:vAlign w:val="top"/>
          </w:tcPr>
          <w:p w14:paraId="4F498A0A">
            <w:pPr>
              <w:pStyle w:val="6"/>
              <w:spacing w:before="130" w:line="216" w:lineRule="auto"/>
              <w:ind w:left="2816"/>
              <w:rPr>
                <w:sz w:val="20"/>
                <w:szCs w:val="20"/>
              </w:rPr>
            </w:pPr>
            <w:r>
              <w:pict>
                <v:shape id="_x0000_s1046" o:spid="_x0000_s1046" o:spt="202" type="#_x0000_t202" style="position:absolute;left:0pt;margin-left:248.1pt;margin-top:1.1pt;height:27.95pt;width:33pt;z-index:251720704;mso-width-relative:page;mso-height-relative:page;" filled="f" stroked="f" coordsize="21600,21600">
                  <v:path/>
                  <v:fill on="f" focussize="0,0"/>
                  <v:stroke on="f"/>
                  <v:imagedata o:title=""/>
                  <o:lock v:ext="edit" aspectratio="f"/>
                  <v:textbox inset="0mm,0mm,0mm,0mm">
                    <w:txbxContent>
                      <w:p w14:paraId="2B98E921">
                        <w:pPr>
                          <w:pStyle w:val="6"/>
                          <w:spacing w:before="19" w:line="249" w:lineRule="auto"/>
                          <w:ind w:left="125" w:right="20" w:hanging="105"/>
                          <w:rPr>
                            <w:sz w:val="20"/>
                            <w:szCs w:val="20"/>
                          </w:rPr>
                        </w:pPr>
                        <w:r>
                          <w:rPr>
                            <w:spacing w:val="6"/>
                            <w:sz w:val="20"/>
                            <w:szCs w:val="20"/>
                          </w:rPr>
                          <w:t>境空气</w:t>
                        </w:r>
                        <w:r>
                          <w:rPr>
                            <w:spacing w:val="4"/>
                            <w:sz w:val="20"/>
                            <w:szCs w:val="20"/>
                          </w:rPr>
                          <w:t>质量</w:t>
                        </w:r>
                      </w:p>
                    </w:txbxContent>
                  </v:textbox>
                </v:shape>
              </w:pict>
            </w:r>
            <w:r>
              <w:pict>
                <v:shape id="_x0000_s1047" o:spid="_x0000_s1047" o:spt="202" type="#_x0000_t202" style="position:absolute;left:0pt;margin-left:9.25pt;margin-top:5.5pt;height:319.1pt;width:43.5pt;z-index:251717632;mso-width-relative:page;mso-height-relative:page;" filled="f" stroked="f" coordsize="21600,21600">
                  <v:path/>
                  <v:fill on="f" focussize="0,0"/>
                  <v:stroke on="f"/>
                  <v:imagedata o:title=""/>
                  <o:lock v:ext="edit" aspectratio="f"/>
                  <v:textbox inset="0mm,0mm,0mm,0mm">
                    <w:txbxContent>
                      <w:p w14:paraId="686C77BA">
                        <w:pPr>
                          <w:pStyle w:val="6"/>
                          <w:spacing w:before="19" w:line="228" w:lineRule="auto"/>
                          <w:ind w:left="148"/>
                          <w:rPr>
                            <w:rFonts w:ascii="Times New Roman" w:hAnsi="Times New Roman" w:eastAsia="Times New Roman" w:cs="Times New Roman"/>
                            <w:sz w:val="20"/>
                            <w:szCs w:val="20"/>
                          </w:rPr>
                        </w:pPr>
                        <w:r>
                          <w:rPr>
                            <w:spacing w:val="3"/>
                            <w:sz w:val="20"/>
                            <w:szCs w:val="20"/>
                          </w:rPr>
                          <w:t>散户</w:t>
                        </w:r>
                        <w:r>
                          <w:rPr>
                            <w:spacing w:val="-41"/>
                            <w:sz w:val="20"/>
                            <w:szCs w:val="20"/>
                          </w:rPr>
                          <w:t xml:space="preserve"> </w:t>
                        </w:r>
                        <w:r>
                          <w:rPr>
                            <w:rFonts w:ascii="Times New Roman" w:hAnsi="Times New Roman" w:eastAsia="Times New Roman" w:cs="Times New Roman"/>
                            <w:spacing w:val="3"/>
                            <w:sz w:val="20"/>
                            <w:szCs w:val="20"/>
                          </w:rPr>
                          <w:t>2</w:t>
                        </w:r>
                      </w:p>
                      <w:p w14:paraId="37AEA034">
                        <w:pPr>
                          <w:pStyle w:val="6"/>
                          <w:spacing w:before="220" w:line="228" w:lineRule="auto"/>
                          <w:ind w:left="148"/>
                          <w:rPr>
                            <w:rFonts w:ascii="Times New Roman" w:hAnsi="Times New Roman" w:eastAsia="Times New Roman" w:cs="Times New Roman"/>
                            <w:sz w:val="20"/>
                            <w:szCs w:val="20"/>
                          </w:rPr>
                        </w:pPr>
                        <w:r>
                          <w:rPr>
                            <w:spacing w:val="3"/>
                            <w:sz w:val="20"/>
                            <w:szCs w:val="20"/>
                          </w:rPr>
                          <w:t>散户</w:t>
                        </w:r>
                        <w:r>
                          <w:rPr>
                            <w:spacing w:val="-36"/>
                            <w:sz w:val="20"/>
                            <w:szCs w:val="20"/>
                          </w:rPr>
                          <w:t xml:space="preserve"> </w:t>
                        </w:r>
                        <w:r>
                          <w:rPr>
                            <w:rFonts w:ascii="Times New Roman" w:hAnsi="Times New Roman" w:eastAsia="Times New Roman" w:cs="Times New Roman"/>
                            <w:spacing w:val="3"/>
                            <w:sz w:val="20"/>
                            <w:szCs w:val="20"/>
                          </w:rPr>
                          <w:t>3</w:t>
                        </w:r>
                      </w:p>
                      <w:p w14:paraId="6103E801">
                        <w:pPr>
                          <w:pStyle w:val="6"/>
                          <w:spacing w:before="223" w:line="228" w:lineRule="auto"/>
                          <w:ind w:left="148"/>
                          <w:rPr>
                            <w:rFonts w:ascii="Times New Roman" w:hAnsi="Times New Roman" w:eastAsia="Times New Roman" w:cs="Times New Roman"/>
                            <w:sz w:val="20"/>
                            <w:szCs w:val="20"/>
                          </w:rPr>
                        </w:pPr>
                        <w:r>
                          <w:rPr>
                            <w:spacing w:val="3"/>
                            <w:sz w:val="20"/>
                            <w:szCs w:val="20"/>
                          </w:rPr>
                          <w:t>散户</w:t>
                        </w:r>
                        <w:r>
                          <w:rPr>
                            <w:spacing w:val="-41"/>
                            <w:sz w:val="20"/>
                            <w:szCs w:val="20"/>
                          </w:rPr>
                          <w:t xml:space="preserve"> </w:t>
                        </w:r>
                        <w:r>
                          <w:rPr>
                            <w:rFonts w:ascii="Times New Roman" w:hAnsi="Times New Roman" w:eastAsia="Times New Roman" w:cs="Times New Roman"/>
                            <w:spacing w:val="3"/>
                            <w:sz w:val="20"/>
                            <w:szCs w:val="20"/>
                          </w:rPr>
                          <w:t>4</w:t>
                        </w:r>
                      </w:p>
                      <w:p w14:paraId="28E7C6EA">
                        <w:pPr>
                          <w:pStyle w:val="6"/>
                          <w:spacing w:before="221" w:line="228" w:lineRule="auto"/>
                          <w:ind w:left="148"/>
                          <w:rPr>
                            <w:rFonts w:ascii="Times New Roman" w:hAnsi="Times New Roman" w:eastAsia="Times New Roman" w:cs="Times New Roman"/>
                            <w:sz w:val="20"/>
                            <w:szCs w:val="20"/>
                          </w:rPr>
                        </w:pPr>
                        <w:r>
                          <w:rPr>
                            <w:spacing w:val="3"/>
                            <w:sz w:val="20"/>
                            <w:szCs w:val="20"/>
                          </w:rPr>
                          <w:t>散户</w:t>
                        </w:r>
                        <w:r>
                          <w:rPr>
                            <w:spacing w:val="-35"/>
                            <w:sz w:val="20"/>
                            <w:szCs w:val="20"/>
                          </w:rPr>
                          <w:t xml:space="preserve"> </w:t>
                        </w:r>
                        <w:r>
                          <w:rPr>
                            <w:rFonts w:ascii="Times New Roman" w:hAnsi="Times New Roman" w:eastAsia="Times New Roman" w:cs="Times New Roman"/>
                            <w:spacing w:val="3"/>
                            <w:sz w:val="20"/>
                            <w:szCs w:val="20"/>
                          </w:rPr>
                          <w:t>5</w:t>
                        </w:r>
                      </w:p>
                      <w:p w14:paraId="0FCF29A8">
                        <w:pPr>
                          <w:pStyle w:val="6"/>
                          <w:spacing w:before="223" w:line="228" w:lineRule="auto"/>
                          <w:ind w:left="148"/>
                          <w:rPr>
                            <w:rFonts w:ascii="Times New Roman" w:hAnsi="Times New Roman" w:eastAsia="Times New Roman" w:cs="Times New Roman"/>
                            <w:sz w:val="20"/>
                            <w:szCs w:val="20"/>
                          </w:rPr>
                        </w:pPr>
                        <w:r>
                          <w:rPr>
                            <w:spacing w:val="3"/>
                            <w:sz w:val="20"/>
                            <w:szCs w:val="20"/>
                          </w:rPr>
                          <w:t>散户</w:t>
                        </w:r>
                        <w:r>
                          <w:rPr>
                            <w:spacing w:val="-36"/>
                            <w:sz w:val="20"/>
                            <w:szCs w:val="20"/>
                          </w:rPr>
                          <w:t xml:space="preserve"> </w:t>
                        </w:r>
                        <w:r>
                          <w:rPr>
                            <w:rFonts w:ascii="Times New Roman" w:hAnsi="Times New Roman" w:eastAsia="Times New Roman" w:cs="Times New Roman"/>
                            <w:spacing w:val="3"/>
                            <w:sz w:val="20"/>
                            <w:szCs w:val="20"/>
                          </w:rPr>
                          <w:t>6</w:t>
                        </w:r>
                      </w:p>
                      <w:p w14:paraId="100A4D68">
                        <w:pPr>
                          <w:pStyle w:val="6"/>
                          <w:spacing w:before="221" w:line="228" w:lineRule="auto"/>
                          <w:ind w:left="148"/>
                          <w:rPr>
                            <w:rFonts w:ascii="Times New Roman" w:hAnsi="Times New Roman" w:eastAsia="Times New Roman" w:cs="Times New Roman"/>
                            <w:sz w:val="20"/>
                            <w:szCs w:val="20"/>
                          </w:rPr>
                        </w:pPr>
                        <w:r>
                          <w:rPr>
                            <w:spacing w:val="3"/>
                            <w:sz w:val="20"/>
                            <w:szCs w:val="20"/>
                          </w:rPr>
                          <w:t>散户</w:t>
                        </w:r>
                        <w:r>
                          <w:rPr>
                            <w:spacing w:val="-37"/>
                            <w:sz w:val="20"/>
                            <w:szCs w:val="20"/>
                          </w:rPr>
                          <w:t xml:space="preserve"> </w:t>
                        </w:r>
                        <w:r>
                          <w:rPr>
                            <w:rFonts w:ascii="Times New Roman" w:hAnsi="Times New Roman" w:eastAsia="Times New Roman" w:cs="Times New Roman"/>
                            <w:spacing w:val="3"/>
                            <w:sz w:val="20"/>
                            <w:szCs w:val="20"/>
                          </w:rPr>
                          <w:t>7</w:t>
                        </w:r>
                      </w:p>
                      <w:p w14:paraId="70A6E9A6">
                        <w:pPr>
                          <w:pStyle w:val="6"/>
                          <w:spacing w:before="223" w:line="228" w:lineRule="auto"/>
                          <w:ind w:left="148"/>
                          <w:rPr>
                            <w:rFonts w:ascii="Times New Roman" w:hAnsi="Times New Roman" w:eastAsia="Times New Roman" w:cs="Times New Roman"/>
                            <w:sz w:val="20"/>
                            <w:szCs w:val="20"/>
                          </w:rPr>
                        </w:pPr>
                        <w:r>
                          <w:rPr>
                            <w:spacing w:val="3"/>
                            <w:sz w:val="20"/>
                            <w:szCs w:val="20"/>
                          </w:rPr>
                          <w:t>散户</w:t>
                        </w:r>
                        <w:r>
                          <w:rPr>
                            <w:spacing w:val="-32"/>
                            <w:sz w:val="20"/>
                            <w:szCs w:val="20"/>
                          </w:rPr>
                          <w:t xml:space="preserve"> </w:t>
                        </w:r>
                        <w:r>
                          <w:rPr>
                            <w:rFonts w:ascii="Times New Roman" w:hAnsi="Times New Roman" w:eastAsia="Times New Roman" w:cs="Times New Roman"/>
                            <w:spacing w:val="3"/>
                            <w:sz w:val="20"/>
                            <w:szCs w:val="20"/>
                          </w:rPr>
                          <w:t>8</w:t>
                        </w:r>
                      </w:p>
                      <w:p w14:paraId="3C645AC0">
                        <w:pPr>
                          <w:pStyle w:val="6"/>
                          <w:spacing w:before="221" w:line="228" w:lineRule="auto"/>
                          <w:ind w:left="148"/>
                          <w:rPr>
                            <w:rFonts w:ascii="Times New Roman" w:hAnsi="Times New Roman" w:eastAsia="Times New Roman" w:cs="Times New Roman"/>
                            <w:sz w:val="20"/>
                            <w:szCs w:val="20"/>
                          </w:rPr>
                        </w:pPr>
                        <w:r>
                          <w:rPr>
                            <w:spacing w:val="3"/>
                            <w:sz w:val="20"/>
                            <w:szCs w:val="20"/>
                          </w:rPr>
                          <w:t>散户</w:t>
                        </w:r>
                        <w:r>
                          <w:rPr>
                            <w:spacing w:val="-37"/>
                            <w:sz w:val="20"/>
                            <w:szCs w:val="20"/>
                          </w:rPr>
                          <w:t xml:space="preserve"> </w:t>
                        </w:r>
                        <w:r>
                          <w:rPr>
                            <w:rFonts w:ascii="Times New Roman" w:hAnsi="Times New Roman" w:eastAsia="Times New Roman" w:cs="Times New Roman"/>
                            <w:spacing w:val="3"/>
                            <w:sz w:val="20"/>
                            <w:szCs w:val="20"/>
                          </w:rPr>
                          <w:t>9</w:t>
                        </w:r>
                      </w:p>
                      <w:p w14:paraId="165F31E3">
                        <w:pPr>
                          <w:pStyle w:val="6"/>
                          <w:spacing w:before="221" w:line="228" w:lineRule="auto"/>
                          <w:ind w:left="95"/>
                          <w:rPr>
                            <w:rFonts w:ascii="Times New Roman" w:hAnsi="Times New Roman" w:eastAsia="Times New Roman" w:cs="Times New Roman"/>
                            <w:sz w:val="20"/>
                            <w:szCs w:val="20"/>
                          </w:rPr>
                        </w:pPr>
                        <w:r>
                          <w:rPr>
                            <w:spacing w:val="-1"/>
                            <w:sz w:val="20"/>
                            <w:szCs w:val="20"/>
                          </w:rPr>
                          <w:t>散户</w:t>
                        </w:r>
                        <w:r>
                          <w:rPr>
                            <w:spacing w:val="-21"/>
                            <w:sz w:val="20"/>
                            <w:szCs w:val="20"/>
                          </w:rPr>
                          <w:t xml:space="preserve"> </w:t>
                        </w:r>
                        <w:r>
                          <w:rPr>
                            <w:rFonts w:ascii="Times New Roman" w:hAnsi="Times New Roman" w:eastAsia="Times New Roman" w:cs="Times New Roman"/>
                            <w:spacing w:val="-1"/>
                            <w:sz w:val="20"/>
                            <w:szCs w:val="20"/>
                          </w:rPr>
                          <w:t>10</w:t>
                        </w:r>
                      </w:p>
                      <w:p w14:paraId="47D9DCF3">
                        <w:pPr>
                          <w:pStyle w:val="6"/>
                          <w:spacing w:before="224" w:line="228" w:lineRule="auto"/>
                          <w:ind w:left="100"/>
                          <w:rPr>
                            <w:rFonts w:ascii="Times New Roman" w:hAnsi="Times New Roman" w:eastAsia="Times New Roman" w:cs="Times New Roman"/>
                            <w:sz w:val="20"/>
                            <w:szCs w:val="20"/>
                          </w:rPr>
                        </w:pPr>
                        <w:r>
                          <w:rPr>
                            <w:spacing w:val="-3"/>
                            <w:sz w:val="20"/>
                            <w:szCs w:val="20"/>
                          </w:rPr>
                          <w:t>散户</w:t>
                        </w:r>
                        <w:r>
                          <w:rPr>
                            <w:spacing w:val="-19"/>
                            <w:sz w:val="20"/>
                            <w:szCs w:val="20"/>
                          </w:rPr>
                          <w:t xml:space="preserve"> </w:t>
                        </w:r>
                        <w:r>
                          <w:rPr>
                            <w:rFonts w:ascii="Times New Roman" w:hAnsi="Times New Roman" w:eastAsia="Times New Roman" w:cs="Times New Roman"/>
                            <w:spacing w:val="-3"/>
                            <w:sz w:val="20"/>
                            <w:szCs w:val="20"/>
                          </w:rPr>
                          <w:t>11</w:t>
                        </w:r>
                      </w:p>
                      <w:p w14:paraId="4F06A4BD">
                        <w:pPr>
                          <w:pStyle w:val="6"/>
                          <w:spacing w:before="221" w:line="228" w:lineRule="auto"/>
                          <w:ind w:left="95"/>
                          <w:rPr>
                            <w:rFonts w:ascii="Times New Roman" w:hAnsi="Times New Roman" w:eastAsia="Times New Roman" w:cs="Times New Roman"/>
                            <w:sz w:val="20"/>
                            <w:szCs w:val="20"/>
                          </w:rPr>
                        </w:pPr>
                        <w:r>
                          <w:rPr>
                            <w:spacing w:val="-1"/>
                            <w:sz w:val="20"/>
                            <w:szCs w:val="20"/>
                          </w:rPr>
                          <w:t>散户</w:t>
                        </w:r>
                        <w:r>
                          <w:rPr>
                            <w:spacing w:val="-21"/>
                            <w:sz w:val="20"/>
                            <w:szCs w:val="20"/>
                          </w:rPr>
                          <w:t xml:space="preserve"> </w:t>
                        </w:r>
                        <w:r>
                          <w:rPr>
                            <w:rFonts w:ascii="Times New Roman" w:hAnsi="Times New Roman" w:eastAsia="Times New Roman" w:cs="Times New Roman"/>
                            <w:spacing w:val="-1"/>
                            <w:sz w:val="20"/>
                            <w:szCs w:val="20"/>
                          </w:rPr>
                          <w:t>12</w:t>
                        </w:r>
                      </w:p>
                      <w:p w14:paraId="4E6D02C4">
                        <w:pPr>
                          <w:pStyle w:val="6"/>
                          <w:spacing w:before="223" w:line="228" w:lineRule="auto"/>
                          <w:ind w:left="95"/>
                          <w:rPr>
                            <w:rFonts w:ascii="Times New Roman" w:hAnsi="Times New Roman" w:eastAsia="Times New Roman" w:cs="Times New Roman"/>
                            <w:sz w:val="20"/>
                            <w:szCs w:val="20"/>
                          </w:rPr>
                        </w:pPr>
                        <w:r>
                          <w:rPr>
                            <w:spacing w:val="-1"/>
                            <w:sz w:val="20"/>
                            <w:szCs w:val="20"/>
                          </w:rPr>
                          <w:t>散户</w:t>
                        </w:r>
                        <w:r>
                          <w:rPr>
                            <w:spacing w:val="-21"/>
                            <w:sz w:val="20"/>
                            <w:szCs w:val="20"/>
                          </w:rPr>
                          <w:t xml:space="preserve"> </w:t>
                        </w:r>
                        <w:r>
                          <w:rPr>
                            <w:rFonts w:ascii="Times New Roman" w:hAnsi="Times New Roman" w:eastAsia="Times New Roman" w:cs="Times New Roman"/>
                            <w:spacing w:val="-1"/>
                            <w:sz w:val="20"/>
                            <w:szCs w:val="20"/>
                          </w:rPr>
                          <w:t>13</w:t>
                        </w:r>
                      </w:p>
                      <w:p w14:paraId="69B3E969">
                        <w:pPr>
                          <w:pStyle w:val="6"/>
                          <w:spacing w:before="221" w:line="228" w:lineRule="auto"/>
                          <w:ind w:left="95"/>
                          <w:rPr>
                            <w:rFonts w:ascii="Times New Roman" w:hAnsi="Times New Roman" w:eastAsia="Times New Roman" w:cs="Times New Roman"/>
                            <w:sz w:val="20"/>
                            <w:szCs w:val="20"/>
                          </w:rPr>
                        </w:pPr>
                        <w:r>
                          <w:rPr>
                            <w:spacing w:val="-1"/>
                            <w:sz w:val="20"/>
                            <w:szCs w:val="20"/>
                          </w:rPr>
                          <w:t>散户</w:t>
                        </w:r>
                        <w:r>
                          <w:rPr>
                            <w:spacing w:val="-21"/>
                            <w:sz w:val="20"/>
                            <w:szCs w:val="20"/>
                          </w:rPr>
                          <w:t xml:space="preserve"> </w:t>
                        </w:r>
                        <w:r>
                          <w:rPr>
                            <w:rFonts w:ascii="Times New Roman" w:hAnsi="Times New Roman" w:eastAsia="Times New Roman" w:cs="Times New Roman"/>
                            <w:spacing w:val="-1"/>
                            <w:sz w:val="20"/>
                            <w:szCs w:val="20"/>
                          </w:rPr>
                          <w:t>14</w:t>
                        </w:r>
                      </w:p>
                      <w:p w14:paraId="443C5A4C">
                        <w:pPr>
                          <w:pStyle w:val="6"/>
                          <w:spacing w:before="221" w:line="227" w:lineRule="auto"/>
                          <w:ind w:left="20"/>
                          <w:rPr>
                            <w:sz w:val="20"/>
                            <w:szCs w:val="20"/>
                          </w:rPr>
                        </w:pPr>
                        <w:r>
                          <w:rPr>
                            <w:spacing w:val="7"/>
                            <w:sz w:val="20"/>
                            <w:szCs w:val="20"/>
                          </w:rPr>
                          <w:t>塔布三社</w:t>
                        </w:r>
                      </w:p>
                    </w:txbxContent>
                  </v:textbox>
                </v:shape>
              </w:pict>
            </w:r>
            <w:r>
              <w:pict>
                <v:shape id="_x0000_s1048" o:spid="_x0000_s1048" o:spt="202" type="#_x0000_t202" style="position:absolute;left:0pt;margin-left:289.5pt;margin-top:1.1pt;height:323.7pt;width:79.3pt;z-index:251718656;mso-width-relative:page;mso-height-relative:page;" filled="f" stroked="f" coordsize="21600,21600">
                  <v:path/>
                  <v:fill on="f" focussize="0,0"/>
                  <v:stroke on="f"/>
                  <v:imagedata o:title=""/>
                  <o:lock v:ext="edit" aspectratio="f"/>
                  <v:textbox inset="0mm,0mm,0mm,0mm">
                    <w:txbxContent>
                      <w:p w14:paraId="35EC48EE">
                        <w:pPr>
                          <w:pStyle w:val="6"/>
                          <w:spacing w:before="20" w:line="239" w:lineRule="auto"/>
                          <w:ind w:left="20"/>
                          <w:rPr>
                            <w:rFonts w:ascii="Times New Roman" w:hAnsi="Times New Roman" w:eastAsia="Times New Roman" w:cs="Times New Roman"/>
                            <w:sz w:val="20"/>
                            <w:szCs w:val="20"/>
                          </w:rPr>
                        </w:pPr>
                        <w:r>
                          <w:rPr>
                            <w:spacing w:val="1"/>
                            <w:position w:val="5"/>
                            <w:sz w:val="20"/>
                            <w:szCs w:val="20"/>
                          </w:rPr>
                          <w:t>能区</w:t>
                        </w:r>
                        <w:r>
                          <w:rPr>
                            <w:spacing w:val="100"/>
                            <w:position w:val="5"/>
                            <w:sz w:val="20"/>
                            <w:szCs w:val="20"/>
                          </w:rPr>
                          <w:t xml:space="preserve"> </w:t>
                        </w:r>
                        <w:r>
                          <w:rPr>
                            <w:spacing w:val="1"/>
                            <w:position w:val="-3"/>
                            <w:sz w:val="20"/>
                            <w:szCs w:val="20"/>
                          </w:rPr>
                          <w:t>西北</w:t>
                        </w:r>
                        <w:r>
                          <w:rPr>
                            <w:spacing w:val="18"/>
                            <w:position w:val="-3"/>
                            <w:sz w:val="20"/>
                            <w:szCs w:val="20"/>
                          </w:rPr>
                          <w:t xml:space="preserve">  </w:t>
                        </w:r>
                        <w:r>
                          <w:rPr>
                            <w:rFonts w:ascii="Times New Roman" w:hAnsi="Times New Roman" w:eastAsia="Times New Roman" w:cs="Times New Roman"/>
                            <w:spacing w:val="1"/>
                            <w:position w:val="-3"/>
                            <w:sz w:val="20"/>
                            <w:szCs w:val="20"/>
                          </w:rPr>
                          <w:t>390</w:t>
                        </w:r>
                      </w:p>
                      <w:p w14:paraId="5685EEA5">
                        <w:pPr>
                          <w:pStyle w:val="6"/>
                          <w:spacing w:before="217" w:line="231" w:lineRule="auto"/>
                          <w:ind w:right="20"/>
                          <w:jc w:val="right"/>
                          <w:rPr>
                            <w:rFonts w:ascii="Times New Roman" w:hAnsi="Times New Roman" w:eastAsia="Times New Roman" w:cs="Times New Roman"/>
                            <w:sz w:val="20"/>
                            <w:szCs w:val="20"/>
                          </w:rPr>
                        </w:pPr>
                        <w:r>
                          <w:rPr>
                            <w:spacing w:val="3"/>
                            <w:sz w:val="20"/>
                            <w:szCs w:val="20"/>
                          </w:rPr>
                          <w:t>西北</w:t>
                        </w:r>
                        <w:r>
                          <w:rPr>
                            <w:spacing w:val="16"/>
                            <w:sz w:val="20"/>
                            <w:szCs w:val="20"/>
                          </w:rPr>
                          <w:t xml:space="preserve">  </w:t>
                        </w:r>
                        <w:r>
                          <w:rPr>
                            <w:rFonts w:ascii="Times New Roman" w:hAnsi="Times New Roman" w:eastAsia="Times New Roman" w:cs="Times New Roman"/>
                            <w:spacing w:val="3"/>
                            <w:sz w:val="20"/>
                            <w:szCs w:val="20"/>
                          </w:rPr>
                          <w:t>295</w:t>
                        </w:r>
                      </w:p>
                      <w:p w14:paraId="638C5635">
                        <w:pPr>
                          <w:pStyle w:val="6"/>
                          <w:spacing w:before="219" w:line="228" w:lineRule="auto"/>
                          <w:ind w:right="20"/>
                          <w:jc w:val="right"/>
                          <w:rPr>
                            <w:rFonts w:ascii="Times New Roman" w:hAnsi="Times New Roman" w:eastAsia="Times New Roman" w:cs="Times New Roman"/>
                            <w:sz w:val="20"/>
                            <w:szCs w:val="20"/>
                          </w:rPr>
                        </w:pPr>
                        <w:r>
                          <w:rPr>
                            <w:spacing w:val="2"/>
                            <w:sz w:val="20"/>
                            <w:szCs w:val="20"/>
                          </w:rPr>
                          <w:t>东北</w:t>
                        </w:r>
                        <w:r>
                          <w:rPr>
                            <w:spacing w:val="17"/>
                            <w:sz w:val="20"/>
                            <w:szCs w:val="20"/>
                          </w:rPr>
                          <w:t xml:space="preserve">  </w:t>
                        </w:r>
                        <w:r>
                          <w:rPr>
                            <w:rFonts w:ascii="Times New Roman" w:hAnsi="Times New Roman" w:eastAsia="Times New Roman" w:cs="Times New Roman"/>
                            <w:spacing w:val="2"/>
                            <w:sz w:val="20"/>
                            <w:szCs w:val="20"/>
                          </w:rPr>
                          <w:t>410</w:t>
                        </w:r>
                      </w:p>
                      <w:sdt>
                        <w:sdtPr>
                          <w:rPr>
                            <w:rFonts w:ascii="宋体" w:hAnsi="宋体" w:eastAsia="宋体" w:cs="宋体"/>
                            <w:sz w:val="20"/>
                            <w:szCs w:val="20"/>
                          </w:rPr>
                          <w:id w:val="147460526"/>
                          <w:docPartObj>
                            <w:docPartGallery w:val="Table of Contents"/>
                            <w:docPartUnique/>
                          </w:docPartObj>
                        </w:sdtPr>
                        <w:sdtEndPr>
                          <w:rPr>
                            <w:rFonts w:ascii="Times New Roman" w:hAnsi="Times New Roman" w:eastAsia="Times New Roman" w:cs="Times New Roman"/>
                            <w:sz w:val="20"/>
                            <w:szCs w:val="20"/>
                          </w:rPr>
                        </w:sdtEndPr>
                        <w:sdtContent>
                          <w:p w14:paraId="46BC3B3E">
                            <w:pPr>
                              <w:pStyle w:val="6"/>
                              <w:spacing w:before="221" w:line="228" w:lineRule="auto"/>
                              <w:ind w:right="20"/>
                              <w:jc w:val="right"/>
                              <w:rPr>
                                <w:rFonts w:ascii="Times New Roman" w:hAnsi="Times New Roman" w:eastAsia="Times New Roman" w:cs="Times New Roman"/>
                                <w:sz w:val="20"/>
                                <w:szCs w:val="20"/>
                              </w:rPr>
                            </w:pPr>
                            <w:r>
                              <w:rPr>
                                <w:spacing w:val="1"/>
                                <w:sz w:val="20"/>
                                <w:szCs w:val="20"/>
                              </w:rPr>
                              <w:t>东北</w:t>
                            </w:r>
                            <w:r>
                              <w:rPr>
                                <w:spacing w:val="19"/>
                                <w:sz w:val="20"/>
                                <w:szCs w:val="20"/>
                              </w:rPr>
                              <w:t xml:space="preserve">  </w:t>
                            </w:r>
                            <w:r>
                              <w:rPr>
                                <w:rFonts w:ascii="Times New Roman" w:hAnsi="Times New Roman" w:eastAsia="Times New Roman" w:cs="Times New Roman"/>
                                <w:spacing w:val="1"/>
                                <w:sz w:val="20"/>
                                <w:szCs w:val="20"/>
                              </w:rPr>
                              <w:t>335</w:t>
                            </w:r>
                          </w:p>
                          <w:p w14:paraId="40150A67">
                            <w:pPr>
                              <w:pStyle w:val="6"/>
                              <w:spacing w:before="223" w:line="228" w:lineRule="auto"/>
                              <w:ind w:right="20"/>
                              <w:jc w:val="right"/>
                              <w:rPr>
                                <w:rFonts w:ascii="Times New Roman" w:hAnsi="Times New Roman" w:eastAsia="Times New Roman" w:cs="Times New Roman"/>
                                <w:sz w:val="20"/>
                                <w:szCs w:val="20"/>
                              </w:rPr>
                            </w:pPr>
                            <w:r>
                              <w:rPr>
                                <w:spacing w:val="1"/>
                                <w:sz w:val="20"/>
                                <w:szCs w:val="20"/>
                              </w:rPr>
                              <w:t>东北</w:t>
                            </w:r>
                            <w:r>
                              <w:rPr>
                                <w:spacing w:val="19"/>
                                <w:sz w:val="20"/>
                                <w:szCs w:val="20"/>
                              </w:rPr>
                              <w:t xml:space="preserve">  </w:t>
                            </w:r>
                            <w:r>
                              <w:rPr>
                                <w:rFonts w:ascii="Times New Roman" w:hAnsi="Times New Roman" w:eastAsia="Times New Roman" w:cs="Times New Roman"/>
                                <w:spacing w:val="1"/>
                                <w:sz w:val="20"/>
                                <w:szCs w:val="20"/>
                              </w:rPr>
                              <w:t>360</w:t>
                            </w:r>
                          </w:p>
                        </w:sdtContent>
                      </w:sdt>
                      <w:p w14:paraId="00B13241">
                        <w:pPr>
                          <w:pStyle w:val="6"/>
                          <w:spacing w:before="221" w:line="228" w:lineRule="auto"/>
                          <w:ind w:right="20"/>
                          <w:jc w:val="right"/>
                          <w:rPr>
                            <w:rFonts w:ascii="Times New Roman" w:hAnsi="Times New Roman" w:eastAsia="Times New Roman" w:cs="Times New Roman"/>
                            <w:sz w:val="20"/>
                            <w:szCs w:val="20"/>
                          </w:rPr>
                        </w:pPr>
                        <w:r>
                          <w:rPr>
                            <w:spacing w:val="2"/>
                            <w:sz w:val="20"/>
                            <w:szCs w:val="20"/>
                          </w:rPr>
                          <w:t>东北</w:t>
                        </w:r>
                        <w:r>
                          <w:rPr>
                            <w:spacing w:val="17"/>
                            <w:sz w:val="20"/>
                            <w:szCs w:val="20"/>
                          </w:rPr>
                          <w:t xml:space="preserve">  </w:t>
                        </w:r>
                        <w:r>
                          <w:rPr>
                            <w:rFonts w:ascii="Times New Roman" w:hAnsi="Times New Roman" w:eastAsia="Times New Roman" w:cs="Times New Roman"/>
                            <w:spacing w:val="2"/>
                            <w:sz w:val="20"/>
                            <w:szCs w:val="20"/>
                          </w:rPr>
                          <w:t>480</w:t>
                        </w:r>
                      </w:p>
                      <w:p w14:paraId="77457CA5">
                        <w:pPr>
                          <w:pStyle w:val="6"/>
                          <w:spacing w:before="223" w:line="228" w:lineRule="auto"/>
                          <w:ind w:right="20"/>
                          <w:jc w:val="right"/>
                          <w:rPr>
                            <w:rFonts w:ascii="Times New Roman" w:hAnsi="Times New Roman" w:eastAsia="Times New Roman" w:cs="Times New Roman"/>
                            <w:sz w:val="20"/>
                            <w:szCs w:val="20"/>
                          </w:rPr>
                        </w:pPr>
                        <w:r>
                          <w:rPr>
                            <w:sz w:val="20"/>
                            <w:szCs w:val="20"/>
                          </w:rPr>
                          <w:t>东</w:t>
                        </w:r>
                        <w:r>
                          <w:rPr>
                            <w:spacing w:val="13"/>
                            <w:sz w:val="20"/>
                            <w:szCs w:val="20"/>
                          </w:rPr>
                          <w:t xml:space="preserve">   </w:t>
                        </w:r>
                        <w:r>
                          <w:rPr>
                            <w:rFonts w:ascii="Times New Roman" w:hAnsi="Times New Roman" w:eastAsia="Times New Roman" w:cs="Times New Roman"/>
                            <w:sz w:val="20"/>
                            <w:szCs w:val="20"/>
                          </w:rPr>
                          <w:t>330</w:t>
                        </w:r>
                      </w:p>
                      <w:p w14:paraId="65B90F32">
                        <w:pPr>
                          <w:pStyle w:val="6"/>
                          <w:spacing w:before="221" w:line="228" w:lineRule="auto"/>
                          <w:ind w:right="20"/>
                          <w:jc w:val="right"/>
                          <w:rPr>
                            <w:rFonts w:ascii="Times New Roman" w:hAnsi="Times New Roman" w:eastAsia="Times New Roman" w:cs="Times New Roman"/>
                            <w:sz w:val="20"/>
                            <w:szCs w:val="20"/>
                          </w:rPr>
                        </w:pPr>
                        <w:r>
                          <w:rPr>
                            <w:spacing w:val="1"/>
                            <w:sz w:val="20"/>
                            <w:szCs w:val="20"/>
                          </w:rPr>
                          <w:t>东</w:t>
                        </w:r>
                        <w:r>
                          <w:rPr>
                            <w:spacing w:val="11"/>
                            <w:sz w:val="20"/>
                            <w:szCs w:val="20"/>
                          </w:rPr>
                          <w:t xml:space="preserve">   </w:t>
                        </w:r>
                        <w:r>
                          <w:rPr>
                            <w:rFonts w:ascii="Times New Roman" w:hAnsi="Times New Roman" w:eastAsia="Times New Roman" w:cs="Times New Roman"/>
                            <w:spacing w:val="1"/>
                            <w:sz w:val="20"/>
                            <w:szCs w:val="20"/>
                          </w:rPr>
                          <w:t>460</w:t>
                        </w:r>
                      </w:p>
                      <w:p w14:paraId="0DB949C2">
                        <w:pPr>
                          <w:pStyle w:val="6"/>
                          <w:spacing w:before="221" w:line="228" w:lineRule="auto"/>
                          <w:ind w:right="20"/>
                          <w:jc w:val="right"/>
                          <w:rPr>
                            <w:rFonts w:ascii="Times New Roman" w:hAnsi="Times New Roman" w:eastAsia="Times New Roman" w:cs="Times New Roman"/>
                            <w:sz w:val="20"/>
                            <w:szCs w:val="20"/>
                          </w:rPr>
                        </w:pPr>
                        <w:r>
                          <w:rPr>
                            <w:spacing w:val="1"/>
                            <w:sz w:val="20"/>
                            <w:szCs w:val="20"/>
                          </w:rPr>
                          <w:t>东</w:t>
                        </w:r>
                        <w:r>
                          <w:rPr>
                            <w:spacing w:val="11"/>
                            <w:sz w:val="20"/>
                            <w:szCs w:val="20"/>
                          </w:rPr>
                          <w:t xml:space="preserve">   </w:t>
                        </w:r>
                        <w:r>
                          <w:rPr>
                            <w:rFonts w:ascii="Times New Roman" w:hAnsi="Times New Roman" w:eastAsia="Times New Roman" w:cs="Times New Roman"/>
                            <w:spacing w:val="1"/>
                            <w:sz w:val="20"/>
                            <w:szCs w:val="20"/>
                          </w:rPr>
                          <w:t>245</w:t>
                        </w:r>
                      </w:p>
                      <w:p w14:paraId="3858C6D6">
                        <w:pPr>
                          <w:pStyle w:val="6"/>
                          <w:spacing w:before="223" w:line="228" w:lineRule="auto"/>
                          <w:ind w:right="20"/>
                          <w:jc w:val="right"/>
                          <w:rPr>
                            <w:rFonts w:ascii="Times New Roman" w:hAnsi="Times New Roman" w:eastAsia="Times New Roman" w:cs="Times New Roman"/>
                            <w:sz w:val="20"/>
                            <w:szCs w:val="20"/>
                          </w:rPr>
                        </w:pPr>
                        <w:r>
                          <w:rPr>
                            <w:sz w:val="20"/>
                            <w:szCs w:val="20"/>
                          </w:rPr>
                          <w:t>东</w:t>
                        </w:r>
                        <w:r>
                          <w:rPr>
                            <w:spacing w:val="13"/>
                            <w:sz w:val="20"/>
                            <w:szCs w:val="20"/>
                          </w:rPr>
                          <w:t xml:space="preserve">   </w:t>
                        </w:r>
                        <w:r>
                          <w:rPr>
                            <w:rFonts w:ascii="Times New Roman" w:hAnsi="Times New Roman" w:eastAsia="Times New Roman" w:cs="Times New Roman"/>
                            <w:sz w:val="20"/>
                            <w:szCs w:val="20"/>
                          </w:rPr>
                          <w:t>305</w:t>
                        </w:r>
                      </w:p>
                      <w:p w14:paraId="30364072">
                        <w:pPr>
                          <w:pStyle w:val="6"/>
                          <w:spacing w:before="221" w:line="228" w:lineRule="auto"/>
                          <w:ind w:right="20"/>
                          <w:jc w:val="right"/>
                          <w:rPr>
                            <w:rFonts w:ascii="Times New Roman" w:hAnsi="Times New Roman" w:eastAsia="Times New Roman" w:cs="Times New Roman"/>
                            <w:sz w:val="20"/>
                            <w:szCs w:val="20"/>
                          </w:rPr>
                        </w:pPr>
                        <w:r>
                          <w:rPr>
                            <w:sz w:val="20"/>
                            <w:szCs w:val="20"/>
                          </w:rPr>
                          <w:t>东</w:t>
                        </w:r>
                        <w:r>
                          <w:rPr>
                            <w:spacing w:val="13"/>
                            <w:sz w:val="20"/>
                            <w:szCs w:val="20"/>
                          </w:rPr>
                          <w:t xml:space="preserve">   </w:t>
                        </w:r>
                        <w:r>
                          <w:rPr>
                            <w:rFonts w:ascii="Times New Roman" w:hAnsi="Times New Roman" w:eastAsia="Times New Roman" w:cs="Times New Roman"/>
                            <w:sz w:val="20"/>
                            <w:szCs w:val="20"/>
                          </w:rPr>
                          <w:t>395</w:t>
                        </w:r>
                      </w:p>
                      <w:sdt>
                        <w:sdtPr>
                          <w:rPr>
                            <w:rFonts w:ascii="宋体" w:hAnsi="宋体" w:eastAsia="宋体" w:cs="宋体"/>
                            <w:sz w:val="20"/>
                            <w:szCs w:val="20"/>
                          </w:rPr>
                          <w:id w:val="147467813"/>
                          <w:docPartObj>
                            <w:docPartGallery w:val="Table of Contents"/>
                            <w:docPartUnique/>
                          </w:docPartObj>
                        </w:sdtPr>
                        <w:sdtEndPr>
                          <w:rPr>
                            <w:rFonts w:ascii="Times New Roman" w:hAnsi="Times New Roman" w:eastAsia="Times New Roman" w:cs="Times New Roman"/>
                            <w:sz w:val="20"/>
                            <w:szCs w:val="20"/>
                          </w:rPr>
                        </w:sdtEndPr>
                        <w:sdtContent>
                          <w:p w14:paraId="14C5153A">
                            <w:pPr>
                              <w:pStyle w:val="6"/>
                              <w:spacing w:before="224" w:line="228" w:lineRule="auto"/>
                              <w:ind w:right="20"/>
                              <w:jc w:val="right"/>
                              <w:rPr>
                                <w:rFonts w:ascii="Times New Roman" w:hAnsi="Times New Roman" w:eastAsia="Times New Roman" w:cs="Times New Roman"/>
                                <w:sz w:val="20"/>
                                <w:szCs w:val="20"/>
                              </w:rPr>
                            </w:pPr>
                            <w:r>
                              <w:rPr>
                                <w:spacing w:val="1"/>
                                <w:sz w:val="20"/>
                                <w:szCs w:val="20"/>
                              </w:rPr>
                              <w:t>东南</w:t>
                            </w:r>
                            <w:r>
                              <w:rPr>
                                <w:spacing w:val="19"/>
                                <w:sz w:val="20"/>
                                <w:szCs w:val="20"/>
                              </w:rPr>
                              <w:t xml:space="preserve">  </w:t>
                            </w:r>
                            <w:r>
                              <w:rPr>
                                <w:rFonts w:ascii="Times New Roman" w:hAnsi="Times New Roman" w:eastAsia="Times New Roman" w:cs="Times New Roman"/>
                                <w:spacing w:val="1"/>
                                <w:sz w:val="20"/>
                                <w:szCs w:val="20"/>
                              </w:rPr>
                              <w:t>380</w:t>
                            </w:r>
                          </w:p>
                          <w:p w14:paraId="686475EB">
                            <w:pPr>
                              <w:pStyle w:val="6"/>
                              <w:spacing w:before="221" w:line="228" w:lineRule="auto"/>
                              <w:ind w:left="619"/>
                              <w:rPr>
                                <w:rFonts w:ascii="Times New Roman" w:hAnsi="Times New Roman" w:eastAsia="Times New Roman" w:cs="Times New Roman"/>
                                <w:sz w:val="20"/>
                                <w:szCs w:val="20"/>
                              </w:rPr>
                            </w:pPr>
                            <w:r>
                              <w:rPr>
                                <w:spacing w:val="-1"/>
                                <w:sz w:val="20"/>
                                <w:szCs w:val="20"/>
                              </w:rPr>
                              <w:t>东南</w:t>
                            </w:r>
                            <w:r>
                              <w:rPr>
                                <w:spacing w:val="48"/>
                                <w:sz w:val="20"/>
                                <w:szCs w:val="20"/>
                              </w:rPr>
                              <w:t xml:space="preserve">  </w:t>
                            </w:r>
                            <w:r>
                              <w:fldChar w:fldCharType="begin"/>
                            </w:r>
                            <w:r>
                              <w:instrText xml:space="preserve"> HYPERLINK \l "bookmark8" </w:instrText>
                            </w:r>
                            <w:r>
                              <w:fldChar w:fldCharType="separate"/>
                            </w:r>
                            <w:r>
                              <w:rPr>
                                <w:rFonts w:ascii="Times New Roman" w:hAnsi="Times New Roman" w:eastAsia="Times New Roman" w:cs="Times New Roman"/>
                                <w:spacing w:val="-1"/>
                                <w:sz w:val="20"/>
                                <w:szCs w:val="20"/>
                              </w:rPr>
                              <w:t>80</w:t>
                            </w:r>
                            <w:r>
                              <w:rPr>
                                <w:rFonts w:ascii="Times New Roman" w:hAnsi="Times New Roman" w:eastAsia="Times New Roman" w:cs="Times New Roman"/>
                                <w:spacing w:val="-1"/>
                                <w:sz w:val="20"/>
                                <w:szCs w:val="20"/>
                              </w:rPr>
                              <w:fldChar w:fldCharType="end"/>
                            </w:r>
                          </w:p>
                        </w:sdtContent>
                      </w:sdt>
                      <w:p w14:paraId="68AD7814">
                        <w:pPr>
                          <w:pStyle w:val="6"/>
                          <w:spacing w:before="221" w:line="230" w:lineRule="auto"/>
                          <w:ind w:right="20"/>
                          <w:jc w:val="right"/>
                          <w:rPr>
                            <w:rFonts w:ascii="Times New Roman" w:hAnsi="Times New Roman" w:eastAsia="Times New Roman" w:cs="Times New Roman"/>
                            <w:sz w:val="20"/>
                            <w:szCs w:val="20"/>
                          </w:rPr>
                        </w:pPr>
                        <w:r>
                          <w:rPr>
                            <w:spacing w:val="-3"/>
                            <w:sz w:val="20"/>
                            <w:szCs w:val="20"/>
                          </w:rPr>
                          <w:t>南</w:t>
                        </w:r>
                        <w:r>
                          <w:rPr>
                            <w:spacing w:val="18"/>
                            <w:sz w:val="20"/>
                            <w:szCs w:val="20"/>
                          </w:rPr>
                          <w:t xml:space="preserve">   </w:t>
                        </w:r>
                        <w:r>
                          <w:rPr>
                            <w:rFonts w:ascii="Times New Roman" w:hAnsi="Times New Roman" w:eastAsia="Times New Roman" w:cs="Times New Roman"/>
                            <w:spacing w:val="-3"/>
                            <w:sz w:val="20"/>
                            <w:szCs w:val="20"/>
                          </w:rPr>
                          <w:t>145</w:t>
                        </w:r>
                      </w:p>
                    </w:txbxContent>
                  </v:textbox>
                </v:shape>
              </w:pict>
            </w:r>
            <w:r>
              <w:pict>
                <v:shape id="_x0000_s1049" o:spid="_x0000_s1049" o:spt="202" type="#_x0000_t202" style="position:absolute;left:0pt;margin-left:70.3pt;margin-top:7.3pt;height:314.75pt;width:56.25pt;z-index:251719680;mso-width-relative:page;mso-height-relative:page;" filled="f" stroked="f" coordsize="21600,21600">
                  <v:path/>
                  <v:fill on="f" focussize="0,0"/>
                  <v:stroke on="f"/>
                  <v:imagedata o:title=""/>
                  <o:lock v:ext="edit" aspectratio="f"/>
                  <v:textbox inset="0mm,0mm,0mm,0mm">
                    <w:txbxContent>
                      <w:p w14:paraId="0C81D2D9">
                        <w:pPr>
                          <w:spacing w:before="20" w:line="163"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106°54,</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pacing w:val="-1"/>
                            <w:sz w:val="20"/>
                            <w:szCs w:val="20"/>
                          </w:rPr>
                          <w:t>18.5</w:t>
                        </w:r>
                        <w:r>
                          <w:rPr>
                            <w:rFonts w:ascii="Times New Roman" w:hAnsi="Times New Roman" w:eastAsia="Times New Roman" w:cs="Times New Roman"/>
                            <w:spacing w:val="-35"/>
                            <w:sz w:val="20"/>
                            <w:szCs w:val="20"/>
                          </w:rPr>
                          <w:t xml:space="preserve"> </w:t>
                        </w:r>
                        <w:r>
                          <w:rPr>
                            <w:rFonts w:ascii="Times New Roman" w:hAnsi="Times New Roman" w:eastAsia="Times New Roman" w:cs="Times New Roman"/>
                            <w:spacing w:val="-1"/>
                            <w:sz w:val="20"/>
                            <w:szCs w:val="20"/>
                          </w:rPr>
                          <w:t>″</w:t>
                        </w:r>
                      </w:p>
                      <w:p w14:paraId="2B443B37">
                        <w:pPr>
                          <w:spacing w:line="255" w:lineRule="auto"/>
                          <w:rPr>
                            <w:rFonts w:ascii="Arial"/>
                            <w:sz w:val="21"/>
                          </w:rPr>
                        </w:pPr>
                      </w:p>
                      <w:p w14:paraId="1C5D7D96">
                        <w:pPr>
                          <w:spacing w:before="57" w:line="163"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106°54,21.3</w:t>
                        </w:r>
                        <w:r>
                          <w:rPr>
                            <w:rFonts w:ascii="Times New Roman" w:hAnsi="Times New Roman" w:eastAsia="Times New Roman" w:cs="Times New Roman"/>
                            <w:spacing w:val="-29"/>
                            <w:sz w:val="20"/>
                            <w:szCs w:val="20"/>
                          </w:rPr>
                          <w:t xml:space="preserve"> </w:t>
                        </w:r>
                        <w:r>
                          <w:rPr>
                            <w:rFonts w:ascii="Times New Roman" w:hAnsi="Times New Roman" w:eastAsia="Times New Roman" w:cs="Times New Roman"/>
                            <w:spacing w:val="1"/>
                            <w:sz w:val="20"/>
                            <w:szCs w:val="20"/>
                          </w:rPr>
                          <w:t>″</w:t>
                        </w:r>
                      </w:p>
                      <w:p w14:paraId="144CE409">
                        <w:pPr>
                          <w:spacing w:line="252" w:lineRule="auto"/>
                          <w:rPr>
                            <w:rFonts w:ascii="Arial"/>
                            <w:sz w:val="21"/>
                          </w:rPr>
                        </w:pPr>
                      </w:p>
                      <w:p w14:paraId="0FBF3D85">
                        <w:pPr>
                          <w:spacing w:before="58" w:line="163"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106°54,34.7</w:t>
                        </w:r>
                        <w:r>
                          <w:rPr>
                            <w:rFonts w:ascii="Times New Roman" w:hAnsi="Times New Roman" w:eastAsia="Times New Roman" w:cs="Times New Roman"/>
                            <w:spacing w:val="-29"/>
                            <w:sz w:val="20"/>
                            <w:szCs w:val="20"/>
                          </w:rPr>
                          <w:t xml:space="preserve"> </w:t>
                        </w:r>
                        <w:r>
                          <w:rPr>
                            <w:rFonts w:ascii="Times New Roman" w:hAnsi="Times New Roman" w:eastAsia="Times New Roman" w:cs="Times New Roman"/>
                            <w:spacing w:val="1"/>
                            <w:sz w:val="20"/>
                            <w:szCs w:val="20"/>
                          </w:rPr>
                          <w:t>″</w:t>
                        </w:r>
                      </w:p>
                      <w:p w14:paraId="18F2D926">
                        <w:pPr>
                          <w:spacing w:line="255" w:lineRule="auto"/>
                          <w:rPr>
                            <w:rFonts w:ascii="Arial"/>
                            <w:sz w:val="21"/>
                          </w:rPr>
                        </w:pPr>
                      </w:p>
                      <w:p w14:paraId="07C332C6">
                        <w:pPr>
                          <w:spacing w:before="57" w:line="163"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106°54,36.8</w:t>
                        </w:r>
                        <w:r>
                          <w:rPr>
                            <w:rFonts w:ascii="Times New Roman" w:hAnsi="Times New Roman" w:eastAsia="Times New Roman" w:cs="Times New Roman"/>
                            <w:spacing w:val="-29"/>
                            <w:sz w:val="20"/>
                            <w:szCs w:val="20"/>
                          </w:rPr>
                          <w:t xml:space="preserve"> </w:t>
                        </w:r>
                        <w:r>
                          <w:rPr>
                            <w:rFonts w:ascii="Times New Roman" w:hAnsi="Times New Roman" w:eastAsia="Times New Roman" w:cs="Times New Roman"/>
                            <w:spacing w:val="1"/>
                            <w:sz w:val="20"/>
                            <w:szCs w:val="20"/>
                          </w:rPr>
                          <w:t>″</w:t>
                        </w:r>
                      </w:p>
                      <w:p w14:paraId="26EBEE26">
                        <w:pPr>
                          <w:spacing w:line="252" w:lineRule="auto"/>
                          <w:rPr>
                            <w:rFonts w:ascii="Arial"/>
                            <w:sz w:val="21"/>
                          </w:rPr>
                        </w:pPr>
                      </w:p>
                      <w:p w14:paraId="247524EC">
                        <w:pPr>
                          <w:spacing w:before="58" w:line="163"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106°54,41.4</w:t>
                        </w:r>
                        <w:r>
                          <w:rPr>
                            <w:rFonts w:ascii="Times New Roman" w:hAnsi="Times New Roman" w:eastAsia="Times New Roman" w:cs="Times New Roman"/>
                            <w:spacing w:val="-29"/>
                            <w:sz w:val="20"/>
                            <w:szCs w:val="20"/>
                          </w:rPr>
                          <w:t xml:space="preserve"> </w:t>
                        </w:r>
                        <w:r>
                          <w:rPr>
                            <w:rFonts w:ascii="Times New Roman" w:hAnsi="Times New Roman" w:eastAsia="Times New Roman" w:cs="Times New Roman"/>
                            <w:spacing w:val="1"/>
                            <w:sz w:val="20"/>
                            <w:szCs w:val="20"/>
                          </w:rPr>
                          <w:t>″</w:t>
                        </w:r>
                      </w:p>
                      <w:p w14:paraId="0D77B245">
                        <w:pPr>
                          <w:spacing w:line="255" w:lineRule="auto"/>
                          <w:rPr>
                            <w:rFonts w:ascii="Arial"/>
                            <w:sz w:val="21"/>
                          </w:rPr>
                        </w:pPr>
                      </w:p>
                      <w:p w14:paraId="40746293">
                        <w:pPr>
                          <w:spacing w:before="57" w:line="163"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106°54,50.</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pacing w:val="-1"/>
                            <w:sz w:val="20"/>
                            <w:szCs w:val="20"/>
                          </w:rPr>
                          <w:t>1</w:t>
                        </w:r>
                        <w:r>
                          <w:rPr>
                            <w:rFonts w:ascii="Times New Roman" w:hAnsi="Times New Roman" w:eastAsia="Times New Roman" w:cs="Times New Roman"/>
                            <w:spacing w:val="-35"/>
                            <w:sz w:val="20"/>
                            <w:szCs w:val="20"/>
                          </w:rPr>
                          <w:t xml:space="preserve"> </w:t>
                        </w:r>
                        <w:r>
                          <w:rPr>
                            <w:rFonts w:ascii="Times New Roman" w:hAnsi="Times New Roman" w:eastAsia="Times New Roman" w:cs="Times New Roman"/>
                            <w:spacing w:val="-1"/>
                            <w:sz w:val="20"/>
                            <w:szCs w:val="20"/>
                          </w:rPr>
                          <w:t>″</w:t>
                        </w:r>
                      </w:p>
                      <w:p w14:paraId="220BEDFF">
                        <w:pPr>
                          <w:spacing w:line="252" w:lineRule="auto"/>
                          <w:rPr>
                            <w:rFonts w:ascii="Arial"/>
                            <w:sz w:val="21"/>
                          </w:rPr>
                        </w:pPr>
                      </w:p>
                      <w:p w14:paraId="163D1B7A">
                        <w:pPr>
                          <w:spacing w:before="58" w:line="163"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106°54,47.4</w:t>
                        </w:r>
                        <w:r>
                          <w:rPr>
                            <w:rFonts w:ascii="Times New Roman" w:hAnsi="Times New Roman" w:eastAsia="Times New Roman" w:cs="Times New Roman"/>
                            <w:spacing w:val="-29"/>
                            <w:sz w:val="20"/>
                            <w:szCs w:val="20"/>
                          </w:rPr>
                          <w:t xml:space="preserve"> </w:t>
                        </w:r>
                        <w:r>
                          <w:rPr>
                            <w:rFonts w:ascii="Times New Roman" w:hAnsi="Times New Roman" w:eastAsia="Times New Roman" w:cs="Times New Roman"/>
                            <w:spacing w:val="1"/>
                            <w:sz w:val="20"/>
                            <w:szCs w:val="20"/>
                          </w:rPr>
                          <w:t>″</w:t>
                        </w:r>
                      </w:p>
                      <w:p w14:paraId="3FB4D4F6">
                        <w:pPr>
                          <w:spacing w:line="252" w:lineRule="auto"/>
                          <w:rPr>
                            <w:rFonts w:ascii="Arial"/>
                            <w:sz w:val="21"/>
                          </w:rPr>
                        </w:pPr>
                      </w:p>
                      <w:p w14:paraId="5B83C675">
                        <w:pPr>
                          <w:spacing w:before="58" w:line="163"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106°54,51.</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pacing w:val="-1"/>
                            <w:sz w:val="20"/>
                            <w:szCs w:val="20"/>
                          </w:rPr>
                          <w:t>1</w:t>
                        </w:r>
                        <w:r>
                          <w:rPr>
                            <w:rFonts w:ascii="Times New Roman" w:hAnsi="Times New Roman" w:eastAsia="Times New Roman" w:cs="Times New Roman"/>
                            <w:spacing w:val="-35"/>
                            <w:sz w:val="20"/>
                            <w:szCs w:val="20"/>
                          </w:rPr>
                          <w:t xml:space="preserve"> </w:t>
                        </w:r>
                        <w:r>
                          <w:rPr>
                            <w:rFonts w:ascii="Times New Roman" w:hAnsi="Times New Roman" w:eastAsia="Times New Roman" w:cs="Times New Roman"/>
                            <w:spacing w:val="-1"/>
                            <w:sz w:val="20"/>
                            <w:szCs w:val="20"/>
                          </w:rPr>
                          <w:t>″</w:t>
                        </w:r>
                      </w:p>
                      <w:p w14:paraId="1D002CC0">
                        <w:pPr>
                          <w:spacing w:line="255" w:lineRule="auto"/>
                          <w:rPr>
                            <w:rFonts w:ascii="Arial"/>
                            <w:sz w:val="21"/>
                          </w:rPr>
                        </w:pPr>
                      </w:p>
                      <w:p w14:paraId="0400EE03">
                        <w:pPr>
                          <w:spacing w:before="58" w:line="163"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106°54,41.4</w:t>
                        </w:r>
                        <w:r>
                          <w:rPr>
                            <w:rFonts w:ascii="Times New Roman" w:hAnsi="Times New Roman" w:eastAsia="Times New Roman" w:cs="Times New Roman"/>
                            <w:spacing w:val="-29"/>
                            <w:sz w:val="20"/>
                            <w:szCs w:val="20"/>
                          </w:rPr>
                          <w:t xml:space="preserve"> </w:t>
                        </w:r>
                        <w:r>
                          <w:rPr>
                            <w:rFonts w:ascii="Times New Roman" w:hAnsi="Times New Roman" w:eastAsia="Times New Roman" w:cs="Times New Roman"/>
                            <w:spacing w:val="1"/>
                            <w:sz w:val="20"/>
                            <w:szCs w:val="20"/>
                          </w:rPr>
                          <w:t>″</w:t>
                        </w:r>
                      </w:p>
                      <w:p w14:paraId="78EE8CEF">
                        <w:pPr>
                          <w:spacing w:line="252" w:lineRule="auto"/>
                          <w:rPr>
                            <w:rFonts w:ascii="Arial"/>
                            <w:sz w:val="21"/>
                          </w:rPr>
                        </w:pPr>
                      </w:p>
                      <w:p w14:paraId="69F31853">
                        <w:pPr>
                          <w:spacing w:before="58" w:line="163"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106°54,43.9</w:t>
                        </w:r>
                        <w:r>
                          <w:rPr>
                            <w:rFonts w:ascii="Times New Roman" w:hAnsi="Times New Roman" w:eastAsia="Times New Roman" w:cs="Times New Roman"/>
                            <w:spacing w:val="-29"/>
                            <w:sz w:val="20"/>
                            <w:szCs w:val="20"/>
                          </w:rPr>
                          <w:t xml:space="preserve"> </w:t>
                        </w:r>
                        <w:r>
                          <w:rPr>
                            <w:rFonts w:ascii="Times New Roman" w:hAnsi="Times New Roman" w:eastAsia="Times New Roman" w:cs="Times New Roman"/>
                            <w:spacing w:val="1"/>
                            <w:sz w:val="20"/>
                            <w:szCs w:val="20"/>
                          </w:rPr>
                          <w:t>″</w:t>
                        </w:r>
                      </w:p>
                      <w:p w14:paraId="6590F3D3">
                        <w:pPr>
                          <w:spacing w:line="255" w:lineRule="auto"/>
                          <w:rPr>
                            <w:rFonts w:ascii="Arial"/>
                            <w:sz w:val="21"/>
                          </w:rPr>
                        </w:pPr>
                      </w:p>
                      <w:p w14:paraId="2850ACEF">
                        <w:pPr>
                          <w:spacing w:before="58" w:line="163"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106°54,46.6</w:t>
                        </w:r>
                        <w:r>
                          <w:rPr>
                            <w:rFonts w:ascii="Times New Roman" w:hAnsi="Times New Roman" w:eastAsia="Times New Roman" w:cs="Times New Roman"/>
                            <w:spacing w:val="-29"/>
                            <w:sz w:val="20"/>
                            <w:szCs w:val="20"/>
                          </w:rPr>
                          <w:t xml:space="preserve"> </w:t>
                        </w:r>
                        <w:r>
                          <w:rPr>
                            <w:rFonts w:ascii="Times New Roman" w:hAnsi="Times New Roman" w:eastAsia="Times New Roman" w:cs="Times New Roman"/>
                            <w:spacing w:val="1"/>
                            <w:sz w:val="20"/>
                            <w:szCs w:val="20"/>
                          </w:rPr>
                          <w:t>″</w:t>
                        </w:r>
                      </w:p>
                      <w:p w14:paraId="3A5B6C12">
                        <w:pPr>
                          <w:spacing w:line="252" w:lineRule="auto"/>
                          <w:rPr>
                            <w:rFonts w:ascii="Arial"/>
                            <w:sz w:val="21"/>
                          </w:rPr>
                        </w:pPr>
                      </w:p>
                      <w:p w14:paraId="4F72E6E8">
                        <w:pPr>
                          <w:spacing w:before="58" w:line="163"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106°54,38.7</w:t>
                        </w:r>
                        <w:r>
                          <w:rPr>
                            <w:rFonts w:ascii="Times New Roman" w:hAnsi="Times New Roman" w:eastAsia="Times New Roman" w:cs="Times New Roman"/>
                            <w:spacing w:val="-29"/>
                            <w:sz w:val="20"/>
                            <w:szCs w:val="20"/>
                          </w:rPr>
                          <w:t xml:space="preserve"> </w:t>
                        </w:r>
                        <w:r>
                          <w:rPr>
                            <w:rFonts w:ascii="Times New Roman" w:hAnsi="Times New Roman" w:eastAsia="Times New Roman" w:cs="Times New Roman"/>
                            <w:spacing w:val="1"/>
                            <w:sz w:val="20"/>
                            <w:szCs w:val="20"/>
                          </w:rPr>
                          <w:t>″</w:t>
                        </w:r>
                      </w:p>
                      <w:p w14:paraId="20F0637E">
                        <w:pPr>
                          <w:spacing w:line="252" w:lineRule="auto"/>
                          <w:rPr>
                            <w:rFonts w:ascii="Arial"/>
                            <w:sz w:val="21"/>
                          </w:rPr>
                        </w:pPr>
                      </w:p>
                      <w:p w14:paraId="547B80CD">
                        <w:pPr>
                          <w:spacing w:before="58" w:line="163"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106°54,32.8</w:t>
                        </w:r>
                        <w:r>
                          <w:rPr>
                            <w:rFonts w:ascii="Times New Roman" w:hAnsi="Times New Roman" w:eastAsia="Times New Roman" w:cs="Times New Roman"/>
                            <w:spacing w:val="-29"/>
                            <w:sz w:val="20"/>
                            <w:szCs w:val="20"/>
                          </w:rPr>
                          <w:t xml:space="preserve"> </w:t>
                        </w:r>
                        <w:r>
                          <w:rPr>
                            <w:rFonts w:ascii="Times New Roman" w:hAnsi="Times New Roman" w:eastAsia="Times New Roman" w:cs="Times New Roman"/>
                            <w:spacing w:val="1"/>
                            <w:sz w:val="20"/>
                            <w:szCs w:val="20"/>
                          </w:rPr>
                          <w:t>″</w:t>
                        </w:r>
                      </w:p>
                      <w:p w14:paraId="7B595A9B">
                        <w:pPr>
                          <w:spacing w:line="255" w:lineRule="auto"/>
                          <w:rPr>
                            <w:rFonts w:ascii="Arial"/>
                            <w:sz w:val="21"/>
                          </w:rPr>
                        </w:pPr>
                      </w:p>
                      <w:p w14:paraId="7C6DC47A">
                        <w:pPr>
                          <w:spacing w:before="58" w:line="163"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106°54,26.3</w:t>
                        </w:r>
                        <w:r>
                          <w:rPr>
                            <w:rFonts w:ascii="Times New Roman" w:hAnsi="Times New Roman" w:eastAsia="Times New Roman" w:cs="Times New Roman"/>
                            <w:spacing w:val="-29"/>
                            <w:sz w:val="20"/>
                            <w:szCs w:val="20"/>
                          </w:rPr>
                          <w:t xml:space="preserve"> </w:t>
                        </w:r>
                        <w:r>
                          <w:rPr>
                            <w:rFonts w:ascii="Times New Roman" w:hAnsi="Times New Roman" w:eastAsia="Times New Roman" w:cs="Times New Roman"/>
                            <w:spacing w:val="1"/>
                            <w:sz w:val="20"/>
                            <w:szCs w:val="20"/>
                          </w:rPr>
                          <w:t>″</w:t>
                        </w:r>
                      </w:p>
                    </w:txbxContent>
                  </v:textbox>
                </v:shape>
              </w:pict>
            </w:r>
            <w:r>
              <w:pict>
                <v:shape id="_x0000_s1050" o:spid="_x0000_s1050" style="position:absolute;left:0pt;margin-left:282.5pt;margin-top:1.9pt;height:326.9pt;width:0.75pt;mso-position-horizontal-relative:page;mso-position-vertical-relative:page;z-index:251713536;mso-width-relative:page;mso-height-relative:page;" filled="f" stroked="t" coordsize="15,6537" path="m7,0l7,6537e">
                  <v:fill on="f" focussize="0,0"/>
                  <v:stroke weight="0.72pt" color="#000000" miterlimit="2" joinstyle="bevel"/>
                  <v:imagedata o:title=""/>
                  <o:lock v:ext="edit"/>
                </v:shape>
              </w:pict>
            </w:r>
            <w:r>
              <w:pict>
                <v:shape id="_x0000_s1051" o:spid="_x0000_s1051" style="position:absolute;left:0pt;margin-left:-0.55pt;margin-top:23.95pt;height:0.75pt;width:247.5pt;mso-position-horizontal-relative:page;mso-position-vertical-relative:page;z-index:-251620352;mso-width-relative:page;mso-height-relative:page;" filled="f" stroked="t" coordsize="4950,15" path="m0,7l4949,7e">
                  <v:fill on="f" focussize="0,0"/>
                  <v:stroke weight="0.72pt" color="#000000" miterlimit="2" joinstyle="bevel"/>
                  <v:imagedata o:title=""/>
                  <o:lock v:ext="edit"/>
                </v:shape>
              </w:pict>
            </w:r>
            <w:r>
              <w:pict>
                <v:shape id="_x0000_s1052" o:spid="_x0000_s1052" style="position:absolute;left:0pt;margin-left:-0.55pt;margin-top:47.4pt;height:0.75pt;width:247.5pt;mso-position-horizontal-relative:page;mso-position-vertical-relative:page;z-index:-251627520;mso-width-relative:page;mso-height-relative:page;" filled="f" stroked="t" coordsize="4950,15" path="m0,7l4949,7e">
                  <v:fill on="f" focussize="0,0"/>
                  <v:stroke weight="0.72pt" color="#000000" miterlimit="2" joinstyle="bevel"/>
                  <v:imagedata o:title=""/>
                  <o:lock v:ext="edit"/>
                </v:shape>
              </w:pict>
            </w:r>
            <w:r>
              <w:pict>
                <v:shape id="_x0000_s1053" o:spid="_x0000_s1053" style="position:absolute;left:0pt;margin-left:-0.55pt;margin-top:70.85pt;height:0.75pt;width:247.5pt;mso-position-horizontal-relative:page;mso-position-vertical-relative:page;z-index:-251622400;mso-width-relative:page;mso-height-relative:page;" filled="f" stroked="t" coordsize="4950,15" path="m0,7l4949,7e">
                  <v:fill on="f" focussize="0,0"/>
                  <v:stroke weight="0.72pt" color="#000000" miterlimit="2" joinstyle="bevel"/>
                  <v:imagedata o:title=""/>
                  <o:lock v:ext="edit"/>
                </v:shape>
              </w:pict>
            </w:r>
            <w:r>
              <w:pict>
                <v:shape id="_x0000_s1054" o:spid="_x0000_s1054" style="position:absolute;left:0pt;margin-left:-0.55pt;margin-top:94.3pt;height:0.75pt;width:247.5pt;mso-position-horizontal-relative:page;mso-position-vertical-relative:page;z-index:-251624448;mso-width-relative:page;mso-height-relative:page;" filled="f" stroked="t" coordsize="4950,15" path="m0,7l4949,7e">
                  <v:fill on="f" focussize="0,0"/>
                  <v:stroke weight="0.72pt" color="#000000" miterlimit="2" joinstyle="bevel"/>
                  <v:imagedata o:title=""/>
                  <o:lock v:ext="edit"/>
                </v:shape>
              </w:pict>
            </w:r>
            <w:r>
              <w:pict>
                <v:shape id="_x0000_s1055" o:spid="_x0000_s1055" style="position:absolute;left:0pt;margin-left:-0.55pt;margin-top:117.75pt;height:0.75pt;width:247.5pt;mso-position-horizontal-relative:page;mso-position-vertical-relative:page;z-index:-251625472;mso-width-relative:page;mso-height-relative:page;" filled="f" stroked="t" coordsize="4950,15" path="m0,7l4949,7e">
                  <v:fill on="f" focussize="0,0"/>
                  <v:stroke weight="0.72pt" color="#000000" miterlimit="2" joinstyle="bevel"/>
                  <v:imagedata o:title=""/>
                  <o:lock v:ext="edit"/>
                </v:shape>
              </w:pict>
            </w:r>
            <w:r>
              <w:pict>
                <v:shape id="_x0000_s1056" o:spid="_x0000_s1056" style="position:absolute;left:0pt;margin-left:-0.55pt;margin-top:141.2pt;height:0.75pt;width:247.5pt;mso-position-horizontal-relative:page;mso-position-vertical-relative:page;z-index:-251621376;mso-width-relative:page;mso-height-relative:page;" filled="f" stroked="t" coordsize="4950,15" path="m0,7l4949,7e">
                  <v:fill on="f" focussize="0,0"/>
                  <v:stroke weight="0.72pt" color="#000000" miterlimit="2" joinstyle="bevel"/>
                  <v:imagedata o:title=""/>
                  <o:lock v:ext="edit"/>
                </v:shape>
              </w:pict>
            </w:r>
            <w:r>
              <w:pict>
                <v:shape id="_x0000_s1057" o:spid="_x0000_s1057" style="position:absolute;left:0pt;margin-left:-0.55pt;margin-top:164.65pt;height:0.75pt;width:247.5pt;mso-position-horizontal-relative:page;mso-position-vertical-relative:page;z-index:-251623424;mso-width-relative:page;mso-height-relative:page;" filled="f" stroked="t" coordsize="4950,15" path="m0,7l4949,7e">
                  <v:fill on="f" focussize="0,0"/>
                  <v:stroke weight="0.72pt" color="#000000" miterlimit="2" joinstyle="bevel"/>
                  <v:imagedata o:title=""/>
                  <o:lock v:ext="edit"/>
                </v:shape>
              </w:pict>
            </w:r>
            <w:r>
              <w:pict>
                <v:shape id="_x0000_s1058" o:spid="_x0000_s1058" style="position:absolute;left:0pt;margin-left:-0.55pt;margin-top:188.1pt;height:0.75pt;width:247.5pt;mso-position-horizontal-relative:page;mso-position-vertical-relative:page;z-index:-251626496;mso-width-relative:page;mso-height-relative:page;" filled="f" stroked="t" coordsize="4950,15" path="m0,7l4949,7e">
                  <v:fill on="f" focussize="0,0"/>
                  <v:stroke weight="0.72pt" color="#000000" miterlimit="2" joinstyle="bevel"/>
                  <v:imagedata o:title=""/>
                  <o:lock v:ext="edit"/>
                </v:shape>
              </w:pict>
            </w:r>
            <w:r>
              <w:pict>
                <v:shape id="_x0000_s1059" o:spid="_x0000_s1059" style="position:absolute;left:0pt;margin-left:-0.55pt;margin-top:211.55pt;height:0.75pt;width:247.5pt;mso-position-horizontal-relative:page;mso-position-vertical-relative:page;z-index:-251619328;mso-width-relative:page;mso-height-relative:page;" filled="f" stroked="t" coordsize="4950,15" path="m0,7l4949,7e">
                  <v:fill on="f" focussize="0,0"/>
                  <v:stroke weight="0.72pt" color="#000000" miterlimit="2" joinstyle="bevel"/>
                  <v:imagedata o:title=""/>
                  <o:lock v:ext="edit"/>
                </v:shape>
              </w:pict>
            </w:r>
            <w:r>
              <w:pict>
                <v:shape id="_x0000_s1060" o:spid="_x0000_s1060" style="position:absolute;left:0pt;margin-left:-0.55pt;margin-top:235pt;height:0.75pt;width:247.5pt;mso-position-horizontal-relative:page;mso-position-vertical-relative:page;z-index:-251618304;mso-width-relative:page;mso-height-relative:page;" filled="f" stroked="t" coordsize="4950,15" path="m0,7l4949,7e">
                  <v:fill on="f" focussize="0,0"/>
                  <v:stroke weight="0.72pt" color="#000000" miterlimit="2" joinstyle="bevel"/>
                  <v:imagedata o:title=""/>
                  <o:lock v:ext="edit"/>
                </v:shape>
              </w:pict>
            </w:r>
            <w:r>
              <w:pict>
                <v:shape id="_x0000_s1061" o:spid="_x0000_s1061" style="position:absolute;left:0pt;margin-left:-0.55pt;margin-top:258.45pt;height:0.75pt;width:247.5pt;mso-position-horizontal-relative:page;mso-position-vertical-relative:page;z-index:-251628544;mso-width-relative:page;mso-height-relative:page;" filled="f" stroked="t" coordsize="4950,15" path="m0,7l4949,7e">
                  <v:fill on="f" focussize="0,0"/>
                  <v:stroke weight="0.72pt" color="#000000" miterlimit="2" joinstyle="bevel"/>
                  <v:imagedata o:title=""/>
                  <o:lock v:ext="edit"/>
                </v:shape>
              </w:pict>
            </w:r>
            <w:r>
              <w:pict>
                <v:shape id="_x0000_s1062" o:spid="_x0000_s1062" style="position:absolute;left:0pt;margin-left:-0.55pt;margin-top:281.9pt;height:0.75pt;width:247.5pt;mso-position-horizontal-relative:page;mso-position-vertical-relative:page;z-index:-251629568;mso-width-relative:page;mso-height-relative:page;" filled="f" stroked="t" coordsize="4950,15" path="m0,7l4949,7e">
                  <v:fill on="f" focussize="0,0"/>
                  <v:stroke weight="0.72pt" color="#000000" miterlimit="2" joinstyle="bevel"/>
                  <v:imagedata o:title=""/>
                  <o:lock v:ext="edit"/>
                </v:shape>
              </w:pict>
            </w:r>
            <w:r>
              <w:pict>
                <v:shape id="_x0000_s1063" o:spid="_x0000_s1063" style="position:absolute;left:0pt;margin-left:-0.55pt;margin-top:305.35pt;height:0.75pt;width:247.5pt;mso-position-horizontal-relative:page;mso-position-vertical-relative:page;z-index:-251630592;mso-width-relative:page;mso-height-relative:page;" filled="f" stroked="t" coordsize="4950,15" path="m0,7l4949,7e">
                  <v:fill on="f" focussize="0,0"/>
                  <v:stroke weight="0.72pt" color="#000000" miterlimit="2" joinstyle="bevel"/>
                  <v:imagedata o:title=""/>
                  <o:lock v:ext="edit"/>
                </v:shape>
              </w:pict>
            </w:r>
            <w:r>
              <w:pict>
                <v:shape id="_x0000_s1064" o:spid="_x0000_s1064" style="position:absolute;left:0pt;margin-left:317.8pt;margin-top:23.95pt;height:0.75pt;width:59.65pt;mso-position-horizontal-relative:page;mso-position-vertical-relative:page;z-index:251701248;mso-width-relative:page;mso-height-relative:page;" filled="f" stroked="t" coordsize="1193,15" path="m0,7l1192,7e">
                  <v:fill on="f" focussize="0,0"/>
                  <v:stroke weight="0.72pt" color="#000000" miterlimit="2" joinstyle="bevel"/>
                  <v:imagedata o:title=""/>
                  <o:lock v:ext="edit"/>
                </v:shape>
              </w:pict>
            </w:r>
            <w:r>
              <w:pict>
                <v:shape id="_x0000_s1065" o:spid="_x0000_s1065" style="position:absolute;left:0pt;margin-left:317.8pt;margin-top:47.4pt;height:0.75pt;width:59.65pt;mso-position-horizontal-relative:page;mso-position-vertical-relative:page;z-index:251706368;mso-width-relative:page;mso-height-relative:page;" filled="f" stroked="t" coordsize="1193,15" path="m0,7l1192,7e">
                  <v:fill on="f" focussize="0,0"/>
                  <v:stroke weight="0.72pt" color="#000000" miterlimit="2" joinstyle="bevel"/>
                  <v:imagedata o:title=""/>
                  <o:lock v:ext="edit"/>
                </v:shape>
              </w:pict>
            </w:r>
            <w:r>
              <w:pict>
                <v:shape id="_x0000_s1066" o:spid="_x0000_s1066" style="position:absolute;left:0pt;margin-left:317.8pt;margin-top:70.85pt;height:0.75pt;width:59.65pt;mso-position-horizontal-relative:page;mso-position-vertical-relative:page;z-index:251700224;mso-width-relative:page;mso-height-relative:page;" filled="f" stroked="t" coordsize="1193,15" path="m0,7l1192,7e">
                  <v:fill on="f" focussize="0,0"/>
                  <v:stroke weight="0.72pt" color="#000000" miterlimit="2" joinstyle="bevel"/>
                  <v:imagedata o:title=""/>
                  <o:lock v:ext="edit"/>
                </v:shape>
              </w:pict>
            </w:r>
            <w:r>
              <w:pict>
                <v:shape id="_x0000_s1067" o:spid="_x0000_s1067" style="position:absolute;left:0pt;margin-left:317.8pt;margin-top:94.3pt;height:0.75pt;width:59.65pt;mso-position-horizontal-relative:page;mso-position-vertical-relative:page;z-index:251699200;mso-width-relative:page;mso-height-relative:page;" filled="f" stroked="t" coordsize="1193,15" path="m0,7l1192,7e">
                  <v:fill on="f" focussize="0,0"/>
                  <v:stroke weight="0.72pt" color="#000000" miterlimit="2" joinstyle="bevel"/>
                  <v:imagedata o:title=""/>
                  <o:lock v:ext="edit"/>
                </v:shape>
              </w:pict>
            </w:r>
            <w:r>
              <w:pict>
                <v:shape id="_x0000_s1068" o:spid="_x0000_s1068" style="position:absolute;left:0pt;margin-left:317.8pt;margin-top:117.75pt;height:0.75pt;width:59.65pt;mso-position-horizontal-relative:page;mso-position-vertical-relative:page;z-index:251702272;mso-width-relative:page;mso-height-relative:page;" filled="f" stroked="t" coordsize="1193,15" path="m0,7l1192,7e">
                  <v:fill on="f" focussize="0,0"/>
                  <v:stroke weight="0.72pt" color="#000000" miterlimit="2" joinstyle="bevel"/>
                  <v:imagedata o:title=""/>
                  <o:lock v:ext="edit"/>
                </v:shape>
              </w:pict>
            </w:r>
            <w:r>
              <w:pict>
                <v:shape id="_x0000_s1069" o:spid="_x0000_s1069" style="position:absolute;left:0pt;margin-left:317.8pt;margin-top:141.2pt;height:0.75pt;width:59.65pt;mso-position-horizontal-relative:page;mso-position-vertical-relative:page;z-index:251703296;mso-width-relative:page;mso-height-relative:page;" filled="f" stroked="t" coordsize="1193,15" path="m0,7l1192,7e">
                  <v:fill on="f" focussize="0,0"/>
                  <v:stroke weight="0.72pt" color="#000000" miterlimit="2" joinstyle="bevel"/>
                  <v:imagedata o:title=""/>
                  <o:lock v:ext="edit"/>
                </v:shape>
              </w:pict>
            </w:r>
            <w:r>
              <w:pict>
                <v:shape id="_x0000_s1070" o:spid="_x0000_s1070" style="position:absolute;left:0pt;margin-left:317.8pt;margin-top:164.65pt;height:0.75pt;width:59.65pt;mso-position-horizontal-relative:page;mso-position-vertical-relative:page;z-index:251704320;mso-width-relative:page;mso-height-relative:page;" filled="f" stroked="t" coordsize="1193,15" path="m0,7l1192,7e">
                  <v:fill on="f" focussize="0,0"/>
                  <v:stroke weight="0.72pt" color="#000000" miterlimit="2" joinstyle="bevel"/>
                  <v:imagedata o:title=""/>
                  <o:lock v:ext="edit"/>
                </v:shape>
              </w:pict>
            </w:r>
            <w:r>
              <w:pict>
                <v:shape id="_x0000_s1071" o:spid="_x0000_s1071" style="position:absolute;left:0pt;margin-left:317.8pt;margin-top:188.1pt;height:0.75pt;width:59.65pt;mso-position-horizontal-relative:page;mso-position-vertical-relative:page;z-index:251708416;mso-width-relative:page;mso-height-relative:page;" filled="f" stroked="t" coordsize="1193,15" path="m0,7l1192,7e">
                  <v:fill on="f" focussize="0,0"/>
                  <v:stroke weight="0.72pt" color="#000000" miterlimit="2" joinstyle="bevel"/>
                  <v:imagedata o:title=""/>
                  <o:lock v:ext="edit"/>
                </v:shape>
              </w:pict>
            </w:r>
            <w:r>
              <w:pict>
                <v:shape id="_x0000_s1072" o:spid="_x0000_s1072" style="position:absolute;left:0pt;margin-left:317.8pt;margin-top:211.55pt;height:0.75pt;width:59.65pt;mso-position-horizontal-relative:page;mso-position-vertical-relative:page;z-index:251705344;mso-width-relative:page;mso-height-relative:page;" filled="f" stroked="t" coordsize="1193,15" path="m0,7l1192,7e">
                  <v:fill on="f" focussize="0,0"/>
                  <v:stroke weight="0.72pt" color="#000000" miterlimit="2" joinstyle="bevel"/>
                  <v:imagedata o:title=""/>
                  <o:lock v:ext="edit"/>
                </v:shape>
              </w:pict>
            </w:r>
            <w:r>
              <w:pict>
                <v:shape id="_x0000_s1073" o:spid="_x0000_s1073" style="position:absolute;left:0pt;margin-left:317.8pt;margin-top:235pt;height:0.75pt;width:59.65pt;mso-position-horizontal-relative:page;mso-position-vertical-relative:page;z-index:251707392;mso-width-relative:page;mso-height-relative:page;" filled="f" stroked="t" coordsize="1193,15" path="m0,7l1192,7e">
                  <v:fill on="f" focussize="0,0"/>
                  <v:stroke weight="0.72pt" color="#000000" miterlimit="2" joinstyle="bevel"/>
                  <v:imagedata o:title=""/>
                  <o:lock v:ext="edit"/>
                </v:shape>
              </w:pict>
            </w:r>
            <w:r>
              <w:pict>
                <v:shape id="_x0000_s1074" o:spid="_x0000_s1074" style="position:absolute;left:0pt;margin-left:317.8pt;margin-top:258.45pt;height:0.75pt;width:59.65pt;mso-position-horizontal-relative:page;mso-position-vertical-relative:page;z-index:251711488;mso-width-relative:page;mso-height-relative:page;" filled="f" stroked="t" coordsize="1193,15" path="m0,7l1192,7e">
                  <v:fill on="f" focussize="0,0"/>
                  <v:stroke weight="0.72pt" color="#000000" miterlimit="2" joinstyle="bevel"/>
                  <v:imagedata o:title=""/>
                  <o:lock v:ext="edit"/>
                </v:shape>
              </w:pict>
            </w:r>
            <w:r>
              <w:pict>
                <v:shape id="_x0000_s1075" o:spid="_x0000_s1075" style="position:absolute;left:0pt;margin-left:317.8pt;margin-top:281.9pt;height:0.75pt;width:59.65pt;mso-position-horizontal-relative:page;mso-position-vertical-relative:page;z-index:251709440;mso-width-relative:page;mso-height-relative:page;" filled="f" stroked="t" coordsize="1193,15" path="m0,7l1192,7e">
                  <v:fill on="f" focussize="0,0"/>
                  <v:stroke weight="0.72pt" color="#000000" miterlimit="2" joinstyle="bevel"/>
                  <v:imagedata o:title=""/>
                  <o:lock v:ext="edit"/>
                </v:shape>
              </w:pict>
            </w:r>
            <w:r>
              <w:pict>
                <v:shape id="_x0000_s1076" o:spid="_x0000_s1076" style="position:absolute;left:0pt;margin-left:317.8pt;margin-top:305.35pt;height:0.75pt;width:59.65pt;mso-position-horizontal-relative:page;mso-position-vertical-relative:page;z-index:251710464;mso-width-relative:page;mso-height-relative:page;" filled="f" stroked="t" coordsize="1193,15" path="m0,7l1192,7e">
                  <v:fill on="f" focussize="0,0"/>
                  <v:stroke weight="0.72pt" color="#000000" miterlimit="2" joinstyle="bevel"/>
                  <v:imagedata o:title=""/>
                  <o:lock v:ext="edit"/>
                </v:shape>
              </w:pict>
            </w:r>
            <w:r>
              <w:pict>
                <v:shape id="_x0000_s1077" o:spid="_x0000_s1077" style="position:absolute;left:0pt;margin-left:62.15pt;margin-top:1.9pt;height:480.45pt;width:184.8pt;mso-position-horizontal-relative:page;mso-position-vertical-relative:page;z-index:251721728;mso-width-relative:page;mso-height-relative:page;" filled="f" stroked="t" coordsize="3696,9609" path="m7,0l7,7097m1436,0l1436,7097m2723,0l2723,9608m3688,0l3688,6537e">
                  <v:fill on="f" focussize="0,0"/>
                  <v:stroke weight="0.72pt" color="#000000" miterlimit="2" joinstyle="bevel"/>
                  <v:imagedata o:title=""/>
                  <o:lock v:ext="edit"/>
                </v:shape>
              </w:pict>
            </w:r>
            <w:r>
              <w:pict>
                <v:shape id="_x0000_s1078" o:spid="_x0000_s1078" style="position:absolute;left:0pt;margin-left:317.8pt;margin-top:1.9pt;height:326.9pt;width:25.5pt;mso-position-horizontal-relative:page;mso-position-vertical-relative:page;z-index:251712512;mso-width-relative:page;mso-height-relative:page;" filled="f" stroked="t" coordsize="510,6537" path="m7,0l7,6537m502,0l502,6537e">
                  <v:fill on="f" focussize="0,0"/>
                  <v:stroke weight="0.72pt" color="#000000" miterlimit="2" joinstyle="bevel"/>
                  <v:imagedata o:title=""/>
                  <o:lock v:ext="edit"/>
                </v:shape>
              </w:pict>
            </w:r>
            <w:r>
              <w:rPr>
                <w:rFonts w:ascii="Times New Roman" w:hAnsi="Times New Roman" w:eastAsia="Times New Roman" w:cs="Times New Roman"/>
                <w:sz w:val="20"/>
                <w:szCs w:val="20"/>
              </w:rPr>
              <w:t>40°40,</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z w:val="20"/>
                <w:szCs w:val="20"/>
              </w:rPr>
              <w:t>10.6</w:t>
            </w:r>
            <w:r>
              <w:rPr>
                <w:rFonts w:ascii="Times New Roman" w:hAnsi="Times New Roman" w:eastAsia="Times New Roman" w:cs="Times New Roman"/>
                <w:spacing w:val="-35"/>
                <w:sz w:val="20"/>
                <w:szCs w:val="20"/>
              </w:rPr>
              <w:t xml:space="preserve"> </w:t>
            </w:r>
            <w:r>
              <w:rPr>
                <w:rFonts w:ascii="Times New Roman" w:hAnsi="Times New Roman" w:eastAsia="Times New Roman" w:cs="Times New Roman"/>
                <w:sz w:val="20"/>
                <w:szCs w:val="20"/>
              </w:rPr>
              <w:t xml:space="preserve">″    </w:t>
            </w:r>
            <w:r>
              <w:rPr>
                <w:sz w:val="20"/>
                <w:szCs w:val="20"/>
              </w:rPr>
              <w:t>居民</w:t>
            </w:r>
            <w:r>
              <w:rPr>
                <w:spacing w:val="-39"/>
                <w:sz w:val="20"/>
                <w:szCs w:val="20"/>
              </w:rPr>
              <w:t xml:space="preserve"> </w:t>
            </w:r>
            <w:r>
              <w:rPr>
                <w:rFonts w:ascii="Times New Roman" w:hAnsi="Times New Roman" w:eastAsia="Times New Roman" w:cs="Times New Roman"/>
                <w:sz w:val="20"/>
                <w:szCs w:val="20"/>
              </w:rPr>
              <w:t>3</w:t>
            </w:r>
            <w:r>
              <w:rPr>
                <w:rFonts w:ascii="Times New Roman" w:hAnsi="Times New Roman" w:eastAsia="Times New Roman" w:cs="Times New Roman"/>
                <w:spacing w:val="14"/>
                <w:w w:val="101"/>
                <w:sz w:val="20"/>
                <w:szCs w:val="20"/>
              </w:rPr>
              <w:t xml:space="preserve"> </w:t>
            </w:r>
            <w:r>
              <w:rPr>
                <w:sz w:val="20"/>
                <w:szCs w:val="20"/>
              </w:rPr>
              <w:t>人</w:t>
            </w:r>
          </w:p>
          <w:p w14:paraId="4C569A73">
            <w:pPr>
              <w:pStyle w:val="6"/>
              <w:spacing w:before="233" w:line="430" w:lineRule="auto"/>
              <w:ind w:left="2816" w:right="2783" w:firstLine="52"/>
              <w:rPr>
                <w:sz w:val="20"/>
                <w:szCs w:val="20"/>
              </w:rPr>
            </w:pPr>
            <w:r>
              <w:rPr>
                <w:rFonts w:ascii="Times New Roman" w:hAnsi="Times New Roman" w:eastAsia="Times New Roman" w:cs="Times New Roman"/>
                <w:spacing w:val="2"/>
                <w:sz w:val="20"/>
                <w:szCs w:val="20"/>
              </w:rPr>
              <w:t>40°40,7.9</w:t>
            </w:r>
            <w:r>
              <w:rPr>
                <w:rFonts w:ascii="Times New Roman" w:hAnsi="Times New Roman" w:eastAsia="Times New Roman" w:cs="Times New Roman"/>
                <w:spacing w:val="-31"/>
                <w:sz w:val="20"/>
                <w:szCs w:val="20"/>
              </w:rPr>
              <w:t xml:space="preserve"> </w:t>
            </w:r>
            <w:r>
              <w:rPr>
                <w:rFonts w:ascii="Times New Roman" w:hAnsi="Times New Roman" w:eastAsia="Times New Roman" w:cs="Times New Roman"/>
                <w:spacing w:val="2"/>
                <w:sz w:val="20"/>
                <w:szCs w:val="20"/>
              </w:rPr>
              <w:t xml:space="preserve">″     </w:t>
            </w:r>
            <w:r>
              <w:rPr>
                <w:spacing w:val="2"/>
                <w:sz w:val="20"/>
                <w:szCs w:val="20"/>
              </w:rPr>
              <w:t>居民</w:t>
            </w:r>
            <w:r>
              <w:rPr>
                <w:spacing w:val="-44"/>
                <w:sz w:val="20"/>
                <w:szCs w:val="20"/>
              </w:rPr>
              <w:t xml:space="preserve"> </w:t>
            </w:r>
            <w:r>
              <w:rPr>
                <w:rFonts w:ascii="Times New Roman" w:hAnsi="Times New Roman" w:eastAsia="Times New Roman" w:cs="Times New Roman"/>
                <w:spacing w:val="2"/>
                <w:sz w:val="20"/>
                <w:szCs w:val="20"/>
              </w:rPr>
              <w:t>4</w:t>
            </w:r>
            <w:r>
              <w:rPr>
                <w:rFonts w:ascii="Times New Roman" w:hAnsi="Times New Roman" w:eastAsia="Times New Roman" w:cs="Times New Roman"/>
                <w:spacing w:val="13"/>
                <w:w w:val="101"/>
                <w:sz w:val="20"/>
                <w:szCs w:val="20"/>
              </w:rPr>
              <w:t xml:space="preserve"> </w:t>
            </w:r>
            <w:r>
              <w:rPr>
                <w:spacing w:val="2"/>
                <w:sz w:val="20"/>
                <w:szCs w:val="20"/>
              </w:rPr>
              <w:t>人</w:t>
            </w:r>
            <w:r>
              <w:rPr>
                <w:rFonts w:ascii="Times New Roman" w:hAnsi="Times New Roman" w:eastAsia="Times New Roman" w:cs="Times New Roman"/>
                <w:sz w:val="20"/>
                <w:szCs w:val="20"/>
              </w:rPr>
              <w:t>40°40,</w:t>
            </w:r>
            <w:r>
              <w:rPr>
                <w:rFonts w:ascii="Times New Roman" w:hAnsi="Times New Roman" w:eastAsia="Times New Roman" w:cs="Times New Roman"/>
                <w:spacing w:val="-11"/>
                <w:sz w:val="20"/>
                <w:szCs w:val="20"/>
              </w:rPr>
              <w:t xml:space="preserve"> </w:t>
            </w:r>
            <w:r>
              <w:rPr>
                <w:rFonts w:ascii="Times New Roman" w:hAnsi="Times New Roman" w:eastAsia="Times New Roman" w:cs="Times New Roman"/>
                <w:sz w:val="20"/>
                <w:szCs w:val="20"/>
              </w:rPr>
              <w:t>12.6</w:t>
            </w:r>
            <w:r>
              <w:rPr>
                <w:rFonts w:ascii="Times New Roman" w:hAnsi="Times New Roman" w:eastAsia="Times New Roman" w:cs="Times New Roman"/>
                <w:spacing w:val="-35"/>
                <w:sz w:val="20"/>
                <w:szCs w:val="20"/>
              </w:rPr>
              <w:t xml:space="preserve"> </w:t>
            </w:r>
            <w:r>
              <w:rPr>
                <w:rFonts w:ascii="Times New Roman" w:hAnsi="Times New Roman" w:eastAsia="Times New Roman" w:cs="Times New Roman"/>
                <w:sz w:val="20"/>
                <w:szCs w:val="20"/>
              </w:rPr>
              <w:t xml:space="preserve">″    </w:t>
            </w:r>
            <w:r>
              <w:rPr>
                <w:sz w:val="20"/>
                <w:szCs w:val="20"/>
              </w:rPr>
              <w:t>居民</w:t>
            </w:r>
            <w:r>
              <w:rPr>
                <w:spacing w:val="-38"/>
                <w:sz w:val="20"/>
                <w:szCs w:val="20"/>
              </w:rPr>
              <w:t xml:space="preserve"> </w:t>
            </w:r>
            <w:r>
              <w:rPr>
                <w:rFonts w:ascii="Times New Roman" w:hAnsi="Times New Roman" w:eastAsia="Times New Roman" w:cs="Times New Roman"/>
                <w:sz w:val="20"/>
                <w:szCs w:val="20"/>
              </w:rPr>
              <w:t>3</w:t>
            </w:r>
            <w:r>
              <w:rPr>
                <w:rFonts w:ascii="Times New Roman" w:hAnsi="Times New Roman" w:eastAsia="Times New Roman" w:cs="Times New Roman"/>
                <w:spacing w:val="13"/>
                <w:w w:val="101"/>
                <w:sz w:val="20"/>
                <w:szCs w:val="20"/>
              </w:rPr>
              <w:t xml:space="preserve"> </w:t>
            </w:r>
            <w:r>
              <w:rPr>
                <w:sz w:val="20"/>
                <w:szCs w:val="20"/>
              </w:rPr>
              <w:t>人</w:t>
            </w:r>
          </w:p>
          <w:p w14:paraId="2267B30A">
            <w:pPr>
              <w:pStyle w:val="6"/>
              <w:spacing w:before="7" w:line="216" w:lineRule="auto"/>
              <w:ind w:left="2869"/>
              <w:rPr>
                <w:sz w:val="20"/>
                <w:szCs w:val="20"/>
              </w:rPr>
            </w:pPr>
            <w:r>
              <w:rPr>
                <w:rFonts w:ascii="Times New Roman" w:hAnsi="Times New Roman" w:eastAsia="Times New Roman" w:cs="Times New Roman"/>
                <w:spacing w:val="1"/>
                <w:sz w:val="20"/>
                <w:szCs w:val="20"/>
              </w:rPr>
              <w:t>40°40,9.2</w:t>
            </w:r>
            <w:r>
              <w:rPr>
                <w:rFonts w:ascii="Times New Roman" w:hAnsi="Times New Roman" w:eastAsia="Times New Roman" w:cs="Times New Roman"/>
                <w:spacing w:val="-18"/>
                <w:sz w:val="20"/>
                <w:szCs w:val="20"/>
              </w:rPr>
              <w:t xml:space="preserve"> </w:t>
            </w:r>
            <w:r>
              <w:rPr>
                <w:rFonts w:ascii="Times New Roman" w:hAnsi="Times New Roman" w:eastAsia="Times New Roman" w:cs="Times New Roman"/>
                <w:spacing w:val="1"/>
                <w:sz w:val="20"/>
                <w:szCs w:val="20"/>
              </w:rPr>
              <w:t xml:space="preserve">″     </w:t>
            </w:r>
            <w:r>
              <w:rPr>
                <w:spacing w:val="1"/>
                <w:sz w:val="20"/>
                <w:szCs w:val="20"/>
              </w:rPr>
              <w:t>居民</w:t>
            </w:r>
            <w:r>
              <w:rPr>
                <w:spacing w:val="-37"/>
                <w:sz w:val="20"/>
                <w:szCs w:val="20"/>
              </w:rPr>
              <w:t xml:space="preserve"> </w:t>
            </w:r>
            <w:r>
              <w:rPr>
                <w:rFonts w:ascii="Times New Roman" w:hAnsi="Times New Roman" w:eastAsia="Times New Roman" w:cs="Times New Roman"/>
                <w:spacing w:val="1"/>
                <w:sz w:val="20"/>
                <w:szCs w:val="20"/>
              </w:rPr>
              <w:t>5</w:t>
            </w:r>
            <w:r>
              <w:rPr>
                <w:rFonts w:ascii="Times New Roman" w:hAnsi="Times New Roman" w:eastAsia="Times New Roman" w:cs="Times New Roman"/>
                <w:spacing w:val="13"/>
                <w:w w:val="101"/>
                <w:sz w:val="20"/>
                <w:szCs w:val="20"/>
              </w:rPr>
              <w:t xml:space="preserve"> </w:t>
            </w:r>
            <w:r>
              <w:rPr>
                <w:spacing w:val="1"/>
                <w:sz w:val="20"/>
                <w:szCs w:val="20"/>
              </w:rPr>
              <w:t>人</w:t>
            </w:r>
          </w:p>
          <w:p w14:paraId="0074BF60">
            <w:pPr>
              <w:pStyle w:val="6"/>
              <w:spacing w:before="236" w:line="216" w:lineRule="auto"/>
              <w:ind w:left="2869"/>
              <w:rPr>
                <w:sz w:val="20"/>
                <w:szCs w:val="20"/>
              </w:rPr>
            </w:pPr>
            <w:r>
              <w:rPr>
                <w:rFonts w:ascii="Times New Roman" w:hAnsi="Times New Roman" w:eastAsia="Times New Roman" w:cs="Times New Roman"/>
                <w:spacing w:val="2"/>
                <w:sz w:val="20"/>
                <w:szCs w:val="20"/>
              </w:rPr>
              <w:t>40°40,8.4</w:t>
            </w:r>
            <w:r>
              <w:rPr>
                <w:rFonts w:ascii="Times New Roman" w:hAnsi="Times New Roman" w:eastAsia="Times New Roman" w:cs="Times New Roman"/>
                <w:spacing w:val="-30"/>
                <w:sz w:val="20"/>
                <w:szCs w:val="20"/>
              </w:rPr>
              <w:t xml:space="preserve"> </w:t>
            </w:r>
            <w:r>
              <w:rPr>
                <w:rFonts w:ascii="Times New Roman" w:hAnsi="Times New Roman" w:eastAsia="Times New Roman" w:cs="Times New Roman"/>
                <w:spacing w:val="2"/>
                <w:sz w:val="20"/>
                <w:szCs w:val="20"/>
              </w:rPr>
              <w:t xml:space="preserve">″     </w:t>
            </w:r>
            <w:r>
              <w:rPr>
                <w:spacing w:val="2"/>
                <w:sz w:val="20"/>
                <w:szCs w:val="20"/>
              </w:rPr>
              <w:t>居民</w:t>
            </w:r>
            <w:r>
              <w:rPr>
                <w:spacing w:val="-44"/>
                <w:sz w:val="20"/>
                <w:szCs w:val="20"/>
              </w:rPr>
              <w:t xml:space="preserve"> </w:t>
            </w:r>
            <w:r>
              <w:rPr>
                <w:rFonts w:ascii="Times New Roman" w:hAnsi="Times New Roman" w:eastAsia="Times New Roman" w:cs="Times New Roman"/>
                <w:spacing w:val="2"/>
                <w:sz w:val="20"/>
                <w:szCs w:val="20"/>
              </w:rPr>
              <w:t>4</w:t>
            </w:r>
            <w:r>
              <w:rPr>
                <w:rFonts w:ascii="Times New Roman" w:hAnsi="Times New Roman" w:eastAsia="Times New Roman" w:cs="Times New Roman"/>
                <w:spacing w:val="13"/>
                <w:w w:val="101"/>
                <w:sz w:val="20"/>
                <w:szCs w:val="20"/>
              </w:rPr>
              <w:t xml:space="preserve"> </w:t>
            </w:r>
            <w:r>
              <w:rPr>
                <w:spacing w:val="2"/>
                <w:sz w:val="20"/>
                <w:szCs w:val="20"/>
              </w:rPr>
              <w:t>人</w:t>
            </w:r>
          </w:p>
          <w:p w14:paraId="040DB255">
            <w:pPr>
              <w:pStyle w:val="6"/>
              <w:spacing w:before="233" w:line="430" w:lineRule="auto"/>
              <w:ind w:left="2816" w:right="2783" w:firstLine="52"/>
              <w:rPr>
                <w:sz w:val="20"/>
                <w:szCs w:val="20"/>
              </w:rPr>
            </w:pPr>
            <w:r>
              <w:rPr>
                <w:rFonts w:ascii="Times New Roman" w:hAnsi="Times New Roman" w:eastAsia="Times New Roman" w:cs="Times New Roman"/>
                <w:spacing w:val="1"/>
                <w:sz w:val="20"/>
                <w:szCs w:val="20"/>
              </w:rPr>
              <w:t>40°40,5.9</w:t>
            </w:r>
            <w:r>
              <w:rPr>
                <w:rFonts w:ascii="Times New Roman" w:hAnsi="Times New Roman" w:eastAsia="Times New Roman" w:cs="Times New Roman"/>
                <w:spacing w:val="-17"/>
                <w:sz w:val="20"/>
                <w:szCs w:val="20"/>
              </w:rPr>
              <w:t xml:space="preserve"> </w:t>
            </w:r>
            <w:r>
              <w:rPr>
                <w:rFonts w:ascii="Times New Roman" w:hAnsi="Times New Roman" w:eastAsia="Times New Roman" w:cs="Times New Roman"/>
                <w:spacing w:val="1"/>
                <w:sz w:val="20"/>
                <w:szCs w:val="20"/>
              </w:rPr>
              <w:t xml:space="preserve">″     </w:t>
            </w:r>
            <w:r>
              <w:rPr>
                <w:spacing w:val="1"/>
                <w:sz w:val="20"/>
                <w:szCs w:val="20"/>
              </w:rPr>
              <w:t>居民</w:t>
            </w:r>
            <w:r>
              <w:rPr>
                <w:spacing w:val="-39"/>
                <w:sz w:val="20"/>
                <w:szCs w:val="20"/>
              </w:rPr>
              <w:t xml:space="preserve"> </w:t>
            </w:r>
            <w:r>
              <w:rPr>
                <w:rFonts w:ascii="Times New Roman" w:hAnsi="Times New Roman" w:eastAsia="Times New Roman" w:cs="Times New Roman"/>
                <w:spacing w:val="1"/>
                <w:sz w:val="20"/>
                <w:szCs w:val="20"/>
              </w:rPr>
              <w:t>3</w:t>
            </w:r>
            <w:r>
              <w:rPr>
                <w:rFonts w:ascii="Times New Roman" w:hAnsi="Times New Roman" w:eastAsia="Times New Roman" w:cs="Times New Roman"/>
                <w:spacing w:val="13"/>
                <w:w w:val="101"/>
                <w:sz w:val="20"/>
                <w:szCs w:val="20"/>
              </w:rPr>
              <w:t xml:space="preserve"> </w:t>
            </w:r>
            <w:r>
              <w:rPr>
                <w:spacing w:val="1"/>
                <w:sz w:val="20"/>
                <w:szCs w:val="20"/>
              </w:rPr>
              <w:t>人</w:t>
            </w:r>
            <w:r>
              <w:rPr>
                <w:rFonts w:ascii="Times New Roman" w:hAnsi="Times New Roman" w:eastAsia="Times New Roman" w:cs="Times New Roman"/>
                <w:spacing w:val="2"/>
                <w:sz w:val="20"/>
                <w:szCs w:val="20"/>
              </w:rPr>
              <w:t>40°39,57.8</w:t>
            </w:r>
            <w:r>
              <w:rPr>
                <w:rFonts w:ascii="Times New Roman" w:hAnsi="Times New Roman" w:eastAsia="Times New Roman" w:cs="Times New Roman"/>
                <w:spacing w:val="-34"/>
                <w:sz w:val="20"/>
                <w:szCs w:val="20"/>
              </w:rPr>
              <w:t xml:space="preserve"> </w:t>
            </w:r>
            <w:r>
              <w:rPr>
                <w:rFonts w:ascii="Times New Roman" w:hAnsi="Times New Roman" w:eastAsia="Times New Roman" w:cs="Times New Roman"/>
                <w:spacing w:val="2"/>
                <w:sz w:val="20"/>
                <w:szCs w:val="20"/>
              </w:rPr>
              <w:t xml:space="preserve">″    </w:t>
            </w:r>
            <w:r>
              <w:rPr>
                <w:spacing w:val="2"/>
                <w:sz w:val="20"/>
                <w:szCs w:val="20"/>
              </w:rPr>
              <w:t>居民</w:t>
            </w:r>
            <w:r>
              <w:rPr>
                <w:spacing w:val="-38"/>
                <w:sz w:val="20"/>
                <w:szCs w:val="20"/>
              </w:rPr>
              <w:t xml:space="preserve"> </w:t>
            </w:r>
            <w:r>
              <w:rPr>
                <w:rFonts w:ascii="Times New Roman" w:hAnsi="Times New Roman" w:eastAsia="Times New Roman" w:cs="Times New Roman"/>
                <w:spacing w:val="2"/>
                <w:sz w:val="20"/>
                <w:szCs w:val="20"/>
              </w:rPr>
              <w:t>3</w:t>
            </w:r>
            <w:r>
              <w:rPr>
                <w:rFonts w:ascii="Times New Roman" w:hAnsi="Times New Roman" w:eastAsia="Times New Roman" w:cs="Times New Roman"/>
                <w:spacing w:val="13"/>
                <w:w w:val="101"/>
                <w:sz w:val="20"/>
                <w:szCs w:val="20"/>
              </w:rPr>
              <w:t xml:space="preserve"> </w:t>
            </w:r>
            <w:r>
              <w:rPr>
                <w:spacing w:val="2"/>
                <w:sz w:val="20"/>
                <w:szCs w:val="20"/>
              </w:rPr>
              <w:t>人</w:t>
            </w:r>
          </w:p>
          <w:p w14:paraId="070DDF05">
            <w:pPr>
              <w:pStyle w:val="6"/>
              <w:spacing w:before="7" w:line="216" w:lineRule="auto"/>
              <w:ind w:left="2816"/>
              <w:rPr>
                <w:sz w:val="20"/>
                <w:szCs w:val="20"/>
              </w:rPr>
            </w:pPr>
            <w:r>
              <w:rPr>
                <w:rFonts w:ascii="Times New Roman" w:hAnsi="Times New Roman" w:eastAsia="Times New Roman" w:cs="Times New Roman"/>
                <w:spacing w:val="2"/>
                <w:sz w:val="20"/>
                <w:szCs w:val="20"/>
              </w:rPr>
              <w:t>40°39,54.2</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pacing w:val="2"/>
                <w:sz w:val="20"/>
                <w:szCs w:val="20"/>
              </w:rPr>
              <w:t xml:space="preserve">″    </w:t>
            </w:r>
            <w:r>
              <w:rPr>
                <w:spacing w:val="2"/>
                <w:sz w:val="20"/>
                <w:szCs w:val="20"/>
              </w:rPr>
              <w:t>居民</w:t>
            </w:r>
            <w:r>
              <w:rPr>
                <w:spacing w:val="-44"/>
                <w:sz w:val="20"/>
                <w:szCs w:val="20"/>
              </w:rPr>
              <w:t xml:space="preserve"> </w:t>
            </w:r>
            <w:r>
              <w:rPr>
                <w:rFonts w:ascii="Times New Roman" w:hAnsi="Times New Roman" w:eastAsia="Times New Roman" w:cs="Times New Roman"/>
                <w:spacing w:val="2"/>
                <w:sz w:val="20"/>
                <w:szCs w:val="20"/>
              </w:rPr>
              <w:t>4</w:t>
            </w:r>
            <w:r>
              <w:rPr>
                <w:rFonts w:ascii="Times New Roman" w:hAnsi="Times New Roman" w:eastAsia="Times New Roman" w:cs="Times New Roman"/>
                <w:spacing w:val="14"/>
                <w:w w:val="101"/>
                <w:sz w:val="20"/>
                <w:szCs w:val="20"/>
              </w:rPr>
              <w:t xml:space="preserve"> </w:t>
            </w:r>
            <w:r>
              <w:rPr>
                <w:spacing w:val="2"/>
                <w:sz w:val="20"/>
                <w:szCs w:val="20"/>
              </w:rPr>
              <w:t>人</w:t>
            </w:r>
          </w:p>
          <w:p w14:paraId="0582D39B">
            <w:pPr>
              <w:pStyle w:val="6"/>
              <w:spacing w:before="234" w:line="216" w:lineRule="auto"/>
              <w:ind w:left="2816"/>
              <w:rPr>
                <w:sz w:val="20"/>
                <w:szCs w:val="20"/>
              </w:rPr>
            </w:pPr>
            <w:r>
              <w:rPr>
                <w:rFonts w:ascii="Times New Roman" w:hAnsi="Times New Roman" w:eastAsia="Times New Roman" w:cs="Times New Roman"/>
                <w:spacing w:val="2"/>
                <w:sz w:val="20"/>
                <w:szCs w:val="20"/>
              </w:rPr>
              <w:t>40°39,53.9</w:t>
            </w:r>
            <w:r>
              <w:rPr>
                <w:rFonts w:ascii="Times New Roman" w:hAnsi="Times New Roman" w:eastAsia="Times New Roman" w:cs="Times New Roman"/>
                <w:spacing w:val="-34"/>
                <w:sz w:val="20"/>
                <w:szCs w:val="20"/>
              </w:rPr>
              <w:t xml:space="preserve"> </w:t>
            </w:r>
            <w:r>
              <w:rPr>
                <w:rFonts w:ascii="Times New Roman" w:hAnsi="Times New Roman" w:eastAsia="Times New Roman" w:cs="Times New Roman"/>
                <w:spacing w:val="2"/>
                <w:sz w:val="20"/>
                <w:szCs w:val="20"/>
              </w:rPr>
              <w:t xml:space="preserve">″    </w:t>
            </w:r>
            <w:r>
              <w:rPr>
                <w:spacing w:val="2"/>
                <w:sz w:val="20"/>
                <w:szCs w:val="20"/>
              </w:rPr>
              <w:t>居民</w:t>
            </w:r>
            <w:r>
              <w:rPr>
                <w:spacing w:val="-38"/>
                <w:sz w:val="20"/>
                <w:szCs w:val="20"/>
              </w:rPr>
              <w:t xml:space="preserve"> </w:t>
            </w:r>
            <w:r>
              <w:rPr>
                <w:rFonts w:ascii="Times New Roman" w:hAnsi="Times New Roman" w:eastAsia="Times New Roman" w:cs="Times New Roman"/>
                <w:spacing w:val="2"/>
                <w:sz w:val="20"/>
                <w:szCs w:val="20"/>
              </w:rPr>
              <w:t>5</w:t>
            </w:r>
            <w:r>
              <w:rPr>
                <w:rFonts w:ascii="Times New Roman" w:hAnsi="Times New Roman" w:eastAsia="Times New Roman" w:cs="Times New Roman"/>
                <w:spacing w:val="14"/>
                <w:w w:val="101"/>
                <w:sz w:val="20"/>
                <w:szCs w:val="20"/>
              </w:rPr>
              <w:t xml:space="preserve"> </w:t>
            </w:r>
            <w:r>
              <w:rPr>
                <w:spacing w:val="2"/>
                <w:sz w:val="20"/>
                <w:szCs w:val="20"/>
              </w:rPr>
              <w:t>人</w:t>
            </w:r>
          </w:p>
          <w:p w14:paraId="541F465C">
            <w:pPr>
              <w:pStyle w:val="6"/>
              <w:spacing w:before="237" w:line="216" w:lineRule="auto"/>
              <w:ind w:left="2816"/>
              <w:rPr>
                <w:sz w:val="20"/>
                <w:szCs w:val="20"/>
              </w:rPr>
            </w:pPr>
            <w:r>
              <w:rPr>
                <w:rFonts w:ascii="Times New Roman" w:hAnsi="Times New Roman" w:eastAsia="Times New Roman" w:cs="Times New Roman"/>
                <w:spacing w:val="2"/>
                <w:sz w:val="20"/>
                <w:szCs w:val="20"/>
              </w:rPr>
              <w:t>40°39,53.0</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pacing w:val="2"/>
                <w:sz w:val="20"/>
                <w:szCs w:val="20"/>
              </w:rPr>
              <w:t xml:space="preserve">″    </w:t>
            </w:r>
            <w:r>
              <w:rPr>
                <w:spacing w:val="2"/>
                <w:sz w:val="20"/>
                <w:szCs w:val="20"/>
              </w:rPr>
              <w:t>居民</w:t>
            </w:r>
            <w:r>
              <w:rPr>
                <w:spacing w:val="-44"/>
                <w:sz w:val="20"/>
                <w:szCs w:val="20"/>
              </w:rPr>
              <w:t xml:space="preserve"> </w:t>
            </w:r>
            <w:r>
              <w:rPr>
                <w:rFonts w:ascii="Times New Roman" w:hAnsi="Times New Roman" w:eastAsia="Times New Roman" w:cs="Times New Roman"/>
                <w:spacing w:val="2"/>
                <w:sz w:val="20"/>
                <w:szCs w:val="20"/>
              </w:rPr>
              <w:t>4</w:t>
            </w:r>
            <w:r>
              <w:rPr>
                <w:rFonts w:ascii="Times New Roman" w:hAnsi="Times New Roman" w:eastAsia="Times New Roman" w:cs="Times New Roman"/>
                <w:spacing w:val="14"/>
                <w:w w:val="101"/>
                <w:sz w:val="20"/>
                <w:szCs w:val="20"/>
              </w:rPr>
              <w:t xml:space="preserve"> </w:t>
            </w:r>
            <w:r>
              <w:rPr>
                <w:spacing w:val="2"/>
                <w:sz w:val="20"/>
                <w:szCs w:val="20"/>
              </w:rPr>
              <w:t>人</w:t>
            </w:r>
          </w:p>
          <w:p w14:paraId="4DF96638">
            <w:pPr>
              <w:pStyle w:val="6"/>
              <w:spacing w:before="234" w:line="216" w:lineRule="auto"/>
              <w:ind w:left="2816"/>
              <w:rPr>
                <w:sz w:val="20"/>
                <w:szCs w:val="20"/>
              </w:rPr>
            </w:pPr>
            <w:r>
              <w:rPr>
                <w:rFonts w:ascii="Times New Roman" w:hAnsi="Times New Roman" w:eastAsia="Times New Roman" w:cs="Times New Roman"/>
                <w:spacing w:val="2"/>
                <w:sz w:val="20"/>
                <w:szCs w:val="20"/>
              </w:rPr>
              <w:t>40°39,51.0</w:t>
            </w:r>
            <w:r>
              <w:rPr>
                <w:rFonts w:ascii="Times New Roman" w:hAnsi="Times New Roman" w:eastAsia="Times New Roman" w:cs="Times New Roman"/>
                <w:spacing w:val="-34"/>
                <w:sz w:val="20"/>
                <w:szCs w:val="20"/>
              </w:rPr>
              <w:t xml:space="preserve"> </w:t>
            </w:r>
            <w:r>
              <w:rPr>
                <w:rFonts w:ascii="Times New Roman" w:hAnsi="Times New Roman" w:eastAsia="Times New Roman" w:cs="Times New Roman"/>
                <w:spacing w:val="2"/>
                <w:sz w:val="20"/>
                <w:szCs w:val="20"/>
              </w:rPr>
              <w:t xml:space="preserve">″    </w:t>
            </w:r>
            <w:r>
              <w:rPr>
                <w:spacing w:val="2"/>
                <w:sz w:val="20"/>
                <w:szCs w:val="20"/>
              </w:rPr>
              <w:t>居民</w:t>
            </w:r>
            <w:r>
              <w:rPr>
                <w:spacing w:val="-38"/>
                <w:sz w:val="20"/>
                <w:szCs w:val="20"/>
              </w:rPr>
              <w:t xml:space="preserve"> </w:t>
            </w:r>
            <w:r>
              <w:rPr>
                <w:rFonts w:ascii="Times New Roman" w:hAnsi="Times New Roman" w:eastAsia="Times New Roman" w:cs="Times New Roman"/>
                <w:spacing w:val="2"/>
                <w:sz w:val="20"/>
                <w:szCs w:val="20"/>
              </w:rPr>
              <w:t>5</w:t>
            </w:r>
            <w:r>
              <w:rPr>
                <w:rFonts w:ascii="Times New Roman" w:hAnsi="Times New Roman" w:eastAsia="Times New Roman" w:cs="Times New Roman"/>
                <w:spacing w:val="14"/>
                <w:w w:val="101"/>
                <w:sz w:val="20"/>
                <w:szCs w:val="20"/>
              </w:rPr>
              <w:t xml:space="preserve"> </w:t>
            </w:r>
            <w:r>
              <w:rPr>
                <w:spacing w:val="2"/>
                <w:sz w:val="20"/>
                <w:szCs w:val="20"/>
              </w:rPr>
              <w:t>人</w:t>
            </w:r>
          </w:p>
          <w:p w14:paraId="28DEEEDC">
            <w:pPr>
              <w:pStyle w:val="6"/>
              <w:spacing w:before="236" w:line="216" w:lineRule="auto"/>
              <w:ind w:left="2816"/>
              <w:rPr>
                <w:sz w:val="20"/>
                <w:szCs w:val="20"/>
              </w:rPr>
            </w:pPr>
            <w:r>
              <w:rPr>
                <w:rFonts w:ascii="Times New Roman" w:hAnsi="Times New Roman" w:eastAsia="Times New Roman" w:cs="Times New Roman"/>
                <w:sz w:val="20"/>
                <w:szCs w:val="20"/>
              </w:rPr>
              <w:t>40°39,43.</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z w:val="20"/>
                <w:szCs w:val="20"/>
              </w:rPr>
              <w:t>1</w:t>
            </w:r>
            <w:r>
              <w:rPr>
                <w:rFonts w:ascii="Times New Roman" w:hAnsi="Times New Roman" w:eastAsia="Times New Roman" w:cs="Times New Roman"/>
                <w:spacing w:val="-35"/>
                <w:sz w:val="20"/>
                <w:szCs w:val="20"/>
              </w:rPr>
              <w:t xml:space="preserve"> </w:t>
            </w:r>
            <w:r>
              <w:rPr>
                <w:rFonts w:ascii="Times New Roman" w:hAnsi="Times New Roman" w:eastAsia="Times New Roman" w:cs="Times New Roman"/>
                <w:sz w:val="20"/>
                <w:szCs w:val="20"/>
              </w:rPr>
              <w:t xml:space="preserve">″    </w:t>
            </w:r>
            <w:r>
              <w:rPr>
                <w:sz w:val="20"/>
                <w:szCs w:val="20"/>
              </w:rPr>
              <w:t>居民</w:t>
            </w:r>
            <w:r>
              <w:rPr>
                <w:spacing w:val="-39"/>
                <w:sz w:val="20"/>
                <w:szCs w:val="20"/>
              </w:rPr>
              <w:t xml:space="preserve"> </w:t>
            </w:r>
            <w:r>
              <w:rPr>
                <w:rFonts w:ascii="Times New Roman" w:hAnsi="Times New Roman" w:eastAsia="Times New Roman" w:cs="Times New Roman"/>
                <w:sz w:val="20"/>
                <w:szCs w:val="20"/>
              </w:rPr>
              <w:t>3</w:t>
            </w:r>
            <w:r>
              <w:rPr>
                <w:rFonts w:ascii="Times New Roman" w:hAnsi="Times New Roman" w:eastAsia="Times New Roman" w:cs="Times New Roman"/>
                <w:spacing w:val="14"/>
                <w:w w:val="101"/>
                <w:sz w:val="20"/>
                <w:szCs w:val="20"/>
              </w:rPr>
              <w:t xml:space="preserve"> </w:t>
            </w:r>
            <w:r>
              <w:rPr>
                <w:sz w:val="20"/>
                <w:szCs w:val="20"/>
              </w:rPr>
              <w:t>人</w:t>
            </w:r>
          </w:p>
          <w:p w14:paraId="5ACFA046">
            <w:pPr>
              <w:pStyle w:val="6"/>
              <w:spacing w:before="235" w:line="427" w:lineRule="auto"/>
              <w:ind w:left="2816" w:right="2730"/>
              <w:rPr>
                <w:sz w:val="20"/>
                <w:szCs w:val="20"/>
              </w:rPr>
            </w:pPr>
            <w:r>
              <w:rPr>
                <w:rFonts w:ascii="Times New Roman" w:hAnsi="Times New Roman" w:eastAsia="Times New Roman" w:cs="Times New Roman"/>
                <w:spacing w:val="2"/>
                <w:sz w:val="20"/>
                <w:szCs w:val="20"/>
              </w:rPr>
              <w:t>40°39,53.6</w:t>
            </w:r>
            <w:r>
              <w:rPr>
                <w:rFonts w:ascii="Times New Roman" w:hAnsi="Times New Roman" w:eastAsia="Times New Roman" w:cs="Times New Roman"/>
                <w:spacing w:val="-34"/>
                <w:sz w:val="20"/>
                <w:szCs w:val="20"/>
              </w:rPr>
              <w:t xml:space="preserve"> </w:t>
            </w:r>
            <w:r>
              <w:rPr>
                <w:rFonts w:ascii="Times New Roman" w:hAnsi="Times New Roman" w:eastAsia="Times New Roman" w:cs="Times New Roman"/>
                <w:spacing w:val="2"/>
                <w:sz w:val="20"/>
                <w:szCs w:val="20"/>
              </w:rPr>
              <w:t xml:space="preserve">″    </w:t>
            </w:r>
            <w:r>
              <w:rPr>
                <w:spacing w:val="2"/>
                <w:sz w:val="20"/>
                <w:szCs w:val="20"/>
              </w:rPr>
              <w:t>居民</w:t>
            </w:r>
            <w:r>
              <w:rPr>
                <w:spacing w:val="-38"/>
                <w:sz w:val="20"/>
                <w:szCs w:val="20"/>
              </w:rPr>
              <w:t xml:space="preserve"> </w:t>
            </w:r>
            <w:r>
              <w:rPr>
                <w:rFonts w:ascii="Times New Roman" w:hAnsi="Times New Roman" w:eastAsia="Times New Roman" w:cs="Times New Roman"/>
                <w:spacing w:val="2"/>
                <w:sz w:val="20"/>
                <w:szCs w:val="20"/>
              </w:rPr>
              <w:t>3</w:t>
            </w:r>
            <w:r>
              <w:rPr>
                <w:rFonts w:ascii="Times New Roman" w:hAnsi="Times New Roman" w:eastAsia="Times New Roman" w:cs="Times New Roman"/>
                <w:spacing w:val="13"/>
                <w:w w:val="101"/>
                <w:sz w:val="20"/>
                <w:szCs w:val="20"/>
              </w:rPr>
              <w:t xml:space="preserve"> </w:t>
            </w:r>
            <w:r>
              <w:rPr>
                <w:spacing w:val="2"/>
                <w:sz w:val="20"/>
                <w:szCs w:val="20"/>
              </w:rPr>
              <w:t>人</w:t>
            </w:r>
            <w:r>
              <w:rPr>
                <w:rFonts w:ascii="Times New Roman" w:hAnsi="Times New Roman" w:eastAsia="Times New Roman" w:cs="Times New Roman"/>
                <w:spacing w:val="1"/>
                <w:sz w:val="20"/>
                <w:szCs w:val="20"/>
              </w:rPr>
              <w:t>40°39,50.</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1"/>
                <w:sz w:val="20"/>
                <w:szCs w:val="20"/>
              </w:rPr>
              <w:t>1</w:t>
            </w:r>
            <w:r>
              <w:rPr>
                <w:rFonts w:ascii="Times New Roman" w:hAnsi="Times New Roman" w:eastAsia="Times New Roman" w:cs="Times New Roman"/>
                <w:spacing w:val="-35"/>
                <w:sz w:val="20"/>
                <w:szCs w:val="20"/>
              </w:rPr>
              <w:t xml:space="preserve"> </w:t>
            </w:r>
            <w:r>
              <w:rPr>
                <w:rFonts w:ascii="Times New Roman" w:hAnsi="Times New Roman" w:eastAsia="Times New Roman" w:cs="Times New Roman"/>
                <w:spacing w:val="1"/>
                <w:sz w:val="20"/>
                <w:szCs w:val="20"/>
              </w:rPr>
              <w:t xml:space="preserve">″   </w:t>
            </w:r>
            <w:r>
              <w:rPr>
                <w:spacing w:val="1"/>
                <w:sz w:val="20"/>
                <w:szCs w:val="20"/>
              </w:rPr>
              <w:t>居民</w:t>
            </w:r>
            <w:r>
              <w:rPr>
                <w:spacing w:val="-41"/>
                <w:sz w:val="20"/>
                <w:szCs w:val="20"/>
              </w:rPr>
              <w:t xml:space="preserve"> </w:t>
            </w:r>
            <w:r>
              <w:rPr>
                <w:rFonts w:ascii="Times New Roman" w:hAnsi="Times New Roman" w:eastAsia="Times New Roman" w:cs="Times New Roman"/>
                <w:spacing w:val="1"/>
                <w:sz w:val="20"/>
                <w:szCs w:val="20"/>
              </w:rPr>
              <w:t>40</w:t>
            </w:r>
            <w:r>
              <w:rPr>
                <w:rFonts w:ascii="Times New Roman" w:hAnsi="Times New Roman" w:eastAsia="Times New Roman" w:cs="Times New Roman"/>
                <w:spacing w:val="11"/>
                <w:sz w:val="20"/>
                <w:szCs w:val="20"/>
              </w:rPr>
              <w:t xml:space="preserve"> </w:t>
            </w:r>
            <w:r>
              <w:rPr>
                <w:spacing w:val="1"/>
                <w:sz w:val="20"/>
                <w:szCs w:val="20"/>
              </w:rPr>
              <w:t>人</w:t>
            </w:r>
          </w:p>
          <w:p w14:paraId="69EF2C21">
            <w:pPr>
              <w:pStyle w:val="6"/>
              <w:spacing w:before="58" w:line="228" w:lineRule="auto"/>
              <w:ind w:left="204"/>
              <w:rPr>
                <w:sz w:val="20"/>
                <w:szCs w:val="20"/>
              </w:rPr>
            </w:pPr>
            <w:r>
              <w:rPr>
                <w:b/>
                <w:bCs/>
                <w:spacing w:val="6"/>
                <w:sz w:val="20"/>
                <w:szCs w:val="20"/>
              </w:rPr>
              <w:t>保护对象</w:t>
            </w:r>
            <w:r>
              <w:rPr>
                <w:spacing w:val="2"/>
                <w:sz w:val="20"/>
                <w:szCs w:val="20"/>
              </w:rPr>
              <w:t xml:space="preserve">       </w:t>
            </w:r>
            <w:r>
              <w:rPr>
                <w:b/>
                <w:bCs/>
                <w:spacing w:val="6"/>
                <w:sz w:val="20"/>
                <w:szCs w:val="20"/>
              </w:rPr>
              <w:t>方位</w:t>
            </w:r>
            <w:r>
              <w:rPr>
                <w:spacing w:val="6"/>
                <w:sz w:val="20"/>
                <w:szCs w:val="20"/>
              </w:rPr>
              <w:t xml:space="preserve">      </w:t>
            </w:r>
            <w:r>
              <w:rPr>
                <w:b/>
                <w:bCs/>
                <w:spacing w:val="6"/>
                <w:sz w:val="20"/>
                <w:szCs w:val="20"/>
              </w:rPr>
              <w:t>距离（</w:t>
            </w:r>
            <w:r>
              <w:rPr>
                <w:rFonts w:ascii="Times New Roman" w:hAnsi="Times New Roman" w:eastAsia="Times New Roman" w:cs="Times New Roman"/>
                <w:b/>
                <w:bCs/>
                <w:spacing w:val="6"/>
                <w:sz w:val="20"/>
                <w:szCs w:val="20"/>
              </w:rPr>
              <w:t>m</w:t>
            </w:r>
            <w:r>
              <w:rPr>
                <w:b/>
                <w:bCs/>
                <w:spacing w:val="6"/>
                <w:sz w:val="20"/>
                <w:szCs w:val="20"/>
              </w:rPr>
              <w:t>）</w:t>
            </w:r>
            <w:r>
              <w:rPr>
                <w:spacing w:val="2"/>
                <w:sz w:val="20"/>
                <w:szCs w:val="20"/>
              </w:rPr>
              <w:t xml:space="preserve">               </w:t>
            </w:r>
            <w:r>
              <w:rPr>
                <w:b/>
                <w:bCs/>
                <w:spacing w:val="6"/>
                <w:sz w:val="20"/>
                <w:szCs w:val="20"/>
              </w:rPr>
              <w:t>保护级别</w:t>
            </w:r>
          </w:p>
          <w:p w14:paraId="7B859D19">
            <w:pPr>
              <w:pStyle w:val="6"/>
              <w:spacing w:before="175" w:line="228" w:lineRule="auto"/>
              <w:ind w:left="64"/>
              <w:rPr>
                <w:sz w:val="20"/>
                <w:szCs w:val="20"/>
              </w:rPr>
            </w:pPr>
            <w:r>
              <w:pict>
                <v:shape id="_x0000_s1079" o:spid="_x0000_s1079" o:spt="202" type="#_x0000_t202" style="position:absolute;left:0pt;margin-left:199pt;margin-top:7.75pt;height:28.05pt;width:177.6pt;z-index:251714560;mso-width-relative:page;mso-height-relative:page;" filled="f" stroked="f" coordsize="21600,21600">
                  <v:path/>
                  <v:fill on="f" focussize="0,0"/>
                  <v:stroke on="f"/>
                  <v:imagedata o:title=""/>
                  <o:lock v:ext="edit" aspectratio="f"/>
                  <v:textbox inset="0mm,0mm,0mm,0mm">
                    <w:txbxContent>
                      <w:p w14:paraId="424296E9">
                        <w:pPr>
                          <w:pStyle w:val="6"/>
                          <w:spacing w:before="20" w:line="228" w:lineRule="auto"/>
                          <w:jc w:val="right"/>
                          <w:rPr>
                            <w:rFonts w:ascii="Times New Roman" w:hAnsi="Times New Roman" w:eastAsia="Times New Roman" w:cs="Times New Roman"/>
                            <w:sz w:val="20"/>
                            <w:szCs w:val="20"/>
                          </w:rPr>
                        </w:pPr>
                        <w:r>
                          <w:rPr>
                            <w:spacing w:val="4"/>
                            <w:sz w:val="20"/>
                            <w:szCs w:val="20"/>
                          </w:rPr>
                          <w:t>《声环境质量标准》（</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3096-2008</w:t>
                        </w:r>
                        <w:r>
                          <w:rPr>
                            <w:spacing w:val="4"/>
                            <w:sz w:val="20"/>
                            <w:szCs w:val="20"/>
                          </w:rPr>
                          <w:t>）</w:t>
                        </w:r>
                        <w:r>
                          <w:rPr>
                            <w:rFonts w:ascii="Times New Roman" w:hAnsi="Times New Roman" w:eastAsia="Times New Roman" w:cs="Times New Roman"/>
                            <w:spacing w:val="4"/>
                            <w:sz w:val="20"/>
                            <w:szCs w:val="20"/>
                          </w:rPr>
                          <w:t>1</w:t>
                        </w:r>
                      </w:p>
                      <w:p w14:paraId="57EE3F3A">
                        <w:pPr>
                          <w:pStyle w:val="6"/>
                          <w:spacing w:before="25" w:line="228" w:lineRule="auto"/>
                          <w:ind w:left="1147"/>
                          <w:rPr>
                            <w:sz w:val="20"/>
                            <w:szCs w:val="20"/>
                          </w:rPr>
                        </w:pPr>
                        <w:r>
                          <w:rPr>
                            <w:spacing w:val="8"/>
                            <w:sz w:val="20"/>
                            <w:szCs w:val="20"/>
                          </w:rPr>
                          <w:t>类功能区标准</w:t>
                        </w:r>
                      </w:p>
                    </w:txbxContent>
                  </v:textbox>
                </v:shape>
              </w:pict>
            </w:r>
            <w:r>
              <w:rPr>
                <w:spacing w:val="7"/>
                <w:sz w:val="20"/>
                <w:szCs w:val="20"/>
              </w:rPr>
              <w:t>井场场界周围</w:t>
            </w:r>
            <w:r>
              <w:rPr>
                <w:spacing w:val="-30"/>
                <w:sz w:val="20"/>
                <w:szCs w:val="20"/>
              </w:rPr>
              <w:t xml:space="preserve"> </w:t>
            </w:r>
            <w:r>
              <w:rPr>
                <w:rFonts w:ascii="Times New Roman" w:hAnsi="Times New Roman" w:eastAsia="Times New Roman" w:cs="Times New Roman"/>
                <w:spacing w:val="7"/>
                <w:sz w:val="20"/>
                <w:szCs w:val="20"/>
              </w:rPr>
              <w:t>50m</w:t>
            </w:r>
            <w:r>
              <w:rPr>
                <w:rFonts w:ascii="Times New Roman" w:hAnsi="Times New Roman" w:eastAsia="Times New Roman" w:cs="Times New Roman"/>
                <w:spacing w:val="17"/>
                <w:w w:val="101"/>
                <w:sz w:val="20"/>
                <w:szCs w:val="20"/>
              </w:rPr>
              <w:t xml:space="preserve"> </w:t>
            </w:r>
            <w:r>
              <w:rPr>
                <w:spacing w:val="7"/>
                <w:sz w:val="20"/>
                <w:szCs w:val="20"/>
              </w:rPr>
              <w:t>范围内无声环境保护目</w:t>
            </w:r>
          </w:p>
          <w:p w14:paraId="38012545">
            <w:pPr>
              <w:pStyle w:val="6"/>
              <w:spacing w:before="28" w:line="228" w:lineRule="auto"/>
              <w:ind w:left="1879"/>
              <w:rPr>
                <w:sz w:val="20"/>
                <w:szCs w:val="20"/>
              </w:rPr>
            </w:pPr>
            <w:r>
              <w:rPr>
                <w:sz w:val="20"/>
                <w:szCs w:val="20"/>
              </w:rPr>
              <w:t>标</w:t>
            </w:r>
          </w:p>
          <w:p w14:paraId="6EA79796">
            <w:pPr>
              <w:pStyle w:val="6"/>
              <w:spacing w:before="40" w:line="252" w:lineRule="auto"/>
              <w:ind w:left="6" w:right="3693" w:hanging="2"/>
              <w:rPr>
                <w:sz w:val="20"/>
                <w:szCs w:val="20"/>
              </w:rPr>
            </w:pPr>
            <w:r>
              <w:pict>
                <v:shape id="_x0000_s1080" o:spid="_x0000_s1080" o:spt="202" type="#_x0000_t202" style="position:absolute;left:0pt;margin-left:198.9pt;margin-top:7.7pt;height:14.35pt;width:177.75pt;z-index:251715584;mso-width-relative:page;mso-height-relative:page;" filled="f" stroked="f" coordsize="21600,21600">
                  <v:path/>
                  <v:fill on="f" focussize="0,0"/>
                  <v:stroke on="f"/>
                  <v:imagedata o:title=""/>
                  <o:lock v:ext="edit" aspectratio="f"/>
                  <v:textbox inset="0mm,0mm,0mm,0mm">
                    <w:txbxContent>
                      <w:p w14:paraId="2A2FB571">
                        <w:pPr>
                          <w:pStyle w:val="6"/>
                          <w:spacing w:before="19" w:line="228" w:lineRule="auto"/>
                          <w:ind w:left="20"/>
                          <w:rPr>
                            <w:sz w:val="20"/>
                            <w:szCs w:val="20"/>
                          </w:rPr>
                        </w:pPr>
                        <w:r>
                          <w:rPr>
                            <w:spacing w:val="6"/>
                            <w:sz w:val="20"/>
                            <w:szCs w:val="20"/>
                          </w:rPr>
                          <w:t>维持现有功能，不影响地下水环境质量</w:t>
                        </w:r>
                      </w:p>
                    </w:txbxContent>
                  </v:textbox>
                </v:shape>
              </w:pict>
            </w:r>
            <w:r>
              <w:rPr>
                <w:spacing w:val="7"/>
                <w:sz w:val="20"/>
                <w:szCs w:val="20"/>
              </w:rPr>
              <w:t>井场场界外</w:t>
            </w:r>
            <w:r>
              <w:rPr>
                <w:spacing w:val="-51"/>
                <w:sz w:val="20"/>
                <w:szCs w:val="20"/>
              </w:rPr>
              <w:t xml:space="preserve"> </w:t>
            </w:r>
            <w:r>
              <w:rPr>
                <w:rFonts w:ascii="Times New Roman" w:hAnsi="Times New Roman" w:eastAsia="Times New Roman" w:cs="Times New Roman"/>
                <w:spacing w:val="7"/>
                <w:sz w:val="20"/>
                <w:szCs w:val="20"/>
              </w:rPr>
              <w:t xml:space="preserve">500 </w:t>
            </w:r>
            <w:r>
              <w:rPr>
                <w:spacing w:val="7"/>
                <w:sz w:val="20"/>
                <w:szCs w:val="20"/>
              </w:rPr>
              <w:t>范围内无地下水集中式饮用水水源、矿泉水、温泉等特殊地下水资源。</w:t>
            </w:r>
          </w:p>
          <w:p w14:paraId="2D29F199">
            <w:pPr>
              <w:pStyle w:val="6"/>
              <w:spacing w:before="13" w:line="228" w:lineRule="auto"/>
              <w:ind w:left="96"/>
              <w:rPr>
                <w:sz w:val="20"/>
                <w:szCs w:val="20"/>
              </w:rPr>
            </w:pPr>
            <w:r>
              <w:pict>
                <v:shape id="_x0000_s1081" o:spid="_x0000_s1081" o:spt="202" type="#_x0000_t202" style="position:absolute;left:0pt;margin-left:203.1pt;margin-top:6.35pt;height:14.35pt;width:169.35pt;z-index:251716608;mso-width-relative:page;mso-height-relative:page;" filled="f" stroked="f" coordsize="21600,21600">
                  <v:path/>
                  <v:fill on="f" focussize="0,0"/>
                  <v:stroke on="f"/>
                  <v:imagedata o:title=""/>
                  <o:lock v:ext="edit" aspectratio="f"/>
                  <v:textbox inset="0mm,0mm,0mm,0mm">
                    <w:txbxContent>
                      <w:p w14:paraId="1EF5E272">
                        <w:pPr>
                          <w:pStyle w:val="6"/>
                          <w:spacing w:before="19" w:line="228" w:lineRule="auto"/>
                          <w:ind w:left="20"/>
                          <w:rPr>
                            <w:sz w:val="20"/>
                            <w:szCs w:val="20"/>
                          </w:rPr>
                        </w:pPr>
                        <w:r>
                          <w:rPr>
                            <w:spacing w:val="9"/>
                            <w:sz w:val="20"/>
                            <w:szCs w:val="20"/>
                          </w:rPr>
                          <w:t>维持原有功能，不影响土壤环境质量</w:t>
                        </w:r>
                      </w:p>
                    </w:txbxContent>
                  </v:textbox>
                </v:shape>
              </w:pict>
            </w:r>
            <w:r>
              <w:rPr>
                <w:spacing w:val="9"/>
                <w:sz w:val="20"/>
                <w:szCs w:val="20"/>
              </w:rPr>
              <w:t>项目临时占地范围内及占地范围外的农用</w:t>
            </w:r>
          </w:p>
          <w:p w14:paraId="78253DFE">
            <w:pPr>
              <w:pStyle w:val="6"/>
              <w:spacing w:before="25" w:line="229" w:lineRule="auto"/>
              <w:ind w:left="1667"/>
              <w:rPr>
                <w:sz w:val="20"/>
                <w:szCs w:val="20"/>
              </w:rPr>
            </w:pPr>
            <w:r>
              <w:rPr>
                <w:spacing w:val="6"/>
                <w:sz w:val="20"/>
                <w:szCs w:val="20"/>
              </w:rPr>
              <w:t>地土壤</w:t>
            </w:r>
          </w:p>
          <w:p w14:paraId="17E908A9">
            <w:pPr>
              <w:pStyle w:val="6"/>
              <w:spacing w:before="39" w:line="227" w:lineRule="auto"/>
              <w:ind w:left="64"/>
              <w:rPr>
                <w:sz w:val="20"/>
                <w:szCs w:val="20"/>
              </w:rPr>
            </w:pPr>
            <w:r>
              <w:rPr>
                <w:spacing w:val="7"/>
                <w:sz w:val="20"/>
                <w:szCs w:val="20"/>
              </w:rPr>
              <w:t>周围</w:t>
            </w:r>
            <w:r>
              <w:rPr>
                <w:spacing w:val="-35"/>
                <w:sz w:val="20"/>
                <w:szCs w:val="20"/>
              </w:rPr>
              <w:t xml:space="preserve"> </w:t>
            </w:r>
            <w:r>
              <w:rPr>
                <w:rFonts w:ascii="Times New Roman" w:hAnsi="Times New Roman" w:eastAsia="Times New Roman" w:cs="Times New Roman"/>
                <w:spacing w:val="7"/>
                <w:sz w:val="20"/>
                <w:szCs w:val="20"/>
              </w:rPr>
              <w:t>50m</w:t>
            </w:r>
            <w:r>
              <w:rPr>
                <w:rFonts w:ascii="Times New Roman" w:hAnsi="Times New Roman" w:eastAsia="Times New Roman" w:cs="Times New Roman"/>
                <w:spacing w:val="17"/>
                <w:sz w:val="20"/>
                <w:szCs w:val="20"/>
              </w:rPr>
              <w:t xml:space="preserve"> </w:t>
            </w:r>
            <w:r>
              <w:rPr>
                <w:spacing w:val="7"/>
                <w:sz w:val="20"/>
                <w:szCs w:val="20"/>
              </w:rPr>
              <w:t>范围内耕地、野生动植物，农作 维持现有功能，不影响农作物正常生长</w:t>
            </w:r>
          </w:p>
          <w:p w14:paraId="719319E5">
            <w:pPr>
              <w:pStyle w:val="6"/>
              <w:spacing w:before="26" w:line="254" w:lineRule="auto"/>
              <w:ind w:left="408" w:right="131" w:hanging="383"/>
              <w:rPr>
                <w:sz w:val="20"/>
                <w:szCs w:val="20"/>
              </w:rPr>
            </w:pPr>
            <w:r>
              <w:rPr>
                <w:spacing w:val="6"/>
                <w:sz w:val="20"/>
                <w:szCs w:val="20"/>
              </w:rPr>
              <w:t>物主要为玉米、小麦等；基本农田；黄河多</w:t>
            </w:r>
            <w:r>
              <w:rPr>
                <w:spacing w:val="-30"/>
                <w:sz w:val="20"/>
                <w:szCs w:val="20"/>
              </w:rPr>
              <w:t xml:space="preserve"> </w:t>
            </w:r>
            <w:r>
              <w:rPr>
                <w:spacing w:val="6"/>
                <w:sz w:val="20"/>
                <w:szCs w:val="20"/>
              </w:rPr>
              <w:t>和野生动物栖息繁衍，植被覆盖度不降</w:t>
            </w:r>
            <w:r>
              <w:rPr>
                <w:spacing w:val="7"/>
                <w:sz w:val="20"/>
                <w:szCs w:val="20"/>
              </w:rPr>
              <w:t xml:space="preserve">沙粗沙国家级水土流失重点治理区       </w:t>
            </w:r>
            <w:r>
              <w:rPr>
                <w:spacing w:val="6"/>
                <w:sz w:val="20"/>
                <w:szCs w:val="20"/>
              </w:rPr>
              <w:t xml:space="preserve">            低。</w:t>
            </w:r>
          </w:p>
          <w:p w14:paraId="22D8A138">
            <w:pPr>
              <w:pStyle w:val="6"/>
              <w:spacing w:before="12"/>
              <w:ind w:left="26" w:right="77" w:firstLine="419"/>
              <w:rPr>
                <w:sz w:val="20"/>
                <w:szCs w:val="20"/>
              </w:rPr>
            </w:pPr>
            <w:r>
              <w:rPr>
                <w:spacing w:val="5"/>
                <w:sz w:val="20"/>
                <w:szCs w:val="20"/>
              </w:rPr>
              <w:t>根据《建设项目环境风险评价技术导则》（</w:t>
            </w:r>
            <w:r>
              <w:rPr>
                <w:rFonts w:ascii="Times New Roman" w:hAnsi="Times New Roman" w:eastAsia="Times New Roman" w:cs="Times New Roman"/>
                <w:sz w:val="20"/>
                <w:szCs w:val="20"/>
              </w:rPr>
              <w:t>HJ</w:t>
            </w:r>
            <w:r>
              <w:rPr>
                <w:rFonts w:ascii="Times New Roman" w:hAnsi="Times New Roman" w:eastAsia="Times New Roman" w:cs="Times New Roman"/>
                <w:spacing w:val="5"/>
                <w:sz w:val="20"/>
                <w:szCs w:val="20"/>
              </w:rPr>
              <w:t>169-2018</w:t>
            </w:r>
            <w:r>
              <w:rPr>
                <w:spacing w:val="5"/>
                <w:sz w:val="20"/>
                <w:szCs w:val="20"/>
              </w:rPr>
              <w:t>）附录</w:t>
            </w:r>
            <w:r>
              <w:rPr>
                <w:spacing w:val="-24"/>
                <w:sz w:val="20"/>
                <w:szCs w:val="20"/>
              </w:rPr>
              <w:t xml:space="preserve"> </w:t>
            </w:r>
            <w:r>
              <w:rPr>
                <w:rFonts w:ascii="Times New Roman" w:hAnsi="Times New Roman" w:eastAsia="Times New Roman" w:cs="Times New Roman"/>
                <w:spacing w:val="5"/>
                <w:sz w:val="20"/>
                <w:szCs w:val="20"/>
              </w:rPr>
              <w:t>B</w:t>
            </w:r>
            <w:r>
              <w:rPr>
                <w:rFonts w:ascii="Times New Roman" w:hAnsi="Times New Roman" w:eastAsia="Times New Roman" w:cs="Times New Roman"/>
                <w:spacing w:val="-25"/>
                <w:sz w:val="20"/>
                <w:szCs w:val="20"/>
              </w:rPr>
              <w:t xml:space="preserve"> </w:t>
            </w:r>
            <w:r>
              <w:rPr>
                <w:spacing w:val="5"/>
                <w:sz w:val="20"/>
                <w:szCs w:val="20"/>
              </w:rPr>
              <w:t>，项目</w:t>
            </w:r>
            <w:r>
              <w:rPr>
                <w:spacing w:val="-37"/>
                <w:sz w:val="20"/>
                <w:szCs w:val="20"/>
              </w:rPr>
              <w:t xml:space="preserve"> </w:t>
            </w:r>
            <w:r>
              <w:rPr>
                <w:rFonts w:ascii="Times New Roman" w:hAnsi="Times New Roman" w:eastAsia="Times New Roman" w:cs="Times New Roman"/>
                <w:spacing w:val="5"/>
                <w:sz w:val="20"/>
                <w:szCs w:val="20"/>
              </w:rPr>
              <w:t>Q</w:t>
            </w:r>
            <w:r>
              <w:rPr>
                <w:spacing w:val="5"/>
                <w:sz w:val="20"/>
                <w:szCs w:val="20"/>
              </w:rPr>
              <w:t>＜</w:t>
            </w:r>
            <w:r>
              <w:rPr>
                <w:rFonts w:ascii="Times New Roman" w:hAnsi="Times New Roman" w:eastAsia="Times New Roman" w:cs="Times New Roman"/>
                <w:spacing w:val="5"/>
                <w:sz w:val="20"/>
                <w:szCs w:val="20"/>
              </w:rPr>
              <w:t>1</w:t>
            </w:r>
            <w:r>
              <w:rPr>
                <w:spacing w:val="5"/>
                <w:sz w:val="20"/>
                <w:szCs w:val="20"/>
              </w:rPr>
              <w:t>，</w:t>
            </w:r>
            <w:r>
              <w:rPr>
                <w:spacing w:val="8"/>
                <w:sz w:val="20"/>
                <w:szCs w:val="20"/>
              </w:rPr>
              <w:t>风险潜势为</w:t>
            </w:r>
            <w:r>
              <w:rPr>
                <w:spacing w:val="-29"/>
                <w:sz w:val="20"/>
                <w:szCs w:val="20"/>
              </w:rPr>
              <w:t xml:space="preserve"> </w:t>
            </w:r>
            <w:r>
              <w:rPr>
                <w:rFonts w:ascii="Times New Roman" w:hAnsi="Times New Roman" w:eastAsia="Times New Roman" w:cs="Times New Roman"/>
                <w:spacing w:val="8"/>
                <w:sz w:val="20"/>
                <w:szCs w:val="20"/>
              </w:rPr>
              <w:t xml:space="preserve">I </w:t>
            </w:r>
            <w:r>
              <w:rPr>
                <w:spacing w:val="8"/>
                <w:sz w:val="20"/>
                <w:szCs w:val="20"/>
              </w:rPr>
              <w:t>级，仅进行简单分析，不设环境风险评价范围。</w:t>
            </w:r>
          </w:p>
        </w:tc>
      </w:tr>
      <w:tr w14:paraId="5EF1EA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466" w:type="dxa"/>
            <w:vMerge w:val="continue"/>
            <w:tcBorders>
              <w:top w:val="nil"/>
              <w:left w:val="single" w:color="000000" w:sz="6" w:space="0"/>
              <w:bottom w:val="nil"/>
              <w:right w:val="single" w:color="000000" w:sz="2" w:space="0"/>
            </w:tcBorders>
            <w:vAlign w:val="top"/>
          </w:tcPr>
          <w:p w14:paraId="1895A0AF">
            <w:pPr>
              <w:rPr>
                <w:rFonts w:ascii="Arial"/>
                <w:sz w:val="21"/>
              </w:rPr>
            </w:pPr>
          </w:p>
        </w:tc>
        <w:tc>
          <w:tcPr>
            <w:tcW w:w="860" w:type="dxa"/>
            <w:tcBorders>
              <w:left w:val="single" w:color="000000" w:sz="2" w:space="0"/>
            </w:tcBorders>
            <w:vAlign w:val="top"/>
          </w:tcPr>
          <w:p w14:paraId="27CBBD25">
            <w:pPr>
              <w:pStyle w:val="6"/>
              <w:spacing w:before="24" w:line="228" w:lineRule="auto"/>
              <w:ind w:left="273"/>
              <w:rPr>
                <w:sz w:val="20"/>
                <w:szCs w:val="20"/>
              </w:rPr>
            </w:pPr>
            <w:r>
              <w:rPr>
                <w:b/>
                <w:bCs/>
                <w:spacing w:val="3"/>
                <w:sz w:val="20"/>
                <w:szCs w:val="20"/>
              </w:rPr>
              <w:t>环境</w:t>
            </w:r>
          </w:p>
          <w:p w14:paraId="3831DD4B">
            <w:pPr>
              <w:pStyle w:val="6"/>
              <w:spacing w:before="26" w:line="223" w:lineRule="auto"/>
              <w:ind w:left="274"/>
              <w:rPr>
                <w:sz w:val="20"/>
                <w:szCs w:val="20"/>
              </w:rPr>
            </w:pPr>
            <w:r>
              <w:rPr>
                <w:b/>
                <w:bCs/>
                <w:spacing w:val="3"/>
                <w:sz w:val="20"/>
                <w:szCs w:val="20"/>
              </w:rPr>
              <w:t>要素</w:t>
            </w:r>
          </w:p>
        </w:tc>
        <w:tc>
          <w:tcPr>
            <w:tcW w:w="7657" w:type="dxa"/>
            <w:vMerge w:val="continue"/>
            <w:tcBorders>
              <w:top w:val="nil"/>
              <w:bottom w:val="nil"/>
              <w:right w:val="single" w:color="000000" w:sz="6" w:space="0"/>
            </w:tcBorders>
            <w:vAlign w:val="top"/>
          </w:tcPr>
          <w:p w14:paraId="60D4E50F">
            <w:pPr>
              <w:rPr>
                <w:rFonts w:ascii="Arial"/>
                <w:sz w:val="21"/>
              </w:rPr>
            </w:pPr>
          </w:p>
        </w:tc>
      </w:tr>
      <w:tr w14:paraId="6B0999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466" w:type="dxa"/>
            <w:vMerge w:val="continue"/>
            <w:tcBorders>
              <w:top w:val="nil"/>
              <w:left w:val="single" w:color="000000" w:sz="6" w:space="0"/>
              <w:bottom w:val="nil"/>
              <w:right w:val="single" w:color="000000" w:sz="2" w:space="0"/>
            </w:tcBorders>
            <w:vAlign w:val="top"/>
          </w:tcPr>
          <w:p w14:paraId="4B44870E">
            <w:pPr>
              <w:rPr>
                <w:rFonts w:ascii="Arial"/>
                <w:sz w:val="21"/>
              </w:rPr>
            </w:pPr>
          </w:p>
        </w:tc>
        <w:tc>
          <w:tcPr>
            <w:tcW w:w="860" w:type="dxa"/>
            <w:tcBorders>
              <w:left w:val="single" w:color="000000" w:sz="2" w:space="0"/>
            </w:tcBorders>
            <w:vAlign w:val="top"/>
          </w:tcPr>
          <w:p w14:paraId="0E1A24CE">
            <w:pPr>
              <w:pStyle w:val="6"/>
              <w:spacing w:before="160" w:line="228" w:lineRule="auto"/>
              <w:ind w:left="172"/>
              <w:rPr>
                <w:sz w:val="20"/>
                <w:szCs w:val="20"/>
              </w:rPr>
            </w:pPr>
            <w:r>
              <w:rPr>
                <w:spacing w:val="5"/>
                <w:sz w:val="20"/>
                <w:szCs w:val="20"/>
              </w:rPr>
              <w:t>声环境</w:t>
            </w:r>
          </w:p>
        </w:tc>
        <w:tc>
          <w:tcPr>
            <w:tcW w:w="7657" w:type="dxa"/>
            <w:vMerge w:val="continue"/>
            <w:tcBorders>
              <w:top w:val="nil"/>
              <w:bottom w:val="nil"/>
              <w:right w:val="single" w:color="000000" w:sz="6" w:space="0"/>
            </w:tcBorders>
            <w:vAlign w:val="top"/>
          </w:tcPr>
          <w:p w14:paraId="0E30AB7F">
            <w:pPr>
              <w:rPr>
                <w:rFonts w:ascii="Arial"/>
                <w:sz w:val="21"/>
              </w:rPr>
            </w:pPr>
          </w:p>
        </w:tc>
      </w:tr>
      <w:tr w14:paraId="16D80A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466" w:type="dxa"/>
            <w:vMerge w:val="continue"/>
            <w:tcBorders>
              <w:top w:val="nil"/>
              <w:left w:val="single" w:color="000000" w:sz="6" w:space="0"/>
              <w:bottom w:val="nil"/>
              <w:right w:val="single" w:color="000000" w:sz="2" w:space="0"/>
            </w:tcBorders>
            <w:vAlign w:val="top"/>
          </w:tcPr>
          <w:p w14:paraId="476C77B4">
            <w:pPr>
              <w:rPr>
                <w:rFonts w:ascii="Arial"/>
                <w:sz w:val="21"/>
              </w:rPr>
            </w:pPr>
          </w:p>
        </w:tc>
        <w:tc>
          <w:tcPr>
            <w:tcW w:w="860" w:type="dxa"/>
            <w:tcBorders>
              <w:left w:val="single" w:color="000000" w:sz="2" w:space="0"/>
            </w:tcBorders>
            <w:vAlign w:val="top"/>
          </w:tcPr>
          <w:p w14:paraId="6846A1FA">
            <w:pPr>
              <w:pStyle w:val="6"/>
              <w:spacing w:before="26" w:line="237" w:lineRule="auto"/>
              <w:ind w:left="273" w:right="63" w:hanging="105"/>
              <w:rPr>
                <w:sz w:val="20"/>
                <w:szCs w:val="20"/>
              </w:rPr>
            </w:pPr>
            <w:r>
              <w:rPr>
                <w:spacing w:val="6"/>
                <w:sz w:val="20"/>
                <w:szCs w:val="20"/>
              </w:rPr>
              <w:t>地下水</w:t>
            </w:r>
            <w:r>
              <w:rPr>
                <w:spacing w:val="4"/>
                <w:sz w:val="20"/>
                <w:szCs w:val="20"/>
              </w:rPr>
              <w:t>环境</w:t>
            </w:r>
          </w:p>
        </w:tc>
        <w:tc>
          <w:tcPr>
            <w:tcW w:w="7657" w:type="dxa"/>
            <w:vMerge w:val="continue"/>
            <w:tcBorders>
              <w:top w:val="nil"/>
              <w:bottom w:val="nil"/>
              <w:right w:val="single" w:color="000000" w:sz="6" w:space="0"/>
            </w:tcBorders>
            <w:vAlign w:val="top"/>
          </w:tcPr>
          <w:p w14:paraId="1FC15559">
            <w:pPr>
              <w:rPr>
                <w:rFonts w:ascii="Arial"/>
                <w:sz w:val="21"/>
              </w:rPr>
            </w:pPr>
          </w:p>
        </w:tc>
      </w:tr>
      <w:tr w14:paraId="09B696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466" w:type="dxa"/>
            <w:vMerge w:val="continue"/>
            <w:tcBorders>
              <w:top w:val="nil"/>
              <w:left w:val="single" w:color="000000" w:sz="6" w:space="0"/>
              <w:bottom w:val="nil"/>
              <w:right w:val="single" w:color="000000" w:sz="2" w:space="0"/>
            </w:tcBorders>
            <w:vAlign w:val="top"/>
          </w:tcPr>
          <w:p w14:paraId="3EABEB46">
            <w:pPr>
              <w:rPr>
                <w:rFonts w:ascii="Arial"/>
                <w:sz w:val="21"/>
              </w:rPr>
            </w:pPr>
          </w:p>
        </w:tc>
        <w:tc>
          <w:tcPr>
            <w:tcW w:w="860" w:type="dxa"/>
            <w:tcBorders>
              <w:left w:val="single" w:color="000000" w:sz="2" w:space="0"/>
            </w:tcBorders>
            <w:vAlign w:val="top"/>
          </w:tcPr>
          <w:p w14:paraId="14E423BF">
            <w:pPr>
              <w:pStyle w:val="6"/>
              <w:spacing w:before="25" w:line="229" w:lineRule="auto"/>
              <w:ind w:left="274"/>
              <w:rPr>
                <w:sz w:val="20"/>
                <w:szCs w:val="20"/>
              </w:rPr>
            </w:pPr>
            <w:r>
              <w:rPr>
                <w:spacing w:val="4"/>
                <w:sz w:val="20"/>
                <w:szCs w:val="20"/>
              </w:rPr>
              <w:t>土壤</w:t>
            </w:r>
          </w:p>
          <w:p w14:paraId="04947900">
            <w:pPr>
              <w:pStyle w:val="6"/>
              <w:spacing w:before="22" w:line="225" w:lineRule="auto"/>
              <w:ind w:left="273"/>
              <w:rPr>
                <w:sz w:val="20"/>
                <w:szCs w:val="20"/>
              </w:rPr>
            </w:pPr>
            <w:r>
              <w:rPr>
                <w:spacing w:val="4"/>
                <w:sz w:val="20"/>
                <w:szCs w:val="20"/>
              </w:rPr>
              <w:t>环境</w:t>
            </w:r>
          </w:p>
        </w:tc>
        <w:tc>
          <w:tcPr>
            <w:tcW w:w="7657" w:type="dxa"/>
            <w:vMerge w:val="continue"/>
            <w:tcBorders>
              <w:top w:val="nil"/>
              <w:bottom w:val="nil"/>
              <w:right w:val="single" w:color="000000" w:sz="6" w:space="0"/>
            </w:tcBorders>
            <w:vAlign w:val="top"/>
          </w:tcPr>
          <w:p w14:paraId="01F46B13">
            <w:pPr>
              <w:rPr>
                <w:rFonts w:ascii="Arial"/>
                <w:sz w:val="21"/>
              </w:rPr>
            </w:pPr>
          </w:p>
        </w:tc>
      </w:tr>
      <w:tr w14:paraId="2517D5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3" w:hRule="atLeast"/>
        </w:trPr>
        <w:tc>
          <w:tcPr>
            <w:tcW w:w="466" w:type="dxa"/>
            <w:vMerge w:val="continue"/>
            <w:tcBorders>
              <w:top w:val="nil"/>
              <w:left w:val="single" w:color="000000" w:sz="6" w:space="0"/>
              <w:bottom w:val="nil"/>
              <w:right w:val="single" w:color="000000" w:sz="2" w:space="0"/>
            </w:tcBorders>
            <w:vAlign w:val="top"/>
          </w:tcPr>
          <w:p w14:paraId="0EE26170">
            <w:pPr>
              <w:rPr>
                <w:rFonts w:ascii="Arial"/>
                <w:sz w:val="21"/>
              </w:rPr>
            </w:pPr>
          </w:p>
        </w:tc>
        <w:tc>
          <w:tcPr>
            <w:tcW w:w="860" w:type="dxa"/>
            <w:tcBorders>
              <w:left w:val="single" w:color="000000" w:sz="2" w:space="0"/>
            </w:tcBorders>
            <w:vAlign w:val="top"/>
          </w:tcPr>
          <w:p w14:paraId="6503CB7A">
            <w:pPr>
              <w:pStyle w:val="6"/>
              <w:spacing w:before="161" w:line="252" w:lineRule="auto"/>
              <w:ind w:left="273" w:right="169" w:firstLine="1"/>
              <w:rPr>
                <w:sz w:val="20"/>
                <w:szCs w:val="20"/>
              </w:rPr>
            </w:pPr>
            <w:r>
              <w:rPr>
                <w:spacing w:val="3"/>
                <w:sz w:val="20"/>
                <w:szCs w:val="20"/>
              </w:rPr>
              <w:t>生态</w:t>
            </w:r>
            <w:r>
              <w:rPr>
                <w:spacing w:val="4"/>
                <w:sz w:val="20"/>
                <w:szCs w:val="20"/>
              </w:rPr>
              <w:t>环境</w:t>
            </w:r>
          </w:p>
        </w:tc>
        <w:tc>
          <w:tcPr>
            <w:tcW w:w="7657" w:type="dxa"/>
            <w:vMerge w:val="continue"/>
            <w:tcBorders>
              <w:top w:val="nil"/>
              <w:bottom w:val="nil"/>
              <w:right w:val="single" w:color="000000" w:sz="6" w:space="0"/>
            </w:tcBorders>
            <w:vAlign w:val="top"/>
          </w:tcPr>
          <w:p w14:paraId="757AE3DB">
            <w:pPr>
              <w:rPr>
                <w:rFonts w:ascii="Arial"/>
                <w:sz w:val="21"/>
              </w:rPr>
            </w:pPr>
          </w:p>
        </w:tc>
      </w:tr>
      <w:tr w14:paraId="30D537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466" w:type="dxa"/>
            <w:vMerge w:val="continue"/>
            <w:tcBorders>
              <w:top w:val="nil"/>
              <w:left w:val="single" w:color="000000" w:sz="6" w:space="0"/>
              <w:bottom w:val="single" w:color="000000" w:sz="2" w:space="0"/>
              <w:right w:val="single" w:color="000000" w:sz="2" w:space="0"/>
            </w:tcBorders>
            <w:vAlign w:val="top"/>
          </w:tcPr>
          <w:p w14:paraId="242B732F">
            <w:pPr>
              <w:rPr>
                <w:rFonts w:ascii="Arial"/>
                <w:sz w:val="21"/>
              </w:rPr>
            </w:pPr>
          </w:p>
        </w:tc>
        <w:tc>
          <w:tcPr>
            <w:tcW w:w="860" w:type="dxa"/>
            <w:tcBorders>
              <w:left w:val="single" w:color="000000" w:sz="2" w:space="0"/>
              <w:bottom w:val="single" w:color="000000" w:sz="2" w:space="0"/>
            </w:tcBorders>
            <w:vAlign w:val="top"/>
          </w:tcPr>
          <w:p w14:paraId="54AC9AB3">
            <w:pPr>
              <w:pStyle w:val="6"/>
              <w:spacing w:before="24" w:line="228" w:lineRule="auto"/>
              <w:ind w:left="274"/>
              <w:rPr>
                <w:sz w:val="20"/>
                <w:szCs w:val="20"/>
              </w:rPr>
            </w:pPr>
            <w:r>
              <w:rPr>
                <w:spacing w:val="4"/>
                <w:sz w:val="20"/>
                <w:szCs w:val="20"/>
              </w:rPr>
              <w:t>风险</w:t>
            </w:r>
          </w:p>
          <w:p w14:paraId="61C71876">
            <w:pPr>
              <w:pStyle w:val="6"/>
              <w:spacing w:before="24" w:line="228" w:lineRule="auto"/>
              <w:ind w:left="273"/>
              <w:rPr>
                <w:sz w:val="20"/>
                <w:szCs w:val="20"/>
              </w:rPr>
            </w:pPr>
            <w:r>
              <w:rPr>
                <w:spacing w:val="4"/>
                <w:sz w:val="20"/>
                <w:szCs w:val="20"/>
              </w:rPr>
              <w:t>环境</w:t>
            </w:r>
          </w:p>
        </w:tc>
        <w:tc>
          <w:tcPr>
            <w:tcW w:w="7657" w:type="dxa"/>
            <w:vMerge w:val="continue"/>
            <w:tcBorders>
              <w:top w:val="nil"/>
              <w:bottom w:val="single" w:color="000000" w:sz="2" w:space="0"/>
              <w:right w:val="single" w:color="000000" w:sz="6" w:space="0"/>
            </w:tcBorders>
            <w:vAlign w:val="top"/>
          </w:tcPr>
          <w:p w14:paraId="75D220AF">
            <w:pPr>
              <w:rPr>
                <w:rFonts w:ascii="Arial"/>
                <w:sz w:val="21"/>
              </w:rPr>
            </w:pPr>
          </w:p>
        </w:tc>
      </w:tr>
      <w:tr w14:paraId="27B250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9" w:hRule="atLeast"/>
        </w:trPr>
        <w:tc>
          <w:tcPr>
            <w:tcW w:w="466" w:type="dxa"/>
            <w:tcBorders>
              <w:top w:val="single" w:color="000000" w:sz="2" w:space="0"/>
              <w:left w:val="single" w:color="000000" w:sz="6" w:space="0"/>
              <w:bottom w:val="single" w:color="000000" w:sz="6" w:space="0"/>
              <w:right w:val="single" w:color="000000" w:sz="2" w:space="0"/>
            </w:tcBorders>
            <w:textDirection w:val="tbRlV"/>
            <w:vAlign w:val="top"/>
          </w:tcPr>
          <w:p w14:paraId="76A6252E">
            <w:pPr>
              <w:pStyle w:val="6"/>
              <w:spacing w:before="113" w:line="207" w:lineRule="auto"/>
              <w:ind w:left="1065"/>
            </w:pPr>
            <w:r>
              <w:rPr>
                <w:b/>
                <w:bCs/>
                <w:spacing w:val="50"/>
              </w:rPr>
              <w:t>评价标准</w:t>
            </w:r>
          </w:p>
        </w:tc>
        <w:tc>
          <w:tcPr>
            <w:tcW w:w="8517" w:type="dxa"/>
            <w:gridSpan w:val="2"/>
            <w:tcBorders>
              <w:top w:val="single" w:color="000000" w:sz="2" w:space="0"/>
              <w:left w:val="single" w:color="000000" w:sz="2" w:space="0"/>
              <w:bottom w:val="single" w:color="000000" w:sz="6" w:space="0"/>
              <w:right w:val="single" w:color="000000" w:sz="6" w:space="0"/>
            </w:tcBorders>
            <w:vAlign w:val="top"/>
          </w:tcPr>
          <w:p w14:paraId="13FEB496">
            <w:pPr>
              <w:pStyle w:val="6"/>
              <w:spacing w:before="172" w:line="220" w:lineRule="auto"/>
              <w:ind w:left="590"/>
            </w:pPr>
            <w:r>
              <w:rPr>
                <w:b/>
                <w:bCs/>
                <w:spacing w:val="-4"/>
              </w:rPr>
              <w:t>一、环境质量标准</w:t>
            </w:r>
          </w:p>
          <w:p w14:paraId="22623C2B">
            <w:pPr>
              <w:pStyle w:val="6"/>
              <w:spacing w:before="179" w:line="220" w:lineRule="auto"/>
              <w:ind w:left="581"/>
            </w:pPr>
            <w:r>
              <w:rPr>
                <w:rFonts w:ascii="Times New Roman" w:hAnsi="Times New Roman" w:eastAsia="Times New Roman" w:cs="Times New Roman"/>
                <w:spacing w:val="-12"/>
              </w:rPr>
              <w:t>1</w:t>
            </w:r>
            <w:r>
              <w:rPr>
                <w:spacing w:val="-12"/>
              </w:rPr>
              <w:t>、大气环境</w:t>
            </w:r>
          </w:p>
          <w:p w14:paraId="658378EC">
            <w:pPr>
              <w:pStyle w:val="6"/>
              <w:spacing w:before="181" w:line="361" w:lineRule="auto"/>
              <w:ind w:left="105" w:right="41" w:firstLine="459"/>
            </w:pPr>
            <w:r>
              <w:rPr>
                <w:spacing w:val="-16"/>
              </w:rPr>
              <w:t>大气环境执行《环境空气质量标准》（</w:t>
            </w:r>
            <w:r>
              <w:rPr>
                <w:rFonts w:ascii="Times New Roman" w:hAnsi="Times New Roman" w:eastAsia="Times New Roman" w:cs="Times New Roman"/>
                <w:spacing w:val="-16"/>
              </w:rPr>
              <w:t>GB309</w:t>
            </w:r>
            <w:r>
              <w:rPr>
                <w:rFonts w:ascii="Times New Roman" w:hAnsi="Times New Roman" w:eastAsia="Times New Roman" w:cs="Times New Roman"/>
                <w:spacing w:val="-17"/>
              </w:rPr>
              <w:t>5-2026</w:t>
            </w:r>
            <w:r>
              <w:rPr>
                <w:spacing w:val="-17"/>
              </w:rPr>
              <w:t>）中过渡阶段二级浓度限值，</w:t>
            </w:r>
            <w:r>
              <w:rPr>
                <w:spacing w:val="-3"/>
              </w:rPr>
              <w:t>非甲烷总烃参照执行《大气污染物综合排放标准详解》中要求，具体标准值见下</w:t>
            </w:r>
            <w:r>
              <w:rPr>
                <w:spacing w:val="-5"/>
              </w:rPr>
              <w:t>表。</w:t>
            </w:r>
          </w:p>
          <w:p w14:paraId="29938EB6">
            <w:pPr>
              <w:spacing w:before="39" w:line="214" w:lineRule="auto"/>
              <w:ind w:left="2659"/>
              <w:rPr>
                <w:rFonts w:ascii="黑体" w:hAnsi="黑体" w:eastAsia="黑体" w:cs="黑体"/>
                <w:sz w:val="24"/>
                <w:szCs w:val="24"/>
              </w:rPr>
            </w:pPr>
            <w:r>
              <w:rPr>
                <w:rFonts w:ascii="黑体" w:hAnsi="黑体" w:eastAsia="黑体" w:cs="黑体"/>
                <w:spacing w:val="-2"/>
                <w:sz w:val="24"/>
                <w:szCs w:val="24"/>
              </w:rPr>
              <w:t>表</w:t>
            </w:r>
            <w:r>
              <w:rPr>
                <w:rFonts w:ascii="黑体" w:hAnsi="黑体" w:eastAsia="黑体" w:cs="黑体"/>
                <w:spacing w:val="-18"/>
                <w:sz w:val="24"/>
                <w:szCs w:val="24"/>
              </w:rPr>
              <w:t xml:space="preserve"> </w:t>
            </w:r>
            <w:r>
              <w:rPr>
                <w:rFonts w:ascii="Times New Roman" w:hAnsi="Times New Roman" w:eastAsia="Times New Roman" w:cs="Times New Roman"/>
                <w:spacing w:val="-2"/>
                <w:sz w:val="24"/>
                <w:szCs w:val="24"/>
              </w:rPr>
              <w:t>3-5</w:t>
            </w:r>
            <w:r>
              <w:rPr>
                <w:rFonts w:ascii="Times New Roman" w:hAnsi="Times New Roman" w:eastAsia="Times New Roman" w:cs="Times New Roman"/>
                <w:spacing w:val="20"/>
                <w:sz w:val="24"/>
                <w:szCs w:val="24"/>
              </w:rPr>
              <w:t xml:space="preserve">  </w:t>
            </w:r>
            <w:r>
              <w:rPr>
                <w:rFonts w:ascii="黑体" w:hAnsi="黑体" w:eastAsia="黑体" w:cs="黑体"/>
                <w:spacing w:val="-2"/>
                <w:sz w:val="24"/>
                <w:szCs w:val="24"/>
              </w:rPr>
              <w:t>环境空气质量标准限值</w:t>
            </w:r>
          </w:p>
          <w:p w14:paraId="03991DC6">
            <w:pPr>
              <w:pStyle w:val="6"/>
              <w:spacing w:line="447" w:lineRule="exact"/>
              <w:ind w:firstLine="98"/>
            </w:pPr>
            <w:r>
              <w:rPr>
                <w:position w:val="-9"/>
              </w:rPr>
              <w:pict>
                <v:group id="_x0000_s1082" o:spid="_x0000_s1082" o:spt="203" style="height:22.65pt;width:415.35pt;" coordsize="8307,452">
                  <o:lock v:ext="edit"/>
                  <v:shape id="_x0000_s1083" o:spid="_x0000_s1083" o:spt="75" type="#_x0000_t75" style="position:absolute;left:0;top:0;height:452;width:8307;" filled="f" stroked="f" coordsize="21600,21600">
                    <v:path/>
                    <v:fill on="f" focussize="0,0"/>
                    <v:stroke on="f"/>
                    <v:imagedata r:id="rId194" o:title=""/>
                    <o:lock v:ext="edit" aspectratio="t"/>
                  </v:shape>
                  <v:shape id="_x0000_s1084" o:spid="_x0000_s1084" o:spt="202" type="#_x0000_t202" style="position:absolute;left:-20;top:-20;height:492;width:8347;" filled="f" stroked="f" coordsize="21600,21600">
                    <v:path/>
                    <v:fill on="f" focussize="0,0"/>
                    <v:stroke on="f"/>
                    <v:imagedata o:title=""/>
                    <o:lock v:ext="edit" aspectratio="f"/>
                    <v:textbox inset="0mm,0mm,0mm,0mm">
                      <w:txbxContent>
                        <w:p w14:paraId="5A20B23A">
                          <w:pPr>
                            <w:spacing w:before="157" w:line="228" w:lineRule="auto"/>
                            <w:ind w:left="148"/>
                            <w:rPr>
                              <w:rFonts w:ascii="宋体" w:hAnsi="宋体" w:eastAsia="宋体" w:cs="宋体"/>
                              <w:sz w:val="20"/>
                              <w:szCs w:val="20"/>
                            </w:rPr>
                          </w:pPr>
                          <w:r>
                            <w:rPr>
                              <w:rFonts w:ascii="宋体" w:hAnsi="宋体" w:eastAsia="宋体" w:cs="宋体"/>
                              <w:spacing w:val="7"/>
                              <w:sz w:val="20"/>
                              <w:szCs w:val="20"/>
                            </w:rPr>
                            <w:t xml:space="preserve">污染物名称       取值时      浓度限值（二级标准）          </w:t>
                          </w:r>
                          <w:r>
                            <w:rPr>
                              <w:rFonts w:ascii="宋体" w:hAnsi="宋体" w:eastAsia="宋体" w:cs="宋体"/>
                              <w:spacing w:val="6"/>
                              <w:sz w:val="20"/>
                              <w:szCs w:val="20"/>
                            </w:rPr>
                            <w:t>执行标准</w:t>
                          </w:r>
                        </w:p>
                      </w:txbxContent>
                    </v:textbox>
                  </v:shape>
                  <w10:wrap type="none"/>
                  <w10:anchorlock/>
                </v:group>
              </w:pict>
            </w:r>
          </w:p>
        </w:tc>
      </w:tr>
    </w:tbl>
    <w:p w14:paraId="71CE56EB">
      <w:pPr>
        <w:rPr>
          <w:rFonts w:ascii="Arial"/>
          <w:sz w:val="21"/>
        </w:rPr>
      </w:pPr>
    </w:p>
    <w:p w14:paraId="1F1C0E4D">
      <w:pPr>
        <w:rPr>
          <w:rFonts w:ascii="Arial" w:hAnsi="Arial" w:eastAsia="Arial" w:cs="Arial"/>
          <w:sz w:val="21"/>
          <w:szCs w:val="21"/>
        </w:rPr>
        <w:sectPr>
          <w:footerReference r:id="rId59" w:type="default"/>
          <w:pgSz w:w="11906" w:h="16839"/>
          <w:pgMar w:top="400" w:right="1369" w:bottom="1240" w:left="1538" w:header="0" w:footer="1078" w:gutter="0"/>
          <w:cols w:space="720" w:num="1"/>
        </w:sectPr>
      </w:pPr>
    </w:p>
    <w:p w14:paraId="6B07EB98">
      <w:pPr>
        <w:spacing w:before="56"/>
      </w:pPr>
    </w:p>
    <w:p w14:paraId="7B0149BA">
      <w:pPr>
        <w:spacing w:before="56"/>
      </w:pPr>
    </w:p>
    <w:p w14:paraId="031C2506">
      <w:pPr>
        <w:spacing w:before="55"/>
      </w:pPr>
    </w:p>
    <w:p w14:paraId="470C0A83">
      <w:pPr>
        <w:spacing w:before="55"/>
      </w:pPr>
    </w:p>
    <w:tbl>
      <w:tblPr>
        <w:tblStyle w:val="5"/>
        <w:tblW w:w="898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6"/>
        <w:gridCol w:w="1398"/>
        <w:gridCol w:w="783"/>
        <w:gridCol w:w="1078"/>
        <w:gridCol w:w="994"/>
        <w:gridCol w:w="999"/>
        <w:gridCol w:w="1074"/>
        <w:gridCol w:w="2191"/>
      </w:tblGrid>
      <w:tr w14:paraId="3970B0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466" w:type="dxa"/>
            <w:vMerge w:val="restart"/>
            <w:tcBorders>
              <w:top w:val="single" w:color="000000" w:sz="6" w:space="0"/>
              <w:left w:val="single" w:color="000000" w:sz="6" w:space="0"/>
              <w:bottom w:val="nil"/>
            </w:tcBorders>
            <w:vAlign w:val="top"/>
          </w:tcPr>
          <w:p w14:paraId="65F5A70E">
            <w:pPr>
              <w:rPr>
                <w:rFonts w:ascii="Arial"/>
                <w:sz w:val="21"/>
              </w:rPr>
            </w:pPr>
          </w:p>
        </w:tc>
        <w:tc>
          <w:tcPr>
            <w:tcW w:w="1398" w:type="dxa"/>
            <w:vMerge w:val="restart"/>
            <w:tcBorders>
              <w:top w:val="single" w:color="000000" w:sz="6" w:space="0"/>
              <w:bottom w:val="nil"/>
            </w:tcBorders>
            <w:vAlign w:val="top"/>
          </w:tcPr>
          <w:p w14:paraId="045C1607">
            <w:pPr>
              <w:spacing w:line="329" w:lineRule="auto"/>
              <w:rPr>
                <w:rFonts w:ascii="Arial"/>
                <w:sz w:val="21"/>
              </w:rPr>
            </w:pPr>
          </w:p>
          <w:p w14:paraId="31AF3E9C">
            <w:pPr>
              <w:spacing w:before="57" w:line="199" w:lineRule="auto"/>
              <w:ind w:left="509"/>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pacing w:val="6"/>
                <w:position w:val="-1"/>
                <w:sz w:val="13"/>
                <w:szCs w:val="13"/>
              </w:rPr>
              <w:t>2.5</w:t>
            </w:r>
          </w:p>
        </w:tc>
        <w:tc>
          <w:tcPr>
            <w:tcW w:w="1861" w:type="dxa"/>
            <w:gridSpan w:val="2"/>
            <w:tcBorders>
              <w:top w:val="single" w:color="000000" w:sz="6" w:space="0"/>
            </w:tcBorders>
            <w:vAlign w:val="top"/>
          </w:tcPr>
          <w:p w14:paraId="49AF2911">
            <w:pPr>
              <w:pStyle w:val="6"/>
              <w:spacing w:before="130" w:line="228" w:lineRule="auto"/>
              <w:ind w:left="618"/>
              <w:rPr>
                <w:sz w:val="20"/>
                <w:szCs w:val="20"/>
              </w:rPr>
            </w:pPr>
            <w:r>
              <w:rPr>
                <w:spacing w:val="6"/>
                <w:sz w:val="20"/>
                <w:szCs w:val="20"/>
              </w:rPr>
              <w:t>年平均</w:t>
            </w:r>
          </w:p>
        </w:tc>
        <w:tc>
          <w:tcPr>
            <w:tcW w:w="1993" w:type="dxa"/>
            <w:gridSpan w:val="2"/>
            <w:tcBorders>
              <w:top w:val="single" w:color="000000" w:sz="6" w:space="0"/>
            </w:tcBorders>
            <w:vAlign w:val="top"/>
          </w:tcPr>
          <w:p w14:paraId="1340F0EF">
            <w:pPr>
              <w:spacing w:before="149" w:line="215" w:lineRule="auto"/>
              <w:ind w:left="643"/>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30μg/m</w:t>
            </w:r>
            <w:r>
              <w:rPr>
                <w:rFonts w:ascii="Times New Roman" w:hAnsi="Times New Roman" w:eastAsia="Times New Roman" w:cs="Times New Roman"/>
                <w:spacing w:val="3"/>
                <w:position w:val="6"/>
                <w:sz w:val="13"/>
                <w:szCs w:val="13"/>
              </w:rPr>
              <w:t>3</w:t>
            </w:r>
          </w:p>
        </w:tc>
        <w:tc>
          <w:tcPr>
            <w:tcW w:w="3265" w:type="dxa"/>
            <w:gridSpan w:val="2"/>
            <w:vMerge w:val="restart"/>
            <w:tcBorders>
              <w:top w:val="single" w:color="000000" w:sz="6" w:space="0"/>
              <w:bottom w:val="nil"/>
              <w:right w:val="single" w:color="000000" w:sz="6" w:space="0"/>
            </w:tcBorders>
            <w:vAlign w:val="top"/>
          </w:tcPr>
          <w:p w14:paraId="7D2D56CA">
            <w:pPr>
              <w:spacing w:line="253" w:lineRule="auto"/>
              <w:rPr>
                <w:rFonts w:ascii="Arial"/>
                <w:sz w:val="21"/>
              </w:rPr>
            </w:pPr>
          </w:p>
          <w:p w14:paraId="3381F765">
            <w:pPr>
              <w:spacing w:line="253" w:lineRule="auto"/>
              <w:rPr>
                <w:rFonts w:ascii="Arial"/>
                <w:sz w:val="21"/>
              </w:rPr>
            </w:pPr>
          </w:p>
          <w:p w14:paraId="25103602">
            <w:pPr>
              <w:spacing w:line="253" w:lineRule="auto"/>
              <w:rPr>
                <w:rFonts w:ascii="Arial"/>
                <w:sz w:val="21"/>
              </w:rPr>
            </w:pPr>
          </w:p>
          <w:p w14:paraId="4658F9ED">
            <w:pPr>
              <w:spacing w:line="253" w:lineRule="auto"/>
              <w:rPr>
                <w:rFonts w:ascii="Arial"/>
                <w:sz w:val="21"/>
              </w:rPr>
            </w:pPr>
          </w:p>
          <w:p w14:paraId="2620CEDD">
            <w:pPr>
              <w:spacing w:line="253" w:lineRule="auto"/>
              <w:rPr>
                <w:rFonts w:ascii="Arial"/>
                <w:sz w:val="21"/>
              </w:rPr>
            </w:pPr>
          </w:p>
          <w:p w14:paraId="25E076F2">
            <w:pPr>
              <w:spacing w:line="253" w:lineRule="auto"/>
              <w:rPr>
                <w:rFonts w:ascii="Arial"/>
                <w:sz w:val="21"/>
              </w:rPr>
            </w:pPr>
          </w:p>
          <w:p w14:paraId="62A72CFC">
            <w:pPr>
              <w:spacing w:line="253" w:lineRule="auto"/>
              <w:rPr>
                <w:rFonts w:ascii="Arial"/>
                <w:sz w:val="21"/>
              </w:rPr>
            </w:pPr>
          </w:p>
          <w:p w14:paraId="725FC0AA">
            <w:pPr>
              <w:spacing w:line="253" w:lineRule="auto"/>
              <w:rPr>
                <w:rFonts w:ascii="Arial"/>
                <w:sz w:val="21"/>
              </w:rPr>
            </w:pPr>
          </w:p>
          <w:p w14:paraId="7D0E08E2">
            <w:pPr>
              <w:spacing w:line="253" w:lineRule="auto"/>
              <w:rPr>
                <w:rFonts w:ascii="Arial"/>
                <w:sz w:val="21"/>
              </w:rPr>
            </w:pPr>
          </w:p>
          <w:p w14:paraId="6E56CFAB">
            <w:pPr>
              <w:spacing w:line="253" w:lineRule="auto"/>
              <w:rPr>
                <w:rFonts w:ascii="Arial"/>
                <w:sz w:val="21"/>
              </w:rPr>
            </w:pPr>
          </w:p>
          <w:p w14:paraId="090F8F2E">
            <w:pPr>
              <w:spacing w:line="254" w:lineRule="auto"/>
              <w:rPr>
                <w:rFonts w:ascii="Arial"/>
                <w:sz w:val="21"/>
              </w:rPr>
            </w:pPr>
          </w:p>
          <w:p w14:paraId="4BBB4A82">
            <w:pPr>
              <w:spacing w:line="254" w:lineRule="auto"/>
              <w:rPr>
                <w:rFonts w:ascii="Arial"/>
                <w:sz w:val="21"/>
              </w:rPr>
            </w:pPr>
          </w:p>
          <w:p w14:paraId="2A0EE356">
            <w:pPr>
              <w:pStyle w:val="6"/>
              <w:spacing w:before="65" w:line="228" w:lineRule="auto"/>
              <w:ind w:left="542"/>
              <w:rPr>
                <w:sz w:val="20"/>
                <w:szCs w:val="20"/>
              </w:rPr>
            </w:pPr>
            <w:r>
              <w:rPr>
                <w:spacing w:val="7"/>
                <w:sz w:val="20"/>
                <w:szCs w:val="20"/>
              </w:rPr>
              <w:t>《环境空气质量标准》</w:t>
            </w:r>
          </w:p>
          <w:p w14:paraId="163C5FC7">
            <w:pPr>
              <w:pStyle w:val="6"/>
              <w:spacing w:before="25" w:line="228" w:lineRule="auto"/>
              <w:ind w:left="50"/>
              <w:rPr>
                <w:sz w:val="20"/>
                <w:szCs w:val="20"/>
              </w:rPr>
            </w:pPr>
            <w:r>
              <w:rPr>
                <w:spacing w:val="7"/>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7"/>
                <w:sz w:val="20"/>
                <w:szCs w:val="20"/>
              </w:rPr>
              <w:t>3095-2026</w:t>
            </w:r>
            <w:r>
              <w:rPr>
                <w:spacing w:val="7"/>
                <w:sz w:val="20"/>
                <w:szCs w:val="20"/>
              </w:rPr>
              <w:t>）过渡阶段二级浓</w:t>
            </w:r>
          </w:p>
          <w:p w14:paraId="6865D918">
            <w:pPr>
              <w:pStyle w:val="6"/>
              <w:spacing w:before="24" w:line="228" w:lineRule="auto"/>
              <w:ind w:left="1270"/>
              <w:rPr>
                <w:sz w:val="20"/>
                <w:szCs w:val="20"/>
              </w:rPr>
            </w:pPr>
            <w:r>
              <w:rPr>
                <w:spacing w:val="7"/>
                <w:sz w:val="20"/>
                <w:szCs w:val="20"/>
              </w:rPr>
              <w:t>度限值</w:t>
            </w:r>
          </w:p>
        </w:tc>
      </w:tr>
      <w:tr w14:paraId="0783D6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466" w:type="dxa"/>
            <w:vMerge w:val="continue"/>
            <w:tcBorders>
              <w:top w:val="nil"/>
              <w:left w:val="single" w:color="000000" w:sz="6" w:space="0"/>
              <w:bottom w:val="nil"/>
            </w:tcBorders>
            <w:vAlign w:val="top"/>
          </w:tcPr>
          <w:p w14:paraId="3B032CC3">
            <w:pPr>
              <w:rPr>
                <w:rFonts w:ascii="Arial"/>
                <w:sz w:val="21"/>
              </w:rPr>
            </w:pPr>
          </w:p>
        </w:tc>
        <w:tc>
          <w:tcPr>
            <w:tcW w:w="1398" w:type="dxa"/>
            <w:vMerge w:val="continue"/>
            <w:tcBorders>
              <w:top w:val="nil"/>
            </w:tcBorders>
            <w:vAlign w:val="top"/>
          </w:tcPr>
          <w:p w14:paraId="0628AC23">
            <w:pPr>
              <w:rPr>
                <w:rFonts w:ascii="Arial"/>
                <w:sz w:val="21"/>
              </w:rPr>
            </w:pPr>
          </w:p>
        </w:tc>
        <w:tc>
          <w:tcPr>
            <w:tcW w:w="1861" w:type="dxa"/>
            <w:gridSpan w:val="2"/>
            <w:vAlign w:val="top"/>
          </w:tcPr>
          <w:p w14:paraId="096B222A">
            <w:pPr>
              <w:pStyle w:val="6"/>
              <w:spacing w:before="109" w:line="228" w:lineRule="auto"/>
              <w:ind w:left="376"/>
              <w:rPr>
                <w:sz w:val="20"/>
                <w:szCs w:val="20"/>
              </w:rPr>
            </w:pPr>
            <w:r>
              <w:rPr>
                <w:rFonts w:ascii="Times New Roman" w:hAnsi="Times New Roman" w:eastAsia="Times New Roman" w:cs="Times New Roman"/>
                <w:spacing w:val="4"/>
                <w:sz w:val="20"/>
                <w:szCs w:val="20"/>
              </w:rPr>
              <w:t>24</w:t>
            </w:r>
            <w:r>
              <w:rPr>
                <w:rFonts w:ascii="Times New Roman" w:hAnsi="Times New Roman" w:eastAsia="Times New Roman" w:cs="Times New Roman"/>
                <w:spacing w:val="19"/>
                <w:w w:val="101"/>
                <w:sz w:val="20"/>
                <w:szCs w:val="20"/>
              </w:rPr>
              <w:t xml:space="preserve"> </w:t>
            </w:r>
            <w:r>
              <w:rPr>
                <w:spacing w:val="4"/>
                <w:sz w:val="20"/>
                <w:szCs w:val="20"/>
              </w:rPr>
              <w:t>小时平均</w:t>
            </w:r>
          </w:p>
        </w:tc>
        <w:tc>
          <w:tcPr>
            <w:tcW w:w="1993" w:type="dxa"/>
            <w:gridSpan w:val="2"/>
            <w:vAlign w:val="top"/>
          </w:tcPr>
          <w:p w14:paraId="05A9E9FB">
            <w:pPr>
              <w:spacing w:before="124" w:line="218" w:lineRule="auto"/>
              <w:ind w:left="644"/>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60μg/m</w:t>
            </w:r>
            <w:r>
              <w:rPr>
                <w:rFonts w:ascii="Times New Roman" w:hAnsi="Times New Roman" w:eastAsia="Times New Roman" w:cs="Times New Roman"/>
                <w:spacing w:val="3"/>
                <w:position w:val="6"/>
                <w:sz w:val="13"/>
                <w:szCs w:val="13"/>
              </w:rPr>
              <w:t>3</w:t>
            </w:r>
          </w:p>
        </w:tc>
        <w:tc>
          <w:tcPr>
            <w:tcW w:w="3265" w:type="dxa"/>
            <w:gridSpan w:val="2"/>
            <w:vMerge w:val="continue"/>
            <w:tcBorders>
              <w:top w:val="nil"/>
              <w:bottom w:val="nil"/>
              <w:right w:val="single" w:color="000000" w:sz="6" w:space="0"/>
            </w:tcBorders>
            <w:vAlign w:val="top"/>
          </w:tcPr>
          <w:p w14:paraId="50F9BC37">
            <w:pPr>
              <w:rPr>
                <w:rFonts w:ascii="Arial"/>
                <w:sz w:val="21"/>
              </w:rPr>
            </w:pPr>
          </w:p>
        </w:tc>
      </w:tr>
      <w:tr w14:paraId="03EB6F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466" w:type="dxa"/>
            <w:vMerge w:val="continue"/>
            <w:tcBorders>
              <w:top w:val="nil"/>
              <w:left w:val="single" w:color="000000" w:sz="6" w:space="0"/>
              <w:bottom w:val="nil"/>
            </w:tcBorders>
            <w:vAlign w:val="top"/>
          </w:tcPr>
          <w:p w14:paraId="42C0CCDD">
            <w:pPr>
              <w:rPr>
                <w:rFonts w:ascii="Arial"/>
                <w:sz w:val="21"/>
              </w:rPr>
            </w:pPr>
          </w:p>
        </w:tc>
        <w:tc>
          <w:tcPr>
            <w:tcW w:w="1398" w:type="dxa"/>
            <w:vMerge w:val="restart"/>
            <w:tcBorders>
              <w:bottom w:val="nil"/>
            </w:tcBorders>
            <w:vAlign w:val="top"/>
          </w:tcPr>
          <w:p w14:paraId="20A42ABF">
            <w:pPr>
              <w:spacing w:line="307" w:lineRule="auto"/>
              <w:rPr>
                <w:rFonts w:ascii="Arial"/>
                <w:sz w:val="21"/>
              </w:rPr>
            </w:pPr>
          </w:p>
          <w:p w14:paraId="7AD4E784">
            <w:pPr>
              <w:spacing w:before="57" w:line="199" w:lineRule="auto"/>
              <w:ind w:left="525"/>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pacing w:val="8"/>
                <w:position w:val="-1"/>
                <w:sz w:val="13"/>
                <w:szCs w:val="13"/>
              </w:rPr>
              <w:t>10</w:t>
            </w:r>
          </w:p>
        </w:tc>
        <w:tc>
          <w:tcPr>
            <w:tcW w:w="1861" w:type="dxa"/>
            <w:gridSpan w:val="2"/>
            <w:vAlign w:val="top"/>
          </w:tcPr>
          <w:p w14:paraId="5623502F">
            <w:pPr>
              <w:pStyle w:val="6"/>
              <w:spacing w:before="109" w:line="228" w:lineRule="auto"/>
              <w:ind w:left="618"/>
              <w:rPr>
                <w:sz w:val="20"/>
                <w:szCs w:val="20"/>
              </w:rPr>
            </w:pPr>
            <w:r>
              <w:rPr>
                <w:spacing w:val="6"/>
                <w:sz w:val="20"/>
                <w:szCs w:val="20"/>
              </w:rPr>
              <w:t>年平均</w:t>
            </w:r>
          </w:p>
        </w:tc>
        <w:tc>
          <w:tcPr>
            <w:tcW w:w="1993" w:type="dxa"/>
            <w:gridSpan w:val="2"/>
            <w:vAlign w:val="top"/>
          </w:tcPr>
          <w:p w14:paraId="5412F51D">
            <w:pPr>
              <w:spacing w:before="125" w:line="218" w:lineRule="auto"/>
              <w:ind w:left="644"/>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60μg/m</w:t>
            </w:r>
            <w:r>
              <w:rPr>
                <w:rFonts w:ascii="Times New Roman" w:hAnsi="Times New Roman" w:eastAsia="Times New Roman" w:cs="Times New Roman"/>
                <w:spacing w:val="3"/>
                <w:position w:val="6"/>
                <w:sz w:val="13"/>
                <w:szCs w:val="13"/>
              </w:rPr>
              <w:t>3</w:t>
            </w:r>
          </w:p>
        </w:tc>
        <w:tc>
          <w:tcPr>
            <w:tcW w:w="3265" w:type="dxa"/>
            <w:gridSpan w:val="2"/>
            <w:vMerge w:val="continue"/>
            <w:tcBorders>
              <w:top w:val="nil"/>
              <w:bottom w:val="nil"/>
              <w:right w:val="single" w:color="000000" w:sz="6" w:space="0"/>
            </w:tcBorders>
            <w:vAlign w:val="top"/>
          </w:tcPr>
          <w:p w14:paraId="0CC627DA">
            <w:pPr>
              <w:rPr>
                <w:rFonts w:ascii="Arial"/>
                <w:sz w:val="21"/>
              </w:rPr>
            </w:pPr>
          </w:p>
        </w:tc>
      </w:tr>
      <w:tr w14:paraId="5BFE35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466" w:type="dxa"/>
            <w:vMerge w:val="continue"/>
            <w:tcBorders>
              <w:top w:val="nil"/>
              <w:left w:val="single" w:color="000000" w:sz="6" w:space="0"/>
              <w:bottom w:val="nil"/>
            </w:tcBorders>
            <w:vAlign w:val="top"/>
          </w:tcPr>
          <w:p w14:paraId="33C390C2">
            <w:pPr>
              <w:rPr>
                <w:rFonts w:ascii="Arial"/>
                <w:sz w:val="21"/>
              </w:rPr>
            </w:pPr>
          </w:p>
        </w:tc>
        <w:tc>
          <w:tcPr>
            <w:tcW w:w="1398" w:type="dxa"/>
            <w:vMerge w:val="continue"/>
            <w:tcBorders>
              <w:top w:val="nil"/>
            </w:tcBorders>
            <w:vAlign w:val="top"/>
          </w:tcPr>
          <w:p w14:paraId="6609FDC2">
            <w:pPr>
              <w:rPr>
                <w:rFonts w:ascii="Arial"/>
                <w:sz w:val="21"/>
              </w:rPr>
            </w:pPr>
          </w:p>
        </w:tc>
        <w:tc>
          <w:tcPr>
            <w:tcW w:w="1861" w:type="dxa"/>
            <w:gridSpan w:val="2"/>
            <w:vAlign w:val="top"/>
          </w:tcPr>
          <w:p w14:paraId="547312E1">
            <w:pPr>
              <w:pStyle w:val="6"/>
              <w:spacing w:before="110" w:line="228" w:lineRule="auto"/>
              <w:ind w:left="376"/>
              <w:rPr>
                <w:sz w:val="20"/>
                <w:szCs w:val="20"/>
              </w:rPr>
            </w:pPr>
            <w:r>
              <w:rPr>
                <w:rFonts w:ascii="Times New Roman" w:hAnsi="Times New Roman" w:eastAsia="Times New Roman" w:cs="Times New Roman"/>
                <w:spacing w:val="4"/>
                <w:sz w:val="20"/>
                <w:szCs w:val="20"/>
              </w:rPr>
              <w:t>24</w:t>
            </w:r>
            <w:r>
              <w:rPr>
                <w:rFonts w:ascii="Times New Roman" w:hAnsi="Times New Roman" w:eastAsia="Times New Roman" w:cs="Times New Roman"/>
                <w:spacing w:val="19"/>
                <w:w w:val="101"/>
                <w:sz w:val="20"/>
                <w:szCs w:val="20"/>
              </w:rPr>
              <w:t xml:space="preserve"> </w:t>
            </w:r>
            <w:r>
              <w:rPr>
                <w:spacing w:val="4"/>
                <w:sz w:val="20"/>
                <w:szCs w:val="20"/>
              </w:rPr>
              <w:t>小时平均</w:t>
            </w:r>
          </w:p>
        </w:tc>
        <w:tc>
          <w:tcPr>
            <w:tcW w:w="1993" w:type="dxa"/>
            <w:gridSpan w:val="2"/>
            <w:vAlign w:val="top"/>
          </w:tcPr>
          <w:p w14:paraId="015262EB">
            <w:pPr>
              <w:spacing w:before="125" w:line="218" w:lineRule="auto"/>
              <w:ind w:left="607"/>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120μg/m</w:t>
            </w:r>
            <w:r>
              <w:rPr>
                <w:rFonts w:ascii="Times New Roman" w:hAnsi="Times New Roman" w:eastAsia="Times New Roman" w:cs="Times New Roman"/>
                <w:spacing w:val="1"/>
                <w:position w:val="6"/>
                <w:sz w:val="13"/>
                <w:szCs w:val="13"/>
              </w:rPr>
              <w:t>3</w:t>
            </w:r>
          </w:p>
        </w:tc>
        <w:tc>
          <w:tcPr>
            <w:tcW w:w="3265" w:type="dxa"/>
            <w:gridSpan w:val="2"/>
            <w:vMerge w:val="continue"/>
            <w:tcBorders>
              <w:top w:val="nil"/>
              <w:bottom w:val="nil"/>
              <w:right w:val="single" w:color="000000" w:sz="6" w:space="0"/>
            </w:tcBorders>
            <w:vAlign w:val="top"/>
          </w:tcPr>
          <w:p w14:paraId="69FC203B">
            <w:pPr>
              <w:rPr>
                <w:rFonts w:ascii="Arial"/>
                <w:sz w:val="21"/>
              </w:rPr>
            </w:pPr>
          </w:p>
        </w:tc>
      </w:tr>
      <w:tr w14:paraId="2405F8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466" w:type="dxa"/>
            <w:vMerge w:val="continue"/>
            <w:tcBorders>
              <w:top w:val="nil"/>
              <w:left w:val="single" w:color="000000" w:sz="6" w:space="0"/>
              <w:bottom w:val="nil"/>
            </w:tcBorders>
            <w:vAlign w:val="top"/>
          </w:tcPr>
          <w:p w14:paraId="1CCBDFC5">
            <w:pPr>
              <w:rPr>
                <w:rFonts w:ascii="Arial"/>
                <w:sz w:val="21"/>
              </w:rPr>
            </w:pPr>
          </w:p>
        </w:tc>
        <w:tc>
          <w:tcPr>
            <w:tcW w:w="1398" w:type="dxa"/>
            <w:vMerge w:val="restart"/>
            <w:tcBorders>
              <w:bottom w:val="nil"/>
            </w:tcBorders>
            <w:vAlign w:val="top"/>
          </w:tcPr>
          <w:p w14:paraId="2D18AD2A">
            <w:pPr>
              <w:spacing w:line="261" w:lineRule="auto"/>
              <w:rPr>
                <w:rFonts w:ascii="Arial"/>
                <w:sz w:val="21"/>
              </w:rPr>
            </w:pPr>
          </w:p>
          <w:p w14:paraId="2BD87DCE">
            <w:pPr>
              <w:spacing w:line="261" w:lineRule="auto"/>
              <w:rPr>
                <w:rFonts w:ascii="Arial"/>
                <w:sz w:val="21"/>
              </w:rPr>
            </w:pPr>
          </w:p>
          <w:p w14:paraId="18B141C6">
            <w:pPr>
              <w:spacing w:before="57" w:line="202" w:lineRule="auto"/>
              <w:ind w:left="585"/>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pacing w:val="3"/>
                <w:position w:val="-1"/>
                <w:sz w:val="13"/>
                <w:szCs w:val="13"/>
              </w:rPr>
              <w:t>2</w:t>
            </w:r>
          </w:p>
        </w:tc>
        <w:tc>
          <w:tcPr>
            <w:tcW w:w="1861" w:type="dxa"/>
            <w:gridSpan w:val="2"/>
            <w:vAlign w:val="top"/>
          </w:tcPr>
          <w:p w14:paraId="4B92F70B">
            <w:pPr>
              <w:pStyle w:val="6"/>
              <w:spacing w:before="109" w:line="228" w:lineRule="auto"/>
              <w:ind w:left="618"/>
              <w:rPr>
                <w:sz w:val="20"/>
                <w:szCs w:val="20"/>
              </w:rPr>
            </w:pPr>
            <w:r>
              <w:rPr>
                <w:spacing w:val="6"/>
                <w:sz w:val="20"/>
                <w:szCs w:val="20"/>
              </w:rPr>
              <w:t>年平均</w:t>
            </w:r>
          </w:p>
        </w:tc>
        <w:tc>
          <w:tcPr>
            <w:tcW w:w="1993" w:type="dxa"/>
            <w:gridSpan w:val="2"/>
            <w:vAlign w:val="top"/>
          </w:tcPr>
          <w:p w14:paraId="19D2453F">
            <w:pPr>
              <w:spacing w:before="128" w:line="215" w:lineRule="auto"/>
              <w:ind w:left="644"/>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60μg/m</w:t>
            </w:r>
            <w:r>
              <w:rPr>
                <w:rFonts w:ascii="Times New Roman" w:hAnsi="Times New Roman" w:eastAsia="Times New Roman" w:cs="Times New Roman"/>
                <w:spacing w:val="3"/>
                <w:position w:val="6"/>
                <w:sz w:val="13"/>
                <w:szCs w:val="13"/>
              </w:rPr>
              <w:t>3</w:t>
            </w:r>
          </w:p>
        </w:tc>
        <w:tc>
          <w:tcPr>
            <w:tcW w:w="3265" w:type="dxa"/>
            <w:gridSpan w:val="2"/>
            <w:vMerge w:val="continue"/>
            <w:tcBorders>
              <w:top w:val="nil"/>
              <w:bottom w:val="nil"/>
              <w:right w:val="single" w:color="000000" w:sz="6" w:space="0"/>
            </w:tcBorders>
            <w:vAlign w:val="top"/>
          </w:tcPr>
          <w:p w14:paraId="5698D745">
            <w:pPr>
              <w:rPr>
                <w:rFonts w:ascii="Arial"/>
                <w:sz w:val="21"/>
              </w:rPr>
            </w:pPr>
          </w:p>
        </w:tc>
      </w:tr>
      <w:tr w14:paraId="255E41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466" w:type="dxa"/>
            <w:vMerge w:val="continue"/>
            <w:tcBorders>
              <w:top w:val="nil"/>
              <w:left w:val="single" w:color="000000" w:sz="6" w:space="0"/>
              <w:bottom w:val="nil"/>
            </w:tcBorders>
            <w:vAlign w:val="top"/>
          </w:tcPr>
          <w:p w14:paraId="24392229">
            <w:pPr>
              <w:rPr>
                <w:rFonts w:ascii="Arial"/>
                <w:sz w:val="21"/>
              </w:rPr>
            </w:pPr>
          </w:p>
        </w:tc>
        <w:tc>
          <w:tcPr>
            <w:tcW w:w="1398" w:type="dxa"/>
            <w:vMerge w:val="continue"/>
            <w:tcBorders>
              <w:top w:val="nil"/>
              <w:bottom w:val="nil"/>
            </w:tcBorders>
            <w:vAlign w:val="top"/>
          </w:tcPr>
          <w:p w14:paraId="6F4E9D06">
            <w:pPr>
              <w:rPr>
                <w:rFonts w:ascii="Arial"/>
                <w:sz w:val="21"/>
              </w:rPr>
            </w:pPr>
          </w:p>
        </w:tc>
        <w:tc>
          <w:tcPr>
            <w:tcW w:w="1861" w:type="dxa"/>
            <w:gridSpan w:val="2"/>
            <w:vAlign w:val="top"/>
          </w:tcPr>
          <w:p w14:paraId="7BCEB737">
            <w:pPr>
              <w:pStyle w:val="6"/>
              <w:spacing w:before="113" w:line="228" w:lineRule="auto"/>
              <w:ind w:left="376"/>
              <w:rPr>
                <w:sz w:val="20"/>
                <w:szCs w:val="20"/>
              </w:rPr>
            </w:pPr>
            <w:r>
              <w:rPr>
                <w:rFonts w:ascii="Times New Roman" w:hAnsi="Times New Roman" w:eastAsia="Times New Roman" w:cs="Times New Roman"/>
                <w:spacing w:val="4"/>
                <w:sz w:val="20"/>
                <w:szCs w:val="20"/>
              </w:rPr>
              <w:t>24</w:t>
            </w:r>
            <w:r>
              <w:rPr>
                <w:rFonts w:ascii="Times New Roman" w:hAnsi="Times New Roman" w:eastAsia="Times New Roman" w:cs="Times New Roman"/>
                <w:spacing w:val="19"/>
                <w:w w:val="101"/>
                <w:sz w:val="20"/>
                <w:szCs w:val="20"/>
              </w:rPr>
              <w:t xml:space="preserve"> </w:t>
            </w:r>
            <w:r>
              <w:rPr>
                <w:spacing w:val="4"/>
                <w:sz w:val="20"/>
                <w:szCs w:val="20"/>
              </w:rPr>
              <w:t>小时平均</w:t>
            </w:r>
          </w:p>
        </w:tc>
        <w:tc>
          <w:tcPr>
            <w:tcW w:w="1993" w:type="dxa"/>
            <w:gridSpan w:val="2"/>
            <w:vAlign w:val="top"/>
          </w:tcPr>
          <w:p w14:paraId="373BC635">
            <w:pPr>
              <w:spacing w:before="128" w:line="218" w:lineRule="auto"/>
              <w:ind w:left="607"/>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150μg/m</w:t>
            </w:r>
            <w:r>
              <w:rPr>
                <w:rFonts w:ascii="Times New Roman" w:hAnsi="Times New Roman" w:eastAsia="Times New Roman" w:cs="Times New Roman"/>
                <w:spacing w:val="1"/>
                <w:position w:val="6"/>
                <w:sz w:val="13"/>
                <w:szCs w:val="13"/>
              </w:rPr>
              <w:t>3</w:t>
            </w:r>
          </w:p>
        </w:tc>
        <w:tc>
          <w:tcPr>
            <w:tcW w:w="3265" w:type="dxa"/>
            <w:gridSpan w:val="2"/>
            <w:vMerge w:val="continue"/>
            <w:tcBorders>
              <w:top w:val="nil"/>
              <w:bottom w:val="nil"/>
              <w:right w:val="single" w:color="000000" w:sz="6" w:space="0"/>
            </w:tcBorders>
            <w:vAlign w:val="top"/>
          </w:tcPr>
          <w:p w14:paraId="65CFDD19">
            <w:pPr>
              <w:rPr>
                <w:rFonts w:ascii="Arial"/>
                <w:sz w:val="21"/>
              </w:rPr>
            </w:pPr>
          </w:p>
        </w:tc>
      </w:tr>
      <w:tr w14:paraId="19330D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466" w:type="dxa"/>
            <w:vMerge w:val="continue"/>
            <w:tcBorders>
              <w:top w:val="nil"/>
              <w:left w:val="single" w:color="000000" w:sz="6" w:space="0"/>
              <w:bottom w:val="nil"/>
            </w:tcBorders>
            <w:vAlign w:val="top"/>
          </w:tcPr>
          <w:p w14:paraId="02970B2F">
            <w:pPr>
              <w:rPr>
                <w:rFonts w:ascii="Arial"/>
                <w:sz w:val="21"/>
              </w:rPr>
            </w:pPr>
          </w:p>
        </w:tc>
        <w:tc>
          <w:tcPr>
            <w:tcW w:w="1398" w:type="dxa"/>
            <w:vMerge w:val="continue"/>
            <w:tcBorders>
              <w:top w:val="nil"/>
            </w:tcBorders>
            <w:vAlign w:val="top"/>
          </w:tcPr>
          <w:p w14:paraId="2B586E47">
            <w:pPr>
              <w:rPr>
                <w:rFonts w:ascii="Arial"/>
                <w:sz w:val="21"/>
              </w:rPr>
            </w:pPr>
          </w:p>
        </w:tc>
        <w:tc>
          <w:tcPr>
            <w:tcW w:w="1861" w:type="dxa"/>
            <w:gridSpan w:val="2"/>
            <w:vAlign w:val="top"/>
          </w:tcPr>
          <w:p w14:paraId="79385FA6">
            <w:pPr>
              <w:pStyle w:val="6"/>
              <w:spacing w:before="113" w:line="228" w:lineRule="auto"/>
              <w:ind w:left="449"/>
              <w:rPr>
                <w:sz w:val="20"/>
                <w:szCs w:val="20"/>
              </w:rPr>
            </w:pPr>
            <w:r>
              <w:rPr>
                <w:rFonts w:ascii="Times New Roman" w:hAnsi="Times New Roman" w:eastAsia="Times New Roman" w:cs="Times New Roman"/>
                <w:sz w:val="20"/>
                <w:szCs w:val="20"/>
              </w:rPr>
              <w:t>1</w:t>
            </w:r>
            <w:r>
              <w:rPr>
                <w:rFonts w:ascii="Times New Roman" w:hAnsi="Times New Roman" w:eastAsia="Times New Roman" w:cs="Times New Roman"/>
                <w:spacing w:val="20"/>
                <w:w w:val="101"/>
                <w:sz w:val="20"/>
                <w:szCs w:val="20"/>
              </w:rPr>
              <w:t xml:space="preserve"> </w:t>
            </w:r>
            <w:r>
              <w:rPr>
                <w:sz w:val="20"/>
                <w:szCs w:val="20"/>
              </w:rPr>
              <w:t>小时平均</w:t>
            </w:r>
          </w:p>
        </w:tc>
        <w:tc>
          <w:tcPr>
            <w:tcW w:w="1993" w:type="dxa"/>
            <w:gridSpan w:val="2"/>
            <w:vAlign w:val="top"/>
          </w:tcPr>
          <w:p w14:paraId="4FFF6EE4">
            <w:pPr>
              <w:spacing w:before="129" w:line="218" w:lineRule="auto"/>
              <w:ind w:left="592"/>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500μg/m</w:t>
            </w:r>
            <w:r>
              <w:rPr>
                <w:rFonts w:ascii="Times New Roman" w:hAnsi="Times New Roman" w:eastAsia="Times New Roman" w:cs="Times New Roman"/>
                <w:spacing w:val="3"/>
                <w:position w:val="6"/>
                <w:sz w:val="13"/>
                <w:szCs w:val="13"/>
              </w:rPr>
              <w:t>3</w:t>
            </w:r>
          </w:p>
        </w:tc>
        <w:tc>
          <w:tcPr>
            <w:tcW w:w="3265" w:type="dxa"/>
            <w:gridSpan w:val="2"/>
            <w:vMerge w:val="continue"/>
            <w:tcBorders>
              <w:top w:val="nil"/>
              <w:bottom w:val="nil"/>
              <w:right w:val="single" w:color="000000" w:sz="6" w:space="0"/>
            </w:tcBorders>
            <w:vAlign w:val="top"/>
          </w:tcPr>
          <w:p w14:paraId="227280A5">
            <w:pPr>
              <w:rPr>
                <w:rFonts w:ascii="Arial"/>
                <w:sz w:val="21"/>
              </w:rPr>
            </w:pPr>
          </w:p>
        </w:tc>
      </w:tr>
      <w:tr w14:paraId="1A6EC7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466" w:type="dxa"/>
            <w:vMerge w:val="continue"/>
            <w:tcBorders>
              <w:top w:val="nil"/>
              <w:left w:val="single" w:color="000000" w:sz="6" w:space="0"/>
              <w:bottom w:val="nil"/>
            </w:tcBorders>
            <w:vAlign w:val="top"/>
          </w:tcPr>
          <w:p w14:paraId="6CD6BBC2">
            <w:pPr>
              <w:rPr>
                <w:rFonts w:ascii="Arial"/>
                <w:sz w:val="21"/>
              </w:rPr>
            </w:pPr>
          </w:p>
        </w:tc>
        <w:tc>
          <w:tcPr>
            <w:tcW w:w="1398" w:type="dxa"/>
            <w:vMerge w:val="restart"/>
            <w:tcBorders>
              <w:bottom w:val="nil"/>
            </w:tcBorders>
            <w:vAlign w:val="top"/>
          </w:tcPr>
          <w:p w14:paraId="2CC7A18F">
            <w:pPr>
              <w:spacing w:line="261" w:lineRule="auto"/>
              <w:rPr>
                <w:rFonts w:ascii="Arial"/>
                <w:sz w:val="21"/>
              </w:rPr>
            </w:pPr>
          </w:p>
          <w:p w14:paraId="0766C81B">
            <w:pPr>
              <w:spacing w:line="262" w:lineRule="auto"/>
              <w:rPr>
                <w:rFonts w:ascii="Arial"/>
                <w:sz w:val="21"/>
              </w:rPr>
            </w:pPr>
          </w:p>
          <w:p w14:paraId="4A7BF883">
            <w:pPr>
              <w:spacing w:before="57" w:line="205" w:lineRule="auto"/>
              <w:ind w:left="553"/>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NO</w:t>
            </w:r>
            <w:r>
              <w:rPr>
                <w:rFonts w:ascii="Times New Roman" w:hAnsi="Times New Roman" w:eastAsia="Times New Roman" w:cs="Times New Roman"/>
                <w:spacing w:val="6"/>
                <w:position w:val="-1"/>
                <w:sz w:val="13"/>
                <w:szCs w:val="13"/>
              </w:rPr>
              <w:t>2</w:t>
            </w:r>
          </w:p>
        </w:tc>
        <w:tc>
          <w:tcPr>
            <w:tcW w:w="1861" w:type="dxa"/>
            <w:gridSpan w:val="2"/>
            <w:vAlign w:val="top"/>
          </w:tcPr>
          <w:p w14:paraId="0366E3C5">
            <w:pPr>
              <w:pStyle w:val="6"/>
              <w:spacing w:before="113" w:line="228" w:lineRule="auto"/>
              <w:ind w:left="618"/>
              <w:rPr>
                <w:sz w:val="20"/>
                <w:szCs w:val="20"/>
              </w:rPr>
            </w:pPr>
            <w:r>
              <w:rPr>
                <w:spacing w:val="6"/>
                <w:sz w:val="20"/>
                <w:szCs w:val="20"/>
              </w:rPr>
              <w:t>年平均</w:t>
            </w:r>
          </w:p>
        </w:tc>
        <w:tc>
          <w:tcPr>
            <w:tcW w:w="1993" w:type="dxa"/>
            <w:gridSpan w:val="2"/>
            <w:vAlign w:val="top"/>
          </w:tcPr>
          <w:p w14:paraId="1A2F32BB">
            <w:pPr>
              <w:spacing w:before="129" w:line="218" w:lineRule="auto"/>
              <w:ind w:left="638"/>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40μg/m</w:t>
            </w:r>
            <w:r>
              <w:rPr>
                <w:rFonts w:ascii="Times New Roman" w:hAnsi="Times New Roman" w:eastAsia="Times New Roman" w:cs="Times New Roman"/>
                <w:spacing w:val="4"/>
                <w:position w:val="6"/>
                <w:sz w:val="13"/>
                <w:szCs w:val="13"/>
              </w:rPr>
              <w:t>3</w:t>
            </w:r>
          </w:p>
        </w:tc>
        <w:tc>
          <w:tcPr>
            <w:tcW w:w="3265" w:type="dxa"/>
            <w:gridSpan w:val="2"/>
            <w:vMerge w:val="continue"/>
            <w:tcBorders>
              <w:top w:val="nil"/>
              <w:bottom w:val="nil"/>
              <w:right w:val="single" w:color="000000" w:sz="6" w:space="0"/>
            </w:tcBorders>
            <w:vAlign w:val="top"/>
          </w:tcPr>
          <w:p w14:paraId="464C8211">
            <w:pPr>
              <w:rPr>
                <w:rFonts w:ascii="Arial"/>
                <w:sz w:val="21"/>
              </w:rPr>
            </w:pPr>
          </w:p>
        </w:tc>
      </w:tr>
      <w:tr w14:paraId="354255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466" w:type="dxa"/>
            <w:vMerge w:val="continue"/>
            <w:tcBorders>
              <w:top w:val="nil"/>
              <w:left w:val="single" w:color="000000" w:sz="6" w:space="0"/>
              <w:bottom w:val="nil"/>
            </w:tcBorders>
            <w:vAlign w:val="top"/>
          </w:tcPr>
          <w:p w14:paraId="1B2E1169">
            <w:pPr>
              <w:rPr>
                <w:rFonts w:ascii="Arial"/>
                <w:sz w:val="21"/>
              </w:rPr>
            </w:pPr>
          </w:p>
        </w:tc>
        <w:tc>
          <w:tcPr>
            <w:tcW w:w="1398" w:type="dxa"/>
            <w:vMerge w:val="continue"/>
            <w:tcBorders>
              <w:top w:val="nil"/>
              <w:bottom w:val="nil"/>
            </w:tcBorders>
            <w:vAlign w:val="top"/>
          </w:tcPr>
          <w:p w14:paraId="63B36A2F">
            <w:pPr>
              <w:rPr>
                <w:rFonts w:ascii="Arial"/>
                <w:sz w:val="21"/>
              </w:rPr>
            </w:pPr>
          </w:p>
        </w:tc>
        <w:tc>
          <w:tcPr>
            <w:tcW w:w="1861" w:type="dxa"/>
            <w:gridSpan w:val="2"/>
            <w:vAlign w:val="top"/>
          </w:tcPr>
          <w:p w14:paraId="5E5E0AB3">
            <w:pPr>
              <w:pStyle w:val="6"/>
              <w:spacing w:before="113" w:line="228" w:lineRule="auto"/>
              <w:ind w:left="376"/>
              <w:rPr>
                <w:sz w:val="20"/>
                <w:szCs w:val="20"/>
              </w:rPr>
            </w:pPr>
            <w:r>
              <w:rPr>
                <w:rFonts w:ascii="Times New Roman" w:hAnsi="Times New Roman" w:eastAsia="Times New Roman" w:cs="Times New Roman"/>
                <w:spacing w:val="4"/>
                <w:sz w:val="20"/>
                <w:szCs w:val="20"/>
              </w:rPr>
              <w:t>24</w:t>
            </w:r>
            <w:r>
              <w:rPr>
                <w:rFonts w:ascii="Times New Roman" w:hAnsi="Times New Roman" w:eastAsia="Times New Roman" w:cs="Times New Roman"/>
                <w:spacing w:val="19"/>
                <w:w w:val="101"/>
                <w:sz w:val="20"/>
                <w:szCs w:val="20"/>
              </w:rPr>
              <w:t xml:space="preserve"> </w:t>
            </w:r>
            <w:r>
              <w:rPr>
                <w:spacing w:val="4"/>
                <w:sz w:val="20"/>
                <w:szCs w:val="20"/>
              </w:rPr>
              <w:t>小时平均</w:t>
            </w:r>
          </w:p>
        </w:tc>
        <w:tc>
          <w:tcPr>
            <w:tcW w:w="1993" w:type="dxa"/>
            <w:gridSpan w:val="2"/>
            <w:vAlign w:val="top"/>
          </w:tcPr>
          <w:p w14:paraId="79C8E231">
            <w:pPr>
              <w:spacing w:before="131" w:line="215" w:lineRule="auto"/>
              <w:ind w:left="648"/>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80μg/m</w:t>
            </w:r>
            <w:r>
              <w:rPr>
                <w:rFonts w:ascii="Times New Roman" w:hAnsi="Times New Roman" w:eastAsia="Times New Roman" w:cs="Times New Roman"/>
                <w:spacing w:val="2"/>
                <w:position w:val="6"/>
                <w:sz w:val="13"/>
                <w:szCs w:val="13"/>
              </w:rPr>
              <w:t>3</w:t>
            </w:r>
          </w:p>
        </w:tc>
        <w:tc>
          <w:tcPr>
            <w:tcW w:w="3265" w:type="dxa"/>
            <w:gridSpan w:val="2"/>
            <w:vMerge w:val="continue"/>
            <w:tcBorders>
              <w:top w:val="nil"/>
              <w:bottom w:val="nil"/>
              <w:right w:val="single" w:color="000000" w:sz="6" w:space="0"/>
            </w:tcBorders>
            <w:vAlign w:val="top"/>
          </w:tcPr>
          <w:p w14:paraId="4C7325B8">
            <w:pPr>
              <w:rPr>
                <w:rFonts w:ascii="Arial"/>
                <w:sz w:val="21"/>
              </w:rPr>
            </w:pPr>
          </w:p>
        </w:tc>
      </w:tr>
      <w:tr w14:paraId="371485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466" w:type="dxa"/>
            <w:vMerge w:val="continue"/>
            <w:tcBorders>
              <w:top w:val="nil"/>
              <w:left w:val="single" w:color="000000" w:sz="6" w:space="0"/>
              <w:bottom w:val="nil"/>
            </w:tcBorders>
            <w:vAlign w:val="top"/>
          </w:tcPr>
          <w:p w14:paraId="41E79551">
            <w:pPr>
              <w:rPr>
                <w:rFonts w:ascii="Arial"/>
                <w:sz w:val="21"/>
              </w:rPr>
            </w:pPr>
          </w:p>
        </w:tc>
        <w:tc>
          <w:tcPr>
            <w:tcW w:w="1398" w:type="dxa"/>
            <w:vMerge w:val="continue"/>
            <w:tcBorders>
              <w:top w:val="nil"/>
            </w:tcBorders>
            <w:vAlign w:val="top"/>
          </w:tcPr>
          <w:p w14:paraId="16BE54FF">
            <w:pPr>
              <w:rPr>
                <w:rFonts w:ascii="Arial"/>
                <w:sz w:val="21"/>
              </w:rPr>
            </w:pPr>
          </w:p>
        </w:tc>
        <w:tc>
          <w:tcPr>
            <w:tcW w:w="1861" w:type="dxa"/>
            <w:gridSpan w:val="2"/>
            <w:vAlign w:val="top"/>
          </w:tcPr>
          <w:p w14:paraId="75DBCC95">
            <w:pPr>
              <w:pStyle w:val="6"/>
              <w:spacing w:before="115" w:line="228" w:lineRule="auto"/>
              <w:ind w:left="449"/>
              <w:rPr>
                <w:sz w:val="20"/>
                <w:szCs w:val="20"/>
              </w:rPr>
            </w:pPr>
            <w:r>
              <w:rPr>
                <w:rFonts w:ascii="Times New Roman" w:hAnsi="Times New Roman" w:eastAsia="Times New Roman" w:cs="Times New Roman"/>
                <w:sz w:val="20"/>
                <w:szCs w:val="20"/>
              </w:rPr>
              <w:t>1</w:t>
            </w:r>
            <w:r>
              <w:rPr>
                <w:rFonts w:ascii="Times New Roman" w:hAnsi="Times New Roman" w:eastAsia="Times New Roman" w:cs="Times New Roman"/>
                <w:spacing w:val="20"/>
                <w:w w:val="101"/>
                <w:sz w:val="20"/>
                <w:szCs w:val="20"/>
              </w:rPr>
              <w:t xml:space="preserve"> </w:t>
            </w:r>
            <w:r>
              <w:rPr>
                <w:sz w:val="20"/>
                <w:szCs w:val="20"/>
              </w:rPr>
              <w:t>小时平均</w:t>
            </w:r>
          </w:p>
        </w:tc>
        <w:tc>
          <w:tcPr>
            <w:tcW w:w="1993" w:type="dxa"/>
            <w:gridSpan w:val="2"/>
            <w:vAlign w:val="top"/>
          </w:tcPr>
          <w:p w14:paraId="2E1E5F41">
            <w:pPr>
              <w:spacing w:before="130" w:line="218" w:lineRule="auto"/>
              <w:ind w:left="586"/>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200μg/m</w:t>
            </w:r>
            <w:r>
              <w:rPr>
                <w:rFonts w:ascii="Times New Roman" w:hAnsi="Times New Roman" w:eastAsia="Times New Roman" w:cs="Times New Roman"/>
                <w:spacing w:val="4"/>
                <w:position w:val="6"/>
                <w:sz w:val="13"/>
                <w:szCs w:val="13"/>
              </w:rPr>
              <w:t>3</w:t>
            </w:r>
          </w:p>
        </w:tc>
        <w:tc>
          <w:tcPr>
            <w:tcW w:w="3265" w:type="dxa"/>
            <w:gridSpan w:val="2"/>
            <w:vMerge w:val="continue"/>
            <w:tcBorders>
              <w:top w:val="nil"/>
              <w:bottom w:val="nil"/>
              <w:right w:val="single" w:color="000000" w:sz="6" w:space="0"/>
            </w:tcBorders>
            <w:vAlign w:val="top"/>
          </w:tcPr>
          <w:p w14:paraId="7216740A">
            <w:pPr>
              <w:rPr>
                <w:rFonts w:ascii="Arial"/>
                <w:sz w:val="21"/>
              </w:rPr>
            </w:pPr>
          </w:p>
        </w:tc>
      </w:tr>
      <w:tr w14:paraId="33DC6E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466" w:type="dxa"/>
            <w:vMerge w:val="continue"/>
            <w:tcBorders>
              <w:top w:val="nil"/>
              <w:left w:val="single" w:color="000000" w:sz="6" w:space="0"/>
              <w:bottom w:val="nil"/>
            </w:tcBorders>
            <w:vAlign w:val="top"/>
          </w:tcPr>
          <w:p w14:paraId="22E39EF3">
            <w:pPr>
              <w:rPr>
                <w:rFonts w:ascii="Arial"/>
                <w:sz w:val="21"/>
              </w:rPr>
            </w:pPr>
          </w:p>
        </w:tc>
        <w:tc>
          <w:tcPr>
            <w:tcW w:w="1398" w:type="dxa"/>
            <w:vMerge w:val="restart"/>
            <w:tcBorders>
              <w:bottom w:val="nil"/>
            </w:tcBorders>
            <w:vAlign w:val="top"/>
          </w:tcPr>
          <w:p w14:paraId="6306ED93">
            <w:pPr>
              <w:spacing w:line="309" w:lineRule="auto"/>
              <w:rPr>
                <w:rFonts w:ascii="Arial"/>
                <w:sz w:val="21"/>
              </w:rPr>
            </w:pPr>
          </w:p>
          <w:p w14:paraId="5D307C34">
            <w:pPr>
              <w:spacing w:before="57" w:line="195" w:lineRule="auto"/>
              <w:ind w:left="6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CO</w:t>
            </w:r>
          </w:p>
        </w:tc>
        <w:tc>
          <w:tcPr>
            <w:tcW w:w="1861" w:type="dxa"/>
            <w:gridSpan w:val="2"/>
            <w:vAlign w:val="top"/>
          </w:tcPr>
          <w:p w14:paraId="14AEFC81">
            <w:pPr>
              <w:pStyle w:val="6"/>
              <w:spacing w:before="114" w:line="228" w:lineRule="auto"/>
              <w:ind w:left="376"/>
              <w:rPr>
                <w:sz w:val="20"/>
                <w:szCs w:val="20"/>
              </w:rPr>
            </w:pPr>
            <w:r>
              <w:rPr>
                <w:rFonts w:ascii="Times New Roman" w:hAnsi="Times New Roman" w:eastAsia="Times New Roman" w:cs="Times New Roman"/>
                <w:spacing w:val="4"/>
                <w:sz w:val="20"/>
                <w:szCs w:val="20"/>
              </w:rPr>
              <w:t>24</w:t>
            </w:r>
            <w:r>
              <w:rPr>
                <w:rFonts w:ascii="Times New Roman" w:hAnsi="Times New Roman" w:eastAsia="Times New Roman" w:cs="Times New Roman"/>
                <w:spacing w:val="19"/>
                <w:w w:val="101"/>
                <w:sz w:val="20"/>
                <w:szCs w:val="20"/>
              </w:rPr>
              <w:t xml:space="preserve"> </w:t>
            </w:r>
            <w:r>
              <w:rPr>
                <w:spacing w:val="4"/>
                <w:sz w:val="20"/>
                <w:szCs w:val="20"/>
              </w:rPr>
              <w:t>小时平均</w:t>
            </w:r>
          </w:p>
        </w:tc>
        <w:tc>
          <w:tcPr>
            <w:tcW w:w="1993" w:type="dxa"/>
            <w:gridSpan w:val="2"/>
            <w:vAlign w:val="top"/>
          </w:tcPr>
          <w:p w14:paraId="4679AEBB">
            <w:pPr>
              <w:spacing w:before="130" w:line="218" w:lineRule="auto"/>
              <w:ind w:left="665"/>
              <w:rPr>
                <w:rFonts w:ascii="Times New Roman" w:hAnsi="Times New Roman" w:eastAsia="Times New Roman" w:cs="Times New Roman"/>
                <w:sz w:val="13"/>
                <w:szCs w:val="13"/>
              </w:rPr>
            </w:pPr>
            <w:r>
              <w:rPr>
                <w:rFonts w:ascii="Times New Roman" w:hAnsi="Times New Roman" w:eastAsia="Times New Roman" w:cs="Times New Roman"/>
                <w:spacing w:val="7"/>
                <w:sz w:val="20"/>
                <w:szCs w:val="20"/>
              </w:rPr>
              <w:t>4</w:t>
            </w:r>
            <w:r>
              <w:rPr>
                <w:rFonts w:ascii="Times New Roman" w:hAnsi="Times New Roman" w:eastAsia="Times New Roman" w:cs="Times New Roman"/>
                <w:sz w:val="20"/>
                <w:szCs w:val="20"/>
              </w:rPr>
              <w:t>mg</w:t>
            </w:r>
            <w:r>
              <w:rPr>
                <w:rFonts w:ascii="Times New Roman" w:hAnsi="Times New Roman" w:eastAsia="Times New Roman" w:cs="Times New Roman"/>
                <w:spacing w:val="7"/>
                <w:sz w:val="20"/>
                <w:szCs w:val="20"/>
              </w:rPr>
              <w:t>/m</w:t>
            </w:r>
            <w:r>
              <w:rPr>
                <w:rFonts w:ascii="Times New Roman" w:hAnsi="Times New Roman" w:eastAsia="Times New Roman" w:cs="Times New Roman"/>
                <w:spacing w:val="7"/>
                <w:position w:val="6"/>
                <w:sz w:val="13"/>
                <w:szCs w:val="13"/>
              </w:rPr>
              <w:t>3</w:t>
            </w:r>
          </w:p>
        </w:tc>
        <w:tc>
          <w:tcPr>
            <w:tcW w:w="3265" w:type="dxa"/>
            <w:gridSpan w:val="2"/>
            <w:vMerge w:val="continue"/>
            <w:tcBorders>
              <w:top w:val="nil"/>
              <w:bottom w:val="nil"/>
              <w:right w:val="single" w:color="000000" w:sz="6" w:space="0"/>
            </w:tcBorders>
            <w:vAlign w:val="top"/>
          </w:tcPr>
          <w:p w14:paraId="062D8F76">
            <w:pPr>
              <w:rPr>
                <w:rFonts w:ascii="Arial"/>
                <w:sz w:val="21"/>
              </w:rPr>
            </w:pPr>
          </w:p>
        </w:tc>
      </w:tr>
      <w:tr w14:paraId="008FB6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466" w:type="dxa"/>
            <w:vMerge w:val="continue"/>
            <w:tcBorders>
              <w:top w:val="nil"/>
              <w:left w:val="single" w:color="000000" w:sz="6" w:space="0"/>
              <w:bottom w:val="nil"/>
            </w:tcBorders>
            <w:vAlign w:val="top"/>
          </w:tcPr>
          <w:p w14:paraId="567EC0D5">
            <w:pPr>
              <w:rPr>
                <w:rFonts w:ascii="Arial"/>
                <w:sz w:val="21"/>
              </w:rPr>
            </w:pPr>
          </w:p>
        </w:tc>
        <w:tc>
          <w:tcPr>
            <w:tcW w:w="1398" w:type="dxa"/>
            <w:vMerge w:val="continue"/>
            <w:tcBorders>
              <w:top w:val="nil"/>
            </w:tcBorders>
            <w:vAlign w:val="top"/>
          </w:tcPr>
          <w:p w14:paraId="01C49165">
            <w:pPr>
              <w:rPr>
                <w:rFonts w:ascii="Arial"/>
                <w:sz w:val="21"/>
              </w:rPr>
            </w:pPr>
          </w:p>
        </w:tc>
        <w:tc>
          <w:tcPr>
            <w:tcW w:w="1861" w:type="dxa"/>
            <w:gridSpan w:val="2"/>
            <w:vAlign w:val="top"/>
          </w:tcPr>
          <w:p w14:paraId="6B25B865">
            <w:pPr>
              <w:pStyle w:val="6"/>
              <w:spacing w:before="114" w:line="228" w:lineRule="auto"/>
              <w:ind w:left="449"/>
              <w:rPr>
                <w:sz w:val="20"/>
                <w:szCs w:val="20"/>
              </w:rPr>
            </w:pPr>
            <w:r>
              <w:rPr>
                <w:rFonts w:ascii="Times New Roman" w:hAnsi="Times New Roman" w:eastAsia="Times New Roman" w:cs="Times New Roman"/>
                <w:sz w:val="20"/>
                <w:szCs w:val="20"/>
              </w:rPr>
              <w:t>1</w:t>
            </w:r>
            <w:r>
              <w:rPr>
                <w:rFonts w:ascii="Times New Roman" w:hAnsi="Times New Roman" w:eastAsia="Times New Roman" w:cs="Times New Roman"/>
                <w:spacing w:val="20"/>
                <w:w w:val="101"/>
                <w:sz w:val="20"/>
                <w:szCs w:val="20"/>
              </w:rPr>
              <w:t xml:space="preserve"> </w:t>
            </w:r>
            <w:r>
              <w:rPr>
                <w:sz w:val="20"/>
                <w:szCs w:val="20"/>
              </w:rPr>
              <w:t>小时平均</w:t>
            </w:r>
          </w:p>
        </w:tc>
        <w:tc>
          <w:tcPr>
            <w:tcW w:w="1993" w:type="dxa"/>
            <w:gridSpan w:val="2"/>
            <w:vAlign w:val="top"/>
          </w:tcPr>
          <w:p w14:paraId="6EACF9DA">
            <w:pPr>
              <w:spacing w:before="129" w:line="218" w:lineRule="auto"/>
              <w:ind w:left="633"/>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10</w:t>
            </w:r>
            <w:r>
              <w:rPr>
                <w:rFonts w:ascii="Times New Roman" w:hAnsi="Times New Roman" w:eastAsia="Times New Roman" w:cs="Times New Roman"/>
                <w:sz w:val="20"/>
                <w:szCs w:val="20"/>
              </w:rPr>
              <w:t>mg</w:t>
            </w:r>
            <w:r>
              <w:rPr>
                <w:rFonts w:ascii="Times New Roman" w:hAnsi="Times New Roman" w:eastAsia="Times New Roman" w:cs="Times New Roman"/>
                <w:spacing w:val="2"/>
                <w:sz w:val="20"/>
                <w:szCs w:val="20"/>
              </w:rPr>
              <w:t>/m</w:t>
            </w:r>
            <w:r>
              <w:rPr>
                <w:rFonts w:ascii="Times New Roman" w:hAnsi="Times New Roman" w:eastAsia="Times New Roman" w:cs="Times New Roman"/>
                <w:spacing w:val="2"/>
                <w:position w:val="6"/>
                <w:sz w:val="13"/>
                <w:szCs w:val="13"/>
              </w:rPr>
              <w:t>3</w:t>
            </w:r>
          </w:p>
        </w:tc>
        <w:tc>
          <w:tcPr>
            <w:tcW w:w="3265" w:type="dxa"/>
            <w:gridSpan w:val="2"/>
            <w:vMerge w:val="continue"/>
            <w:tcBorders>
              <w:top w:val="nil"/>
              <w:bottom w:val="nil"/>
              <w:right w:val="single" w:color="000000" w:sz="6" w:space="0"/>
            </w:tcBorders>
            <w:vAlign w:val="top"/>
          </w:tcPr>
          <w:p w14:paraId="0E541C08">
            <w:pPr>
              <w:rPr>
                <w:rFonts w:ascii="Arial"/>
                <w:sz w:val="21"/>
              </w:rPr>
            </w:pPr>
          </w:p>
        </w:tc>
      </w:tr>
      <w:tr w14:paraId="584770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466" w:type="dxa"/>
            <w:vMerge w:val="continue"/>
            <w:tcBorders>
              <w:top w:val="nil"/>
              <w:left w:val="single" w:color="000000" w:sz="6" w:space="0"/>
              <w:bottom w:val="nil"/>
            </w:tcBorders>
            <w:vAlign w:val="top"/>
          </w:tcPr>
          <w:p w14:paraId="49D6E205">
            <w:pPr>
              <w:rPr>
                <w:rFonts w:ascii="Arial"/>
                <w:sz w:val="21"/>
              </w:rPr>
            </w:pPr>
          </w:p>
        </w:tc>
        <w:tc>
          <w:tcPr>
            <w:tcW w:w="1398" w:type="dxa"/>
            <w:vMerge w:val="restart"/>
            <w:tcBorders>
              <w:bottom w:val="nil"/>
            </w:tcBorders>
            <w:vAlign w:val="top"/>
          </w:tcPr>
          <w:p w14:paraId="355A5D25">
            <w:pPr>
              <w:spacing w:line="308" w:lineRule="auto"/>
              <w:rPr>
                <w:rFonts w:ascii="Arial"/>
                <w:sz w:val="21"/>
              </w:rPr>
            </w:pPr>
          </w:p>
          <w:p w14:paraId="510B38C5">
            <w:pPr>
              <w:spacing w:before="57" w:line="202" w:lineRule="auto"/>
              <w:ind w:left="637"/>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O</w:t>
            </w:r>
            <w:r>
              <w:rPr>
                <w:rFonts w:ascii="Times New Roman" w:hAnsi="Times New Roman" w:eastAsia="Times New Roman" w:cs="Times New Roman"/>
                <w:spacing w:val="1"/>
                <w:position w:val="-1"/>
                <w:sz w:val="13"/>
                <w:szCs w:val="13"/>
              </w:rPr>
              <w:t>3</w:t>
            </w:r>
          </w:p>
        </w:tc>
        <w:tc>
          <w:tcPr>
            <w:tcW w:w="1861" w:type="dxa"/>
            <w:gridSpan w:val="2"/>
            <w:vAlign w:val="top"/>
          </w:tcPr>
          <w:p w14:paraId="506C89E0">
            <w:pPr>
              <w:pStyle w:val="6"/>
              <w:spacing w:before="112" w:line="228" w:lineRule="auto"/>
              <w:ind w:left="128"/>
              <w:rPr>
                <w:sz w:val="20"/>
                <w:szCs w:val="20"/>
              </w:rPr>
            </w:pPr>
            <w:r>
              <w:rPr>
                <w:sz w:val="20"/>
                <w:szCs w:val="20"/>
              </w:rPr>
              <w:t>日最大</w:t>
            </w:r>
            <w:r>
              <w:rPr>
                <w:spacing w:val="-35"/>
                <w:sz w:val="20"/>
                <w:szCs w:val="20"/>
              </w:rPr>
              <w:t xml:space="preserve"> </w:t>
            </w:r>
            <w:r>
              <w:rPr>
                <w:rFonts w:ascii="Times New Roman" w:hAnsi="Times New Roman" w:eastAsia="Times New Roman" w:cs="Times New Roman"/>
                <w:sz w:val="20"/>
                <w:szCs w:val="20"/>
              </w:rPr>
              <w:t>8</w:t>
            </w:r>
            <w:r>
              <w:rPr>
                <w:rFonts w:ascii="Times New Roman" w:hAnsi="Times New Roman" w:eastAsia="Times New Roman" w:cs="Times New Roman"/>
                <w:spacing w:val="17"/>
                <w:w w:val="101"/>
                <w:sz w:val="20"/>
                <w:szCs w:val="20"/>
              </w:rPr>
              <w:t xml:space="preserve"> </w:t>
            </w:r>
            <w:r>
              <w:rPr>
                <w:sz w:val="20"/>
                <w:szCs w:val="20"/>
              </w:rPr>
              <w:t>小时平均</w:t>
            </w:r>
          </w:p>
        </w:tc>
        <w:tc>
          <w:tcPr>
            <w:tcW w:w="1993" w:type="dxa"/>
            <w:gridSpan w:val="2"/>
            <w:vAlign w:val="top"/>
          </w:tcPr>
          <w:p w14:paraId="5307BB6F">
            <w:pPr>
              <w:spacing w:before="131" w:line="215" w:lineRule="auto"/>
              <w:ind w:left="607"/>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160μg/m</w:t>
            </w:r>
            <w:r>
              <w:rPr>
                <w:rFonts w:ascii="Times New Roman" w:hAnsi="Times New Roman" w:eastAsia="Times New Roman" w:cs="Times New Roman"/>
                <w:spacing w:val="1"/>
                <w:position w:val="6"/>
                <w:sz w:val="13"/>
                <w:szCs w:val="13"/>
              </w:rPr>
              <w:t>3</w:t>
            </w:r>
          </w:p>
        </w:tc>
        <w:tc>
          <w:tcPr>
            <w:tcW w:w="3265" w:type="dxa"/>
            <w:gridSpan w:val="2"/>
            <w:vMerge w:val="continue"/>
            <w:tcBorders>
              <w:top w:val="nil"/>
              <w:bottom w:val="nil"/>
              <w:right w:val="single" w:color="000000" w:sz="6" w:space="0"/>
            </w:tcBorders>
            <w:vAlign w:val="top"/>
          </w:tcPr>
          <w:p w14:paraId="7D7AAC30">
            <w:pPr>
              <w:rPr>
                <w:rFonts w:ascii="Arial"/>
                <w:sz w:val="21"/>
              </w:rPr>
            </w:pPr>
          </w:p>
        </w:tc>
      </w:tr>
      <w:tr w14:paraId="4D6D4A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466" w:type="dxa"/>
            <w:vMerge w:val="continue"/>
            <w:tcBorders>
              <w:top w:val="nil"/>
              <w:left w:val="single" w:color="000000" w:sz="6" w:space="0"/>
              <w:bottom w:val="nil"/>
            </w:tcBorders>
            <w:vAlign w:val="top"/>
          </w:tcPr>
          <w:p w14:paraId="50A48D07">
            <w:pPr>
              <w:rPr>
                <w:rFonts w:ascii="Arial"/>
                <w:sz w:val="21"/>
              </w:rPr>
            </w:pPr>
          </w:p>
        </w:tc>
        <w:tc>
          <w:tcPr>
            <w:tcW w:w="1398" w:type="dxa"/>
            <w:vMerge w:val="continue"/>
            <w:tcBorders>
              <w:top w:val="nil"/>
            </w:tcBorders>
            <w:vAlign w:val="top"/>
          </w:tcPr>
          <w:p w14:paraId="44A2FCA7">
            <w:pPr>
              <w:rPr>
                <w:rFonts w:ascii="Arial"/>
                <w:sz w:val="21"/>
              </w:rPr>
            </w:pPr>
          </w:p>
        </w:tc>
        <w:tc>
          <w:tcPr>
            <w:tcW w:w="1861" w:type="dxa"/>
            <w:gridSpan w:val="2"/>
            <w:vAlign w:val="top"/>
          </w:tcPr>
          <w:p w14:paraId="65ACD978">
            <w:pPr>
              <w:pStyle w:val="6"/>
              <w:spacing w:before="116" w:line="228" w:lineRule="auto"/>
              <w:ind w:left="449"/>
              <w:rPr>
                <w:sz w:val="20"/>
                <w:szCs w:val="20"/>
              </w:rPr>
            </w:pPr>
            <w:r>
              <w:rPr>
                <w:rFonts w:ascii="Times New Roman" w:hAnsi="Times New Roman" w:eastAsia="Times New Roman" w:cs="Times New Roman"/>
                <w:sz w:val="20"/>
                <w:szCs w:val="20"/>
              </w:rPr>
              <w:t>1</w:t>
            </w:r>
            <w:r>
              <w:rPr>
                <w:rFonts w:ascii="Times New Roman" w:hAnsi="Times New Roman" w:eastAsia="Times New Roman" w:cs="Times New Roman"/>
                <w:spacing w:val="20"/>
                <w:w w:val="101"/>
                <w:sz w:val="20"/>
                <w:szCs w:val="20"/>
              </w:rPr>
              <w:t xml:space="preserve"> </w:t>
            </w:r>
            <w:r>
              <w:rPr>
                <w:sz w:val="20"/>
                <w:szCs w:val="20"/>
              </w:rPr>
              <w:t>小时平均</w:t>
            </w:r>
          </w:p>
        </w:tc>
        <w:tc>
          <w:tcPr>
            <w:tcW w:w="1993" w:type="dxa"/>
            <w:gridSpan w:val="2"/>
            <w:vAlign w:val="top"/>
          </w:tcPr>
          <w:p w14:paraId="4CBA8026">
            <w:pPr>
              <w:spacing w:before="131" w:line="218" w:lineRule="auto"/>
              <w:ind w:left="586"/>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200μg/m</w:t>
            </w:r>
            <w:r>
              <w:rPr>
                <w:rFonts w:ascii="Times New Roman" w:hAnsi="Times New Roman" w:eastAsia="Times New Roman" w:cs="Times New Roman"/>
                <w:spacing w:val="4"/>
                <w:position w:val="6"/>
                <w:sz w:val="13"/>
                <w:szCs w:val="13"/>
              </w:rPr>
              <w:t>3</w:t>
            </w:r>
          </w:p>
        </w:tc>
        <w:tc>
          <w:tcPr>
            <w:tcW w:w="3265" w:type="dxa"/>
            <w:gridSpan w:val="2"/>
            <w:vMerge w:val="continue"/>
            <w:tcBorders>
              <w:top w:val="nil"/>
              <w:bottom w:val="nil"/>
              <w:right w:val="single" w:color="000000" w:sz="6" w:space="0"/>
            </w:tcBorders>
            <w:vAlign w:val="top"/>
          </w:tcPr>
          <w:p w14:paraId="1C219063">
            <w:pPr>
              <w:rPr>
                <w:rFonts w:ascii="Arial"/>
                <w:sz w:val="21"/>
              </w:rPr>
            </w:pPr>
          </w:p>
        </w:tc>
      </w:tr>
      <w:tr w14:paraId="2FC6E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466" w:type="dxa"/>
            <w:vMerge w:val="continue"/>
            <w:tcBorders>
              <w:top w:val="nil"/>
              <w:left w:val="single" w:color="000000" w:sz="6" w:space="0"/>
              <w:bottom w:val="nil"/>
            </w:tcBorders>
            <w:vAlign w:val="top"/>
          </w:tcPr>
          <w:p w14:paraId="386E4FFC">
            <w:pPr>
              <w:rPr>
                <w:rFonts w:ascii="Arial"/>
                <w:sz w:val="21"/>
              </w:rPr>
            </w:pPr>
          </w:p>
        </w:tc>
        <w:tc>
          <w:tcPr>
            <w:tcW w:w="1398" w:type="dxa"/>
            <w:vMerge w:val="restart"/>
            <w:tcBorders>
              <w:bottom w:val="nil"/>
            </w:tcBorders>
            <w:vAlign w:val="top"/>
          </w:tcPr>
          <w:p w14:paraId="62B27BA7">
            <w:pPr>
              <w:spacing w:line="310" w:lineRule="auto"/>
              <w:rPr>
                <w:rFonts w:ascii="Arial"/>
                <w:sz w:val="21"/>
              </w:rPr>
            </w:pPr>
          </w:p>
          <w:p w14:paraId="566C4FF4">
            <w:pPr>
              <w:spacing w:before="57" w:line="195" w:lineRule="auto"/>
              <w:ind w:left="5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TSP</w:t>
            </w:r>
          </w:p>
        </w:tc>
        <w:tc>
          <w:tcPr>
            <w:tcW w:w="1861" w:type="dxa"/>
            <w:gridSpan w:val="2"/>
            <w:vAlign w:val="top"/>
          </w:tcPr>
          <w:p w14:paraId="408D0D37">
            <w:pPr>
              <w:pStyle w:val="6"/>
              <w:spacing w:before="115" w:line="228" w:lineRule="auto"/>
              <w:ind w:left="618"/>
              <w:rPr>
                <w:sz w:val="20"/>
                <w:szCs w:val="20"/>
              </w:rPr>
            </w:pPr>
            <w:r>
              <w:rPr>
                <w:spacing w:val="6"/>
                <w:sz w:val="20"/>
                <w:szCs w:val="20"/>
              </w:rPr>
              <w:t>年平均</w:t>
            </w:r>
          </w:p>
        </w:tc>
        <w:tc>
          <w:tcPr>
            <w:tcW w:w="1993" w:type="dxa"/>
            <w:gridSpan w:val="2"/>
            <w:vAlign w:val="top"/>
          </w:tcPr>
          <w:p w14:paraId="245345EF">
            <w:pPr>
              <w:spacing w:before="131" w:line="218" w:lineRule="auto"/>
              <w:ind w:left="586"/>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200μg/m</w:t>
            </w:r>
            <w:r>
              <w:rPr>
                <w:rFonts w:ascii="Times New Roman" w:hAnsi="Times New Roman" w:eastAsia="Times New Roman" w:cs="Times New Roman"/>
                <w:spacing w:val="4"/>
                <w:position w:val="6"/>
                <w:sz w:val="13"/>
                <w:szCs w:val="13"/>
              </w:rPr>
              <w:t>3</w:t>
            </w:r>
          </w:p>
        </w:tc>
        <w:tc>
          <w:tcPr>
            <w:tcW w:w="3265" w:type="dxa"/>
            <w:gridSpan w:val="2"/>
            <w:vMerge w:val="continue"/>
            <w:tcBorders>
              <w:top w:val="nil"/>
              <w:bottom w:val="nil"/>
              <w:right w:val="single" w:color="000000" w:sz="6" w:space="0"/>
            </w:tcBorders>
            <w:vAlign w:val="top"/>
          </w:tcPr>
          <w:p w14:paraId="2E25B83A">
            <w:pPr>
              <w:rPr>
                <w:rFonts w:ascii="Arial"/>
                <w:sz w:val="21"/>
              </w:rPr>
            </w:pPr>
          </w:p>
        </w:tc>
      </w:tr>
      <w:tr w14:paraId="025D90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466" w:type="dxa"/>
            <w:vMerge w:val="continue"/>
            <w:tcBorders>
              <w:top w:val="nil"/>
              <w:left w:val="single" w:color="000000" w:sz="6" w:space="0"/>
              <w:bottom w:val="nil"/>
            </w:tcBorders>
            <w:vAlign w:val="top"/>
          </w:tcPr>
          <w:p w14:paraId="3202DA75">
            <w:pPr>
              <w:rPr>
                <w:rFonts w:ascii="Arial"/>
                <w:sz w:val="21"/>
              </w:rPr>
            </w:pPr>
          </w:p>
        </w:tc>
        <w:tc>
          <w:tcPr>
            <w:tcW w:w="1398" w:type="dxa"/>
            <w:vMerge w:val="continue"/>
            <w:tcBorders>
              <w:top w:val="nil"/>
            </w:tcBorders>
            <w:vAlign w:val="top"/>
          </w:tcPr>
          <w:p w14:paraId="6E7C9F7E">
            <w:pPr>
              <w:rPr>
                <w:rFonts w:ascii="Arial"/>
                <w:sz w:val="21"/>
              </w:rPr>
            </w:pPr>
          </w:p>
        </w:tc>
        <w:tc>
          <w:tcPr>
            <w:tcW w:w="1861" w:type="dxa"/>
            <w:gridSpan w:val="2"/>
            <w:vAlign w:val="top"/>
          </w:tcPr>
          <w:p w14:paraId="7212EEE4">
            <w:pPr>
              <w:pStyle w:val="6"/>
              <w:spacing w:before="116" w:line="228" w:lineRule="auto"/>
              <w:ind w:left="376"/>
              <w:rPr>
                <w:sz w:val="20"/>
                <w:szCs w:val="20"/>
              </w:rPr>
            </w:pPr>
            <w:r>
              <w:rPr>
                <w:rFonts w:ascii="Times New Roman" w:hAnsi="Times New Roman" w:eastAsia="Times New Roman" w:cs="Times New Roman"/>
                <w:spacing w:val="4"/>
                <w:sz w:val="20"/>
                <w:szCs w:val="20"/>
              </w:rPr>
              <w:t>24</w:t>
            </w:r>
            <w:r>
              <w:rPr>
                <w:rFonts w:ascii="Times New Roman" w:hAnsi="Times New Roman" w:eastAsia="Times New Roman" w:cs="Times New Roman"/>
                <w:spacing w:val="19"/>
                <w:w w:val="101"/>
                <w:sz w:val="20"/>
                <w:szCs w:val="20"/>
              </w:rPr>
              <w:t xml:space="preserve"> </w:t>
            </w:r>
            <w:r>
              <w:rPr>
                <w:spacing w:val="4"/>
                <w:sz w:val="20"/>
                <w:szCs w:val="20"/>
              </w:rPr>
              <w:t>小时平均</w:t>
            </w:r>
          </w:p>
        </w:tc>
        <w:tc>
          <w:tcPr>
            <w:tcW w:w="1993" w:type="dxa"/>
            <w:gridSpan w:val="2"/>
            <w:vAlign w:val="top"/>
          </w:tcPr>
          <w:p w14:paraId="4445DC1C">
            <w:pPr>
              <w:spacing w:before="131" w:line="218" w:lineRule="auto"/>
              <w:ind w:left="591"/>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300μg/m</w:t>
            </w:r>
            <w:r>
              <w:rPr>
                <w:rFonts w:ascii="Times New Roman" w:hAnsi="Times New Roman" w:eastAsia="Times New Roman" w:cs="Times New Roman"/>
                <w:spacing w:val="3"/>
                <w:position w:val="6"/>
                <w:sz w:val="13"/>
                <w:szCs w:val="13"/>
              </w:rPr>
              <w:t>3</w:t>
            </w:r>
          </w:p>
        </w:tc>
        <w:tc>
          <w:tcPr>
            <w:tcW w:w="3265" w:type="dxa"/>
            <w:gridSpan w:val="2"/>
            <w:vMerge w:val="continue"/>
            <w:tcBorders>
              <w:top w:val="nil"/>
              <w:right w:val="single" w:color="000000" w:sz="6" w:space="0"/>
            </w:tcBorders>
            <w:vAlign w:val="top"/>
          </w:tcPr>
          <w:p w14:paraId="502E252B">
            <w:pPr>
              <w:rPr>
                <w:rFonts w:ascii="Arial"/>
                <w:sz w:val="21"/>
              </w:rPr>
            </w:pPr>
          </w:p>
        </w:tc>
      </w:tr>
      <w:tr w14:paraId="4F478E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466" w:type="dxa"/>
            <w:vMerge w:val="continue"/>
            <w:tcBorders>
              <w:top w:val="nil"/>
              <w:left w:val="single" w:color="000000" w:sz="6" w:space="0"/>
              <w:bottom w:val="nil"/>
            </w:tcBorders>
            <w:vAlign w:val="top"/>
          </w:tcPr>
          <w:p w14:paraId="1DE804FE">
            <w:pPr>
              <w:rPr>
                <w:rFonts w:ascii="Arial"/>
                <w:sz w:val="21"/>
              </w:rPr>
            </w:pPr>
          </w:p>
        </w:tc>
        <w:tc>
          <w:tcPr>
            <w:tcW w:w="1398" w:type="dxa"/>
            <w:tcBorders>
              <w:bottom w:val="single" w:color="000000" w:sz="10" w:space="0"/>
            </w:tcBorders>
            <w:vAlign w:val="top"/>
          </w:tcPr>
          <w:p w14:paraId="0A6B732E">
            <w:pPr>
              <w:pStyle w:val="6"/>
              <w:spacing w:before="175" w:line="228" w:lineRule="auto"/>
              <w:ind w:left="229"/>
              <w:rPr>
                <w:sz w:val="20"/>
                <w:szCs w:val="20"/>
              </w:rPr>
            </w:pPr>
            <w:r>
              <w:rPr>
                <w:spacing w:val="7"/>
                <w:sz w:val="20"/>
                <w:szCs w:val="20"/>
              </w:rPr>
              <w:t>非甲烷总烃</w:t>
            </w:r>
          </w:p>
        </w:tc>
        <w:tc>
          <w:tcPr>
            <w:tcW w:w="1861" w:type="dxa"/>
            <w:gridSpan w:val="2"/>
            <w:tcBorders>
              <w:bottom w:val="single" w:color="000000" w:sz="10" w:space="0"/>
            </w:tcBorders>
            <w:vAlign w:val="top"/>
          </w:tcPr>
          <w:p w14:paraId="5711FE8B">
            <w:pPr>
              <w:pStyle w:val="6"/>
              <w:spacing w:before="175" w:line="228" w:lineRule="auto"/>
              <w:ind w:left="449"/>
              <w:rPr>
                <w:sz w:val="20"/>
                <w:szCs w:val="20"/>
              </w:rPr>
            </w:pPr>
            <w:r>
              <w:rPr>
                <w:rFonts w:ascii="Times New Roman" w:hAnsi="Times New Roman" w:eastAsia="Times New Roman" w:cs="Times New Roman"/>
                <w:sz w:val="20"/>
                <w:szCs w:val="20"/>
              </w:rPr>
              <w:t>1</w:t>
            </w:r>
            <w:r>
              <w:rPr>
                <w:rFonts w:ascii="Times New Roman" w:hAnsi="Times New Roman" w:eastAsia="Times New Roman" w:cs="Times New Roman"/>
                <w:spacing w:val="20"/>
                <w:w w:val="101"/>
                <w:sz w:val="20"/>
                <w:szCs w:val="20"/>
              </w:rPr>
              <w:t xml:space="preserve"> </w:t>
            </w:r>
            <w:r>
              <w:rPr>
                <w:sz w:val="20"/>
                <w:szCs w:val="20"/>
              </w:rPr>
              <w:t>小时平均</w:t>
            </w:r>
          </w:p>
        </w:tc>
        <w:tc>
          <w:tcPr>
            <w:tcW w:w="1993" w:type="dxa"/>
            <w:gridSpan w:val="2"/>
            <w:tcBorders>
              <w:bottom w:val="single" w:color="000000" w:sz="10" w:space="0"/>
            </w:tcBorders>
            <w:vAlign w:val="top"/>
          </w:tcPr>
          <w:p w14:paraId="7C4D0D92">
            <w:pPr>
              <w:spacing w:before="193" w:line="215" w:lineRule="auto"/>
              <w:ind w:left="586"/>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2.0</w:t>
            </w:r>
            <w:r>
              <w:rPr>
                <w:rFonts w:ascii="Times New Roman" w:hAnsi="Times New Roman" w:eastAsia="Times New Roman" w:cs="Times New Roman"/>
                <w:sz w:val="20"/>
                <w:szCs w:val="20"/>
              </w:rPr>
              <w:t>mg</w:t>
            </w:r>
            <w:r>
              <w:rPr>
                <w:rFonts w:ascii="Times New Roman" w:hAnsi="Times New Roman" w:eastAsia="Times New Roman" w:cs="Times New Roman"/>
                <w:spacing w:val="6"/>
                <w:sz w:val="20"/>
                <w:szCs w:val="20"/>
              </w:rPr>
              <w:t>/m</w:t>
            </w:r>
            <w:r>
              <w:rPr>
                <w:rFonts w:ascii="Times New Roman" w:hAnsi="Times New Roman" w:eastAsia="Times New Roman" w:cs="Times New Roman"/>
                <w:spacing w:val="6"/>
                <w:position w:val="6"/>
                <w:sz w:val="13"/>
                <w:szCs w:val="13"/>
              </w:rPr>
              <w:t>3</w:t>
            </w:r>
          </w:p>
        </w:tc>
        <w:tc>
          <w:tcPr>
            <w:tcW w:w="3265" w:type="dxa"/>
            <w:gridSpan w:val="2"/>
            <w:tcBorders>
              <w:bottom w:val="single" w:color="000000" w:sz="10" w:space="0"/>
              <w:right w:val="single" w:color="000000" w:sz="6" w:space="0"/>
            </w:tcBorders>
            <w:vAlign w:val="top"/>
          </w:tcPr>
          <w:p w14:paraId="28BF14BA">
            <w:pPr>
              <w:pStyle w:val="6"/>
              <w:spacing w:before="41" w:line="228" w:lineRule="auto"/>
              <w:ind w:left="19"/>
              <w:rPr>
                <w:sz w:val="20"/>
                <w:szCs w:val="20"/>
              </w:rPr>
            </w:pPr>
            <w:r>
              <w:rPr>
                <w:spacing w:val="8"/>
                <w:sz w:val="20"/>
                <w:szCs w:val="20"/>
              </w:rPr>
              <w:t>《大气污染物综合排放标准详解》</w:t>
            </w:r>
          </w:p>
          <w:p w14:paraId="7899B9B0">
            <w:pPr>
              <w:pStyle w:val="6"/>
              <w:spacing w:before="23" w:line="219" w:lineRule="auto"/>
              <w:ind w:left="1290"/>
              <w:rPr>
                <w:sz w:val="20"/>
                <w:szCs w:val="20"/>
              </w:rPr>
            </w:pPr>
            <w:r>
              <w:rPr>
                <w:sz w:val="20"/>
                <w:szCs w:val="20"/>
              </w:rPr>
              <w:t>中要求</w:t>
            </w:r>
          </w:p>
        </w:tc>
      </w:tr>
      <w:tr w14:paraId="367A35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7" w:hRule="atLeast"/>
        </w:trPr>
        <w:tc>
          <w:tcPr>
            <w:tcW w:w="466" w:type="dxa"/>
            <w:vMerge w:val="continue"/>
            <w:tcBorders>
              <w:top w:val="nil"/>
              <w:left w:val="single" w:color="000000" w:sz="6" w:space="0"/>
              <w:bottom w:val="nil"/>
            </w:tcBorders>
            <w:vAlign w:val="top"/>
          </w:tcPr>
          <w:p w14:paraId="50BD9670">
            <w:pPr>
              <w:rPr>
                <w:rFonts w:ascii="Arial"/>
                <w:sz w:val="21"/>
              </w:rPr>
            </w:pPr>
          </w:p>
        </w:tc>
        <w:tc>
          <w:tcPr>
            <w:tcW w:w="8517" w:type="dxa"/>
            <w:gridSpan w:val="7"/>
            <w:tcBorders>
              <w:top w:val="single" w:color="000000" w:sz="10" w:space="0"/>
              <w:bottom w:val="single" w:color="000000" w:sz="10" w:space="0"/>
              <w:right w:val="single" w:color="000000" w:sz="6" w:space="0"/>
            </w:tcBorders>
            <w:vAlign w:val="top"/>
          </w:tcPr>
          <w:p w14:paraId="550C0018">
            <w:pPr>
              <w:pStyle w:val="6"/>
              <w:spacing w:before="35" w:line="220" w:lineRule="auto"/>
              <w:ind w:left="558"/>
            </w:pPr>
            <w:r>
              <w:rPr>
                <w:rFonts w:ascii="Times New Roman" w:hAnsi="Times New Roman" w:eastAsia="Times New Roman" w:cs="Times New Roman"/>
                <w:spacing w:val="-7"/>
              </w:rPr>
              <w:t>2</w:t>
            </w:r>
            <w:r>
              <w:rPr>
                <w:spacing w:val="-7"/>
              </w:rPr>
              <w:t>、声环境</w:t>
            </w:r>
          </w:p>
          <w:p w14:paraId="775C27B6">
            <w:pPr>
              <w:pStyle w:val="6"/>
              <w:spacing w:before="179" w:line="219" w:lineRule="auto"/>
              <w:ind w:left="567"/>
            </w:pPr>
            <w:r>
              <w:rPr>
                <w:spacing w:val="-10"/>
              </w:rPr>
              <w:t>声环境质量执行《声环境质量标准》（</w:t>
            </w:r>
            <w:r>
              <w:rPr>
                <w:rFonts w:ascii="Times New Roman" w:hAnsi="Times New Roman" w:eastAsia="Times New Roman" w:cs="Times New Roman"/>
                <w:spacing w:val="-10"/>
              </w:rPr>
              <w:t>GB3096-2008</w:t>
            </w:r>
            <w:r>
              <w:rPr>
                <w:spacing w:val="-10"/>
              </w:rPr>
              <w:t>）</w:t>
            </w:r>
            <w:r>
              <w:rPr>
                <w:rFonts w:ascii="Times New Roman" w:hAnsi="Times New Roman" w:eastAsia="Times New Roman" w:cs="Times New Roman"/>
                <w:spacing w:val="-10"/>
              </w:rPr>
              <w:t xml:space="preserve">1 </w:t>
            </w:r>
            <w:r>
              <w:rPr>
                <w:spacing w:val="-10"/>
              </w:rPr>
              <w:t>类区标准。</w:t>
            </w:r>
          </w:p>
          <w:p w14:paraId="2983F3FA">
            <w:pPr>
              <w:spacing w:before="230" w:line="208" w:lineRule="auto"/>
              <w:ind w:left="2167"/>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50"/>
                <w:sz w:val="24"/>
                <w:szCs w:val="24"/>
              </w:rPr>
              <w:t xml:space="preserve"> </w:t>
            </w:r>
            <w:r>
              <w:rPr>
                <w:rFonts w:ascii="Times New Roman" w:hAnsi="Times New Roman" w:eastAsia="Times New Roman" w:cs="Times New Roman"/>
                <w:spacing w:val="-1"/>
                <w:sz w:val="24"/>
                <w:szCs w:val="24"/>
              </w:rPr>
              <w:t xml:space="preserve">3-6  </w:t>
            </w:r>
            <w:r>
              <w:rPr>
                <w:rFonts w:ascii="黑体" w:hAnsi="黑体" w:eastAsia="黑体" w:cs="黑体"/>
                <w:spacing w:val="-1"/>
                <w:sz w:val="24"/>
                <w:szCs w:val="24"/>
              </w:rPr>
              <w:t>声环境质量标准 单位：</w:t>
            </w:r>
            <w:r>
              <w:rPr>
                <w:rFonts w:ascii="Times New Roman" w:hAnsi="Times New Roman" w:eastAsia="Times New Roman" w:cs="Times New Roman"/>
                <w:spacing w:val="-1"/>
                <w:sz w:val="24"/>
                <w:szCs w:val="24"/>
              </w:rPr>
              <w:t>dB</w:t>
            </w:r>
            <w:r>
              <w:rPr>
                <w:rFonts w:ascii="黑体" w:hAnsi="黑体" w:eastAsia="黑体" w:cs="黑体"/>
                <w:spacing w:val="-2"/>
                <w:sz w:val="24"/>
                <w:szCs w:val="24"/>
              </w:rPr>
              <w:t>（</w:t>
            </w:r>
            <w:r>
              <w:rPr>
                <w:rFonts w:ascii="Times New Roman" w:hAnsi="Times New Roman" w:eastAsia="Times New Roman" w:cs="Times New Roman"/>
                <w:spacing w:val="-2"/>
                <w:sz w:val="24"/>
                <w:szCs w:val="24"/>
              </w:rPr>
              <w:t>A</w:t>
            </w:r>
            <w:r>
              <w:rPr>
                <w:rFonts w:ascii="黑体" w:hAnsi="黑体" w:eastAsia="黑体" w:cs="黑体"/>
                <w:spacing w:val="-2"/>
                <w:sz w:val="24"/>
                <w:szCs w:val="24"/>
              </w:rPr>
              <w:t>）</w:t>
            </w:r>
          </w:p>
        </w:tc>
      </w:tr>
      <w:tr w14:paraId="4122EB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466" w:type="dxa"/>
            <w:vMerge w:val="continue"/>
            <w:tcBorders>
              <w:top w:val="nil"/>
              <w:left w:val="single" w:color="000000" w:sz="6" w:space="0"/>
              <w:bottom w:val="nil"/>
            </w:tcBorders>
            <w:vAlign w:val="top"/>
          </w:tcPr>
          <w:p w14:paraId="12D573A6">
            <w:pPr>
              <w:rPr>
                <w:rFonts w:ascii="Arial"/>
                <w:sz w:val="21"/>
              </w:rPr>
            </w:pPr>
          </w:p>
        </w:tc>
        <w:tc>
          <w:tcPr>
            <w:tcW w:w="2181" w:type="dxa"/>
            <w:gridSpan w:val="2"/>
            <w:tcBorders>
              <w:top w:val="single" w:color="000000" w:sz="10" w:space="0"/>
            </w:tcBorders>
            <w:vAlign w:val="top"/>
          </w:tcPr>
          <w:p w14:paraId="4DB3C90F">
            <w:pPr>
              <w:pStyle w:val="6"/>
              <w:spacing w:before="122" w:line="229" w:lineRule="auto"/>
              <w:ind w:left="944"/>
              <w:rPr>
                <w:sz w:val="20"/>
                <w:szCs w:val="20"/>
              </w:rPr>
            </w:pPr>
            <w:r>
              <w:rPr>
                <w:spacing w:val="-1"/>
                <w:sz w:val="20"/>
                <w:szCs w:val="20"/>
              </w:rPr>
              <w:t>点位</w:t>
            </w:r>
          </w:p>
        </w:tc>
        <w:tc>
          <w:tcPr>
            <w:tcW w:w="2072" w:type="dxa"/>
            <w:gridSpan w:val="2"/>
            <w:tcBorders>
              <w:top w:val="single" w:color="000000" w:sz="10" w:space="0"/>
            </w:tcBorders>
            <w:vAlign w:val="top"/>
          </w:tcPr>
          <w:p w14:paraId="17EB3027">
            <w:pPr>
              <w:pStyle w:val="6"/>
              <w:spacing w:before="121" w:line="228" w:lineRule="auto"/>
              <w:ind w:left="828"/>
              <w:rPr>
                <w:sz w:val="20"/>
                <w:szCs w:val="20"/>
              </w:rPr>
            </w:pPr>
            <w:r>
              <w:rPr>
                <w:spacing w:val="4"/>
                <w:sz w:val="20"/>
                <w:szCs w:val="20"/>
              </w:rPr>
              <w:t>类别</w:t>
            </w:r>
          </w:p>
        </w:tc>
        <w:tc>
          <w:tcPr>
            <w:tcW w:w="2073" w:type="dxa"/>
            <w:gridSpan w:val="2"/>
            <w:tcBorders>
              <w:top w:val="single" w:color="000000" w:sz="10" w:space="0"/>
            </w:tcBorders>
            <w:vAlign w:val="top"/>
          </w:tcPr>
          <w:p w14:paraId="5E260976">
            <w:pPr>
              <w:pStyle w:val="6"/>
              <w:spacing w:before="121" w:line="231" w:lineRule="auto"/>
              <w:ind w:left="831"/>
              <w:rPr>
                <w:sz w:val="20"/>
                <w:szCs w:val="20"/>
              </w:rPr>
            </w:pPr>
            <w:r>
              <w:rPr>
                <w:spacing w:val="5"/>
                <w:sz w:val="20"/>
                <w:szCs w:val="20"/>
              </w:rPr>
              <w:t>昼间</w:t>
            </w:r>
          </w:p>
        </w:tc>
        <w:tc>
          <w:tcPr>
            <w:tcW w:w="2191" w:type="dxa"/>
            <w:tcBorders>
              <w:top w:val="single" w:color="000000" w:sz="10" w:space="0"/>
              <w:right w:val="single" w:color="000000" w:sz="6" w:space="0"/>
            </w:tcBorders>
            <w:vAlign w:val="top"/>
          </w:tcPr>
          <w:p w14:paraId="00B5EFDE">
            <w:pPr>
              <w:pStyle w:val="6"/>
              <w:spacing w:before="121" w:line="228" w:lineRule="auto"/>
              <w:ind w:left="841"/>
              <w:rPr>
                <w:sz w:val="20"/>
                <w:szCs w:val="20"/>
              </w:rPr>
            </w:pPr>
            <w:r>
              <w:rPr>
                <w:spacing w:val="3"/>
                <w:sz w:val="20"/>
                <w:szCs w:val="20"/>
              </w:rPr>
              <w:t>夜间</w:t>
            </w:r>
          </w:p>
        </w:tc>
      </w:tr>
      <w:tr w14:paraId="003C49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466" w:type="dxa"/>
            <w:vMerge w:val="continue"/>
            <w:tcBorders>
              <w:top w:val="nil"/>
              <w:left w:val="single" w:color="000000" w:sz="6" w:space="0"/>
              <w:bottom w:val="nil"/>
            </w:tcBorders>
            <w:vAlign w:val="top"/>
          </w:tcPr>
          <w:p w14:paraId="09D10A61">
            <w:pPr>
              <w:rPr>
                <w:rFonts w:ascii="Arial"/>
                <w:sz w:val="21"/>
              </w:rPr>
            </w:pPr>
          </w:p>
        </w:tc>
        <w:tc>
          <w:tcPr>
            <w:tcW w:w="2181" w:type="dxa"/>
            <w:gridSpan w:val="2"/>
            <w:tcBorders>
              <w:bottom w:val="single" w:color="000000" w:sz="10" w:space="0"/>
            </w:tcBorders>
            <w:vAlign w:val="top"/>
          </w:tcPr>
          <w:p w14:paraId="7138476D">
            <w:pPr>
              <w:pStyle w:val="6"/>
              <w:spacing w:before="131" w:line="228" w:lineRule="auto"/>
              <w:ind w:left="634"/>
              <w:rPr>
                <w:sz w:val="20"/>
                <w:szCs w:val="20"/>
              </w:rPr>
            </w:pPr>
            <w:r>
              <w:rPr>
                <w:spacing w:val="5"/>
                <w:sz w:val="20"/>
                <w:szCs w:val="20"/>
              </w:rPr>
              <w:t>区域声环境</w:t>
            </w:r>
          </w:p>
        </w:tc>
        <w:tc>
          <w:tcPr>
            <w:tcW w:w="2072" w:type="dxa"/>
            <w:gridSpan w:val="2"/>
            <w:tcBorders>
              <w:bottom w:val="single" w:color="000000" w:sz="10" w:space="0"/>
            </w:tcBorders>
            <w:vAlign w:val="top"/>
          </w:tcPr>
          <w:p w14:paraId="7B7DF6D3">
            <w:pPr>
              <w:spacing w:before="169" w:line="195" w:lineRule="auto"/>
              <w:ind w:left="100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073" w:type="dxa"/>
            <w:gridSpan w:val="2"/>
            <w:tcBorders>
              <w:bottom w:val="single" w:color="000000" w:sz="10" w:space="0"/>
            </w:tcBorders>
            <w:vAlign w:val="top"/>
          </w:tcPr>
          <w:p w14:paraId="49693E6E">
            <w:pPr>
              <w:spacing w:before="172" w:line="192" w:lineRule="auto"/>
              <w:ind w:left="940"/>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2191" w:type="dxa"/>
            <w:tcBorders>
              <w:bottom w:val="single" w:color="000000" w:sz="10" w:space="0"/>
              <w:right w:val="single" w:color="000000" w:sz="6" w:space="0"/>
            </w:tcBorders>
            <w:vAlign w:val="top"/>
          </w:tcPr>
          <w:p w14:paraId="0C106023">
            <w:pPr>
              <w:spacing w:before="169" w:line="195" w:lineRule="auto"/>
              <w:ind w:left="93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r>
      <w:tr w14:paraId="3FAD95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9" w:hRule="atLeast"/>
        </w:trPr>
        <w:tc>
          <w:tcPr>
            <w:tcW w:w="466" w:type="dxa"/>
            <w:vMerge w:val="continue"/>
            <w:tcBorders>
              <w:top w:val="nil"/>
              <w:left w:val="single" w:color="000000" w:sz="6" w:space="0"/>
              <w:bottom w:val="single" w:color="000000" w:sz="6" w:space="0"/>
            </w:tcBorders>
            <w:vAlign w:val="top"/>
          </w:tcPr>
          <w:p w14:paraId="3BB62714">
            <w:pPr>
              <w:rPr>
                <w:rFonts w:ascii="Arial"/>
                <w:sz w:val="21"/>
              </w:rPr>
            </w:pPr>
          </w:p>
        </w:tc>
        <w:tc>
          <w:tcPr>
            <w:tcW w:w="8517" w:type="dxa"/>
            <w:gridSpan w:val="7"/>
            <w:tcBorders>
              <w:top w:val="single" w:color="000000" w:sz="10" w:space="0"/>
              <w:bottom w:val="single" w:color="000000" w:sz="6" w:space="0"/>
              <w:right w:val="single" w:color="000000" w:sz="6" w:space="0"/>
            </w:tcBorders>
            <w:vAlign w:val="top"/>
          </w:tcPr>
          <w:p w14:paraId="1D9C69F4">
            <w:pPr>
              <w:pStyle w:val="6"/>
              <w:spacing w:before="158" w:line="220" w:lineRule="auto"/>
              <w:ind w:left="590"/>
            </w:pPr>
            <w:r>
              <w:rPr>
                <w:b/>
                <w:bCs/>
                <w:spacing w:val="-4"/>
              </w:rPr>
              <w:t>二、污染物排放标准</w:t>
            </w:r>
          </w:p>
          <w:p w14:paraId="1DD5CEBD">
            <w:pPr>
              <w:pStyle w:val="6"/>
              <w:spacing w:before="179" w:line="220" w:lineRule="auto"/>
              <w:ind w:left="605"/>
            </w:pPr>
            <w:r>
              <w:rPr>
                <w:rFonts w:ascii="Times New Roman" w:hAnsi="Times New Roman" w:eastAsia="Times New Roman" w:cs="Times New Roman"/>
                <w:spacing w:val="-14"/>
              </w:rPr>
              <w:t>1</w:t>
            </w:r>
            <w:r>
              <w:rPr>
                <w:rFonts w:ascii="Times New Roman" w:hAnsi="Times New Roman" w:eastAsia="Times New Roman" w:cs="Times New Roman"/>
                <w:spacing w:val="-34"/>
              </w:rPr>
              <w:t xml:space="preserve"> </w:t>
            </w:r>
            <w:r>
              <w:rPr>
                <w:spacing w:val="-14"/>
              </w:rPr>
              <w:t>、废气</w:t>
            </w:r>
          </w:p>
          <w:p w14:paraId="0C104AC4">
            <w:pPr>
              <w:pStyle w:val="6"/>
              <w:spacing w:before="181" w:line="359" w:lineRule="auto"/>
              <w:ind w:left="105" w:right="103" w:firstLine="480"/>
            </w:pPr>
            <w:r>
              <w:rPr>
                <w:spacing w:val="21"/>
              </w:rPr>
              <w:t>施工扬尘：</w:t>
            </w:r>
            <w:r>
              <w:rPr>
                <w:spacing w:val="-51"/>
              </w:rPr>
              <w:t xml:space="preserve"> </w:t>
            </w:r>
            <w:r>
              <w:rPr>
                <w:spacing w:val="21"/>
              </w:rPr>
              <w:t>施工过程</w:t>
            </w:r>
            <w:r>
              <w:rPr>
                <w:spacing w:val="-57"/>
              </w:rPr>
              <w:t xml:space="preserve"> </w:t>
            </w:r>
            <w:r>
              <w:rPr>
                <w:spacing w:val="21"/>
              </w:rPr>
              <w:t>中扬尘排放执行《</w:t>
            </w:r>
            <w:r>
              <w:rPr>
                <w:spacing w:val="-53"/>
              </w:rPr>
              <w:t xml:space="preserve"> </w:t>
            </w:r>
            <w:r>
              <w:rPr>
                <w:spacing w:val="21"/>
              </w:rPr>
              <w:t>大气污染物综合</w:t>
            </w:r>
            <w:r>
              <w:rPr>
                <w:spacing w:val="20"/>
              </w:rPr>
              <w:t>排放标准</w:t>
            </w:r>
            <w:r>
              <w:rPr>
                <w:spacing w:val="-67"/>
              </w:rPr>
              <w:t xml:space="preserve"> </w:t>
            </w:r>
            <w:r>
              <w:rPr>
                <w:spacing w:val="20"/>
              </w:rPr>
              <w:t>》</w:t>
            </w:r>
            <w:r>
              <w:t xml:space="preserve"> </w:t>
            </w:r>
            <w:r>
              <w:rPr>
                <w:spacing w:val="1"/>
              </w:rPr>
              <w:t>（</w:t>
            </w:r>
            <w:r>
              <w:rPr>
                <w:rFonts w:ascii="Times New Roman" w:hAnsi="Times New Roman" w:eastAsia="Times New Roman" w:cs="Times New Roman"/>
              </w:rPr>
              <w:t>GB</w:t>
            </w:r>
            <w:r>
              <w:rPr>
                <w:rFonts w:ascii="Times New Roman" w:hAnsi="Times New Roman" w:eastAsia="Times New Roman" w:cs="Times New Roman"/>
                <w:spacing w:val="1"/>
              </w:rPr>
              <w:t>16297-</w:t>
            </w:r>
            <w:r>
              <w:rPr>
                <w:rFonts w:ascii="Times New Roman" w:hAnsi="Times New Roman" w:eastAsia="Times New Roman" w:cs="Times New Roman"/>
                <w:spacing w:val="-26"/>
              </w:rPr>
              <w:t xml:space="preserve"> </w:t>
            </w:r>
            <w:r>
              <w:rPr>
                <w:rFonts w:ascii="Times New Roman" w:hAnsi="Times New Roman" w:eastAsia="Times New Roman" w:cs="Times New Roman"/>
                <w:spacing w:val="1"/>
              </w:rPr>
              <w:t>1996</w:t>
            </w:r>
            <w:r>
              <w:rPr>
                <w:spacing w:val="1"/>
              </w:rPr>
              <w:t>）表</w:t>
            </w:r>
            <w:r>
              <w:rPr>
                <w:spacing w:val="-50"/>
              </w:rPr>
              <w:t xml:space="preserve"> </w:t>
            </w:r>
            <w:r>
              <w:rPr>
                <w:rFonts w:ascii="Times New Roman" w:hAnsi="Times New Roman" w:eastAsia="Times New Roman" w:cs="Times New Roman"/>
                <w:spacing w:val="1"/>
              </w:rPr>
              <w:t xml:space="preserve">2 </w:t>
            </w:r>
            <w:r>
              <w:rPr>
                <w:spacing w:val="1"/>
              </w:rPr>
              <w:t>新污染源大气污染物排放限值中的颗粒物无组织排放监</w:t>
            </w:r>
            <w:r>
              <w:rPr>
                <w:spacing w:val="-2"/>
              </w:rPr>
              <w:t>控浓度限值。</w:t>
            </w:r>
          </w:p>
          <w:p w14:paraId="6FC303BD">
            <w:pPr>
              <w:pStyle w:val="6"/>
              <w:spacing w:line="348" w:lineRule="auto"/>
              <w:ind w:left="105" w:right="103" w:firstLine="480"/>
              <w:jc w:val="both"/>
            </w:pPr>
            <w:r>
              <w:rPr>
                <w:spacing w:val="-3"/>
              </w:rPr>
              <w:t>柴油发电机尾气：根据国家环境保护总局《关于柴油发电机排气</w:t>
            </w:r>
            <w:r>
              <w:rPr>
                <w:spacing w:val="-4"/>
              </w:rPr>
              <w:t>执行标准的</w:t>
            </w:r>
            <w:r>
              <w:t>复函》（环函〔</w:t>
            </w:r>
            <w:r>
              <w:rPr>
                <w:rFonts w:ascii="Times New Roman" w:hAnsi="Times New Roman" w:eastAsia="Times New Roman" w:cs="Times New Roman"/>
              </w:rPr>
              <w:t>2005</w:t>
            </w:r>
            <w:r>
              <w:t>〕</w:t>
            </w:r>
            <w:r>
              <w:rPr>
                <w:rFonts w:ascii="Times New Roman" w:hAnsi="Times New Roman" w:eastAsia="Times New Roman" w:cs="Times New Roman"/>
              </w:rPr>
              <w:t>350</w:t>
            </w:r>
            <w:r>
              <w:rPr>
                <w:rFonts w:ascii="Times New Roman" w:hAnsi="Times New Roman" w:eastAsia="Times New Roman" w:cs="Times New Roman"/>
                <w:spacing w:val="22"/>
                <w:w w:val="101"/>
              </w:rPr>
              <w:t xml:space="preserve"> </w:t>
            </w:r>
            <w:r>
              <w:t>号）及</w:t>
            </w:r>
            <w:r>
              <w:rPr>
                <w:spacing w:val="-48"/>
              </w:rPr>
              <w:t xml:space="preserve"> </w:t>
            </w:r>
            <w:r>
              <w:rPr>
                <w:rFonts w:ascii="Times New Roman" w:hAnsi="Times New Roman" w:eastAsia="Times New Roman" w:cs="Times New Roman"/>
              </w:rPr>
              <w:t>2017</w:t>
            </w:r>
            <w:r>
              <w:rPr>
                <w:rFonts w:ascii="Times New Roman" w:hAnsi="Times New Roman" w:eastAsia="Times New Roman" w:cs="Times New Roman"/>
                <w:spacing w:val="18"/>
              </w:rPr>
              <w:t xml:space="preserve"> </w:t>
            </w:r>
            <w:r>
              <w:t>年</w:t>
            </w:r>
            <w:r>
              <w:rPr>
                <w:spacing w:val="-23"/>
              </w:rPr>
              <w:t xml:space="preserve"> </w:t>
            </w:r>
            <w:r>
              <w:rPr>
                <w:rFonts w:ascii="Times New Roman" w:hAnsi="Times New Roman" w:eastAsia="Times New Roman" w:cs="Times New Roman"/>
              </w:rPr>
              <w:t>1</w:t>
            </w:r>
            <w:r>
              <w:rPr>
                <w:rFonts w:ascii="Times New Roman" w:hAnsi="Times New Roman" w:eastAsia="Times New Roman" w:cs="Times New Roman"/>
                <w:spacing w:val="23"/>
              </w:rPr>
              <w:t xml:space="preserve"> </w:t>
            </w:r>
            <w:r>
              <w:t>月</w:t>
            </w:r>
            <w:r>
              <w:rPr>
                <w:spacing w:val="-25"/>
              </w:rPr>
              <w:t xml:space="preserve"> </w:t>
            </w:r>
            <w:r>
              <w:rPr>
                <w:rFonts w:ascii="Times New Roman" w:hAnsi="Times New Roman" w:eastAsia="Times New Roman" w:cs="Times New Roman"/>
              </w:rPr>
              <w:t>11</w:t>
            </w:r>
            <w:r>
              <w:rPr>
                <w:rFonts w:ascii="Times New Roman" w:hAnsi="Times New Roman" w:eastAsia="Times New Roman" w:cs="Times New Roman"/>
                <w:spacing w:val="53"/>
              </w:rPr>
              <w:t xml:space="preserve"> </w:t>
            </w:r>
            <w:r>
              <w:t>日生态环境部部长</w:t>
            </w:r>
            <w:r>
              <w:rPr>
                <w:spacing w:val="-1"/>
              </w:rPr>
              <w:t>信箱关于</w:t>
            </w:r>
            <w:r>
              <w:rPr>
                <w:rFonts w:ascii="Times New Roman" w:hAnsi="Times New Roman" w:eastAsia="Times New Roman" w:cs="Times New Roman"/>
                <w:spacing w:val="-1"/>
              </w:rPr>
              <w:t>GB16297-</w:t>
            </w:r>
            <w:r>
              <w:rPr>
                <w:rFonts w:ascii="Times New Roman" w:hAnsi="Times New Roman" w:eastAsia="Times New Roman" w:cs="Times New Roman"/>
                <w:spacing w:val="-28"/>
              </w:rPr>
              <w:t xml:space="preserve"> </w:t>
            </w:r>
            <w:r>
              <w:rPr>
                <w:rFonts w:ascii="Times New Roman" w:hAnsi="Times New Roman" w:eastAsia="Times New Roman" w:cs="Times New Roman"/>
                <w:spacing w:val="-1"/>
              </w:rPr>
              <w:t>1996</w:t>
            </w:r>
            <w:r>
              <w:rPr>
                <w:rFonts w:ascii="Times New Roman" w:hAnsi="Times New Roman" w:eastAsia="Times New Roman" w:cs="Times New Roman"/>
                <w:spacing w:val="31"/>
              </w:rPr>
              <w:t xml:space="preserve"> </w:t>
            </w:r>
            <w:r>
              <w:rPr>
                <w:spacing w:val="-1"/>
              </w:rPr>
              <w:t>的适用范围的回复，柴油发电机尾气排放执行《大气污染物综合</w:t>
            </w:r>
          </w:p>
        </w:tc>
      </w:tr>
    </w:tbl>
    <w:p w14:paraId="4DEB656A">
      <w:pPr>
        <w:rPr>
          <w:rFonts w:ascii="Arial"/>
          <w:sz w:val="21"/>
        </w:rPr>
      </w:pPr>
    </w:p>
    <w:p w14:paraId="4A842D36">
      <w:pPr>
        <w:rPr>
          <w:rFonts w:ascii="Arial" w:hAnsi="Arial" w:eastAsia="Arial" w:cs="Arial"/>
          <w:sz w:val="21"/>
          <w:szCs w:val="21"/>
        </w:rPr>
        <w:sectPr>
          <w:footerReference r:id="rId60" w:type="default"/>
          <w:pgSz w:w="11906" w:h="16839"/>
          <w:pgMar w:top="400" w:right="1369" w:bottom="1240" w:left="1538" w:header="0" w:footer="1078" w:gutter="0"/>
          <w:cols w:space="720" w:num="1"/>
        </w:sectPr>
      </w:pPr>
    </w:p>
    <w:p w14:paraId="19D8D0E8">
      <w:pPr>
        <w:spacing w:before="56"/>
      </w:pPr>
    </w:p>
    <w:p w14:paraId="1EC2297C">
      <w:pPr>
        <w:spacing w:before="56"/>
      </w:pPr>
    </w:p>
    <w:p w14:paraId="42D77EB6">
      <w:pPr>
        <w:spacing w:before="55"/>
      </w:pPr>
    </w:p>
    <w:p w14:paraId="58E2B497">
      <w:pPr>
        <w:spacing w:before="55"/>
      </w:pPr>
    </w:p>
    <w:tbl>
      <w:tblPr>
        <w:tblStyle w:val="5"/>
        <w:tblW w:w="898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6"/>
        <w:gridCol w:w="1311"/>
        <w:gridCol w:w="69"/>
        <w:gridCol w:w="747"/>
        <w:gridCol w:w="241"/>
        <w:gridCol w:w="464"/>
        <w:gridCol w:w="1228"/>
        <w:gridCol w:w="50"/>
        <w:gridCol w:w="4407"/>
      </w:tblGrid>
      <w:tr w14:paraId="2EB69A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2" w:hRule="atLeast"/>
        </w:trPr>
        <w:tc>
          <w:tcPr>
            <w:tcW w:w="466" w:type="dxa"/>
            <w:vMerge w:val="restart"/>
            <w:tcBorders>
              <w:top w:val="single" w:color="000000" w:sz="6" w:space="0"/>
              <w:left w:val="single" w:color="000000" w:sz="6" w:space="0"/>
              <w:bottom w:val="nil"/>
            </w:tcBorders>
            <w:vAlign w:val="top"/>
          </w:tcPr>
          <w:p w14:paraId="3A2CF09D">
            <w:pPr>
              <w:rPr>
                <w:rFonts w:ascii="Arial"/>
                <w:sz w:val="21"/>
              </w:rPr>
            </w:pPr>
          </w:p>
        </w:tc>
        <w:tc>
          <w:tcPr>
            <w:tcW w:w="8517" w:type="dxa"/>
            <w:gridSpan w:val="8"/>
            <w:tcBorders>
              <w:top w:val="single" w:color="000000" w:sz="6" w:space="0"/>
              <w:bottom w:val="single" w:color="000000" w:sz="10" w:space="0"/>
              <w:right w:val="single" w:color="000000" w:sz="6" w:space="0"/>
            </w:tcBorders>
            <w:vAlign w:val="top"/>
          </w:tcPr>
          <w:p w14:paraId="7796FA61">
            <w:pPr>
              <w:pStyle w:val="6"/>
              <w:spacing w:before="30" w:line="359" w:lineRule="auto"/>
              <w:ind w:left="106" w:right="100"/>
            </w:pPr>
            <w:r>
              <w:rPr>
                <w:spacing w:val="1"/>
              </w:rPr>
              <w:t>排放标准》（</w:t>
            </w:r>
            <w:r>
              <w:rPr>
                <w:rFonts w:ascii="Times New Roman" w:hAnsi="Times New Roman" w:eastAsia="Times New Roman" w:cs="Times New Roman"/>
              </w:rPr>
              <w:t>GB</w:t>
            </w:r>
            <w:r>
              <w:rPr>
                <w:rFonts w:ascii="Times New Roman" w:hAnsi="Times New Roman" w:eastAsia="Times New Roman" w:cs="Times New Roman"/>
                <w:spacing w:val="1"/>
              </w:rPr>
              <w:t>16297-</w:t>
            </w:r>
            <w:r>
              <w:rPr>
                <w:rFonts w:ascii="Times New Roman" w:hAnsi="Times New Roman" w:eastAsia="Times New Roman" w:cs="Times New Roman"/>
                <w:spacing w:val="-22"/>
              </w:rPr>
              <w:t xml:space="preserve"> </w:t>
            </w:r>
            <w:r>
              <w:rPr>
                <w:rFonts w:ascii="Times New Roman" w:hAnsi="Times New Roman" w:eastAsia="Times New Roman" w:cs="Times New Roman"/>
                <w:spacing w:val="1"/>
              </w:rPr>
              <w:t>1996</w:t>
            </w:r>
            <w:r>
              <w:rPr>
                <w:spacing w:val="1"/>
              </w:rPr>
              <w:t>）中表</w:t>
            </w:r>
            <w:r>
              <w:rPr>
                <w:spacing w:val="-52"/>
              </w:rPr>
              <w:t xml:space="preserve"> </w:t>
            </w:r>
            <w:r>
              <w:rPr>
                <w:rFonts w:ascii="Times New Roman" w:hAnsi="Times New Roman" w:eastAsia="Times New Roman" w:cs="Times New Roman"/>
                <w:spacing w:val="1"/>
              </w:rPr>
              <w:t xml:space="preserve">2 </w:t>
            </w:r>
            <w:r>
              <w:rPr>
                <w:spacing w:val="1"/>
              </w:rPr>
              <w:t>最高允许排放浓度限值，对排气筒高度和</w:t>
            </w:r>
            <w:r>
              <w:rPr>
                <w:spacing w:val="-1"/>
              </w:rPr>
              <w:t>排放速率暂不作要求。</w:t>
            </w:r>
          </w:p>
          <w:p w14:paraId="556C0954">
            <w:pPr>
              <w:pStyle w:val="6"/>
              <w:spacing w:before="1" w:line="359" w:lineRule="auto"/>
              <w:ind w:left="106" w:right="103" w:firstLine="483"/>
              <w:jc w:val="both"/>
            </w:pPr>
            <w:r>
              <w:rPr>
                <w:spacing w:val="4"/>
              </w:rPr>
              <w:t>非甲烷总烃：场界执行《陆上石油天然气开采工业大气污染</w:t>
            </w:r>
            <w:r>
              <w:rPr>
                <w:spacing w:val="3"/>
              </w:rPr>
              <w:t>物排放标准》</w:t>
            </w:r>
            <w:r>
              <w:t xml:space="preserve"> </w:t>
            </w:r>
            <w:r>
              <w:rPr>
                <w:spacing w:val="2"/>
              </w:rPr>
              <w:t>（</w:t>
            </w:r>
            <w:r>
              <w:rPr>
                <w:rFonts w:ascii="Times New Roman" w:hAnsi="Times New Roman" w:eastAsia="Times New Roman" w:cs="Times New Roman"/>
              </w:rPr>
              <w:t>GB</w:t>
            </w:r>
            <w:r>
              <w:rPr>
                <w:rFonts w:ascii="Times New Roman" w:hAnsi="Times New Roman" w:eastAsia="Times New Roman" w:cs="Times New Roman"/>
                <w:spacing w:val="2"/>
              </w:rPr>
              <w:t>39728-2020</w:t>
            </w:r>
            <w:r>
              <w:rPr>
                <w:spacing w:val="2"/>
              </w:rPr>
              <w:t>）企业边界污染物控制要求；场内执行《挥发性有机物无组织</w:t>
            </w:r>
            <w:r>
              <w:rPr>
                <w:spacing w:val="-1"/>
              </w:rPr>
              <w:t>排放控制标准》（</w:t>
            </w:r>
            <w:r>
              <w:rPr>
                <w:rFonts w:ascii="Times New Roman" w:hAnsi="Times New Roman" w:eastAsia="Times New Roman" w:cs="Times New Roman"/>
                <w:spacing w:val="-1"/>
              </w:rPr>
              <w:t>GB37822-2019</w:t>
            </w:r>
            <w:r>
              <w:rPr>
                <w:spacing w:val="-1"/>
              </w:rPr>
              <w:t>）表</w:t>
            </w:r>
            <w:r>
              <w:rPr>
                <w:spacing w:val="-41"/>
              </w:rPr>
              <w:t xml:space="preserve"> </w:t>
            </w:r>
            <w:r>
              <w:rPr>
                <w:rFonts w:ascii="Times New Roman" w:hAnsi="Times New Roman" w:eastAsia="Times New Roman" w:cs="Times New Roman"/>
                <w:spacing w:val="-1"/>
              </w:rPr>
              <w:t xml:space="preserve">A.1 </w:t>
            </w:r>
            <w:r>
              <w:rPr>
                <w:spacing w:val="-1"/>
              </w:rPr>
              <w:t>要求。</w:t>
            </w:r>
          </w:p>
          <w:p w14:paraId="0D213EE1">
            <w:pPr>
              <w:spacing w:line="212" w:lineRule="auto"/>
              <w:ind w:left="3084"/>
              <w:rPr>
                <w:rFonts w:ascii="黑体" w:hAnsi="黑体" w:eastAsia="黑体" w:cs="黑体"/>
                <w:sz w:val="24"/>
                <w:szCs w:val="24"/>
              </w:rPr>
            </w:pPr>
            <w:r>
              <w:rPr>
                <w:rFonts w:ascii="黑体" w:hAnsi="黑体" w:eastAsia="黑体" w:cs="黑体"/>
                <w:spacing w:val="-2"/>
                <w:sz w:val="24"/>
                <w:szCs w:val="24"/>
              </w:rPr>
              <w:t>表</w:t>
            </w:r>
            <w:r>
              <w:rPr>
                <w:rFonts w:ascii="Times New Roman" w:hAnsi="Times New Roman" w:eastAsia="Times New Roman" w:cs="Times New Roman"/>
                <w:spacing w:val="-2"/>
                <w:sz w:val="24"/>
                <w:szCs w:val="24"/>
              </w:rPr>
              <w:t xml:space="preserve">3-7  </w:t>
            </w:r>
            <w:r>
              <w:rPr>
                <w:rFonts w:ascii="黑体" w:hAnsi="黑体" w:eastAsia="黑体" w:cs="黑体"/>
                <w:spacing w:val="-2"/>
                <w:sz w:val="24"/>
                <w:szCs w:val="24"/>
              </w:rPr>
              <w:t>污染物排放标准</w:t>
            </w:r>
          </w:p>
        </w:tc>
      </w:tr>
      <w:tr w14:paraId="2BE771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466" w:type="dxa"/>
            <w:vMerge w:val="continue"/>
            <w:tcBorders>
              <w:top w:val="nil"/>
              <w:left w:val="single" w:color="000000" w:sz="6" w:space="0"/>
              <w:bottom w:val="nil"/>
            </w:tcBorders>
            <w:vAlign w:val="top"/>
          </w:tcPr>
          <w:p w14:paraId="73BA577C">
            <w:pPr>
              <w:rPr>
                <w:rFonts w:ascii="Arial"/>
                <w:sz w:val="21"/>
              </w:rPr>
            </w:pPr>
          </w:p>
        </w:tc>
        <w:tc>
          <w:tcPr>
            <w:tcW w:w="1311" w:type="dxa"/>
            <w:tcBorders>
              <w:top w:val="single" w:color="000000" w:sz="10" w:space="0"/>
            </w:tcBorders>
            <w:vAlign w:val="top"/>
          </w:tcPr>
          <w:p w14:paraId="0D49F8FC">
            <w:pPr>
              <w:pStyle w:val="6"/>
              <w:spacing w:before="226" w:line="228" w:lineRule="auto"/>
              <w:ind w:left="184"/>
              <w:rPr>
                <w:sz w:val="20"/>
                <w:szCs w:val="20"/>
              </w:rPr>
            </w:pPr>
            <w:r>
              <w:rPr>
                <w:spacing w:val="7"/>
                <w:sz w:val="20"/>
                <w:szCs w:val="20"/>
              </w:rPr>
              <w:t>污染物名称</w:t>
            </w:r>
          </w:p>
        </w:tc>
        <w:tc>
          <w:tcPr>
            <w:tcW w:w="1057" w:type="dxa"/>
            <w:gridSpan w:val="3"/>
            <w:tcBorders>
              <w:top w:val="single" w:color="000000" w:sz="10" w:space="0"/>
            </w:tcBorders>
            <w:vAlign w:val="top"/>
          </w:tcPr>
          <w:p w14:paraId="39D4DB37">
            <w:pPr>
              <w:pStyle w:val="6"/>
              <w:spacing w:before="225" w:line="228" w:lineRule="auto"/>
              <w:ind w:left="218"/>
              <w:rPr>
                <w:sz w:val="20"/>
                <w:szCs w:val="20"/>
              </w:rPr>
            </w:pPr>
            <w:r>
              <w:rPr>
                <w:spacing w:val="6"/>
                <w:sz w:val="20"/>
                <w:szCs w:val="20"/>
              </w:rPr>
              <w:t>取值时</w:t>
            </w:r>
          </w:p>
        </w:tc>
        <w:tc>
          <w:tcPr>
            <w:tcW w:w="1742" w:type="dxa"/>
            <w:gridSpan w:val="3"/>
            <w:tcBorders>
              <w:top w:val="single" w:color="000000" w:sz="10" w:space="0"/>
            </w:tcBorders>
            <w:vAlign w:val="top"/>
          </w:tcPr>
          <w:p w14:paraId="7FAB1CA0">
            <w:pPr>
              <w:pStyle w:val="6"/>
              <w:spacing w:before="91" w:line="247" w:lineRule="auto"/>
              <w:ind w:left="395" w:right="401" w:firstLine="59"/>
              <w:rPr>
                <w:sz w:val="20"/>
                <w:szCs w:val="20"/>
              </w:rPr>
            </w:pPr>
            <w:r>
              <w:rPr>
                <w:spacing w:val="7"/>
                <w:sz w:val="20"/>
                <w:szCs w:val="20"/>
              </w:rPr>
              <w:t>浓度限值</w:t>
            </w:r>
            <w:r>
              <w:rPr>
                <w:spacing w:val="1"/>
                <w:sz w:val="20"/>
                <w:szCs w:val="20"/>
              </w:rPr>
              <w:t>（</w:t>
            </w:r>
            <w:r>
              <w:rPr>
                <w:rFonts w:ascii="Times New Roman" w:hAnsi="Times New Roman" w:eastAsia="Times New Roman" w:cs="Times New Roman"/>
                <w:sz w:val="20"/>
                <w:szCs w:val="20"/>
              </w:rPr>
              <w:t>mg</w:t>
            </w:r>
            <w:r>
              <w:rPr>
                <w:rFonts w:ascii="Times New Roman" w:hAnsi="Times New Roman" w:eastAsia="Times New Roman" w:cs="Times New Roman"/>
                <w:spacing w:val="1"/>
                <w:sz w:val="20"/>
                <w:szCs w:val="20"/>
              </w:rPr>
              <w:t>/m</w:t>
            </w:r>
            <w:r>
              <w:rPr>
                <w:rFonts w:ascii="Times New Roman" w:hAnsi="Times New Roman" w:eastAsia="Times New Roman" w:cs="Times New Roman"/>
                <w:spacing w:val="1"/>
                <w:sz w:val="13"/>
                <w:szCs w:val="13"/>
              </w:rPr>
              <w:t>3</w:t>
            </w:r>
            <w:r>
              <w:rPr>
                <w:spacing w:val="1"/>
                <w:sz w:val="20"/>
                <w:szCs w:val="20"/>
              </w:rPr>
              <w:t>）</w:t>
            </w:r>
          </w:p>
        </w:tc>
        <w:tc>
          <w:tcPr>
            <w:tcW w:w="4407" w:type="dxa"/>
            <w:tcBorders>
              <w:top w:val="single" w:color="000000" w:sz="10" w:space="0"/>
              <w:right w:val="single" w:color="000000" w:sz="6" w:space="0"/>
            </w:tcBorders>
            <w:vAlign w:val="top"/>
          </w:tcPr>
          <w:p w14:paraId="2658322E">
            <w:pPr>
              <w:pStyle w:val="6"/>
              <w:spacing w:before="225" w:line="228" w:lineRule="auto"/>
              <w:ind w:left="1734"/>
              <w:rPr>
                <w:sz w:val="20"/>
                <w:szCs w:val="20"/>
              </w:rPr>
            </w:pPr>
            <w:r>
              <w:rPr>
                <w:spacing w:val="7"/>
                <w:sz w:val="20"/>
                <w:szCs w:val="20"/>
              </w:rPr>
              <w:t>执行标准</w:t>
            </w:r>
          </w:p>
        </w:tc>
      </w:tr>
      <w:tr w14:paraId="10323D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3" w:hRule="atLeast"/>
        </w:trPr>
        <w:tc>
          <w:tcPr>
            <w:tcW w:w="466" w:type="dxa"/>
            <w:vMerge w:val="continue"/>
            <w:tcBorders>
              <w:top w:val="nil"/>
              <w:left w:val="single" w:color="000000" w:sz="6" w:space="0"/>
              <w:bottom w:val="nil"/>
            </w:tcBorders>
            <w:vAlign w:val="top"/>
          </w:tcPr>
          <w:p w14:paraId="2B8B971C">
            <w:pPr>
              <w:rPr>
                <w:rFonts w:ascii="Arial"/>
                <w:sz w:val="21"/>
              </w:rPr>
            </w:pPr>
          </w:p>
        </w:tc>
        <w:tc>
          <w:tcPr>
            <w:tcW w:w="1311" w:type="dxa"/>
            <w:vAlign w:val="top"/>
          </w:tcPr>
          <w:p w14:paraId="6E3956BE">
            <w:pPr>
              <w:spacing w:line="291" w:lineRule="auto"/>
              <w:rPr>
                <w:rFonts w:ascii="Arial"/>
                <w:sz w:val="21"/>
              </w:rPr>
            </w:pPr>
          </w:p>
          <w:p w14:paraId="437985DD">
            <w:pPr>
              <w:pStyle w:val="6"/>
              <w:spacing w:before="65" w:line="228" w:lineRule="auto"/>
              <w:ind w:left="392"/>
              <w:rPr>
                <w:sz w:val="20"/>
                <w:szCs w:val="20"/>
              </w:rPr>
            </w:pPr>
            <w:r>
              <w:rPr>
                <w:spacing w:val="7"/>
                <w:sz w:val="20"/>
                <w:szCs w:val="20"/>
              </w:rPr>
              <w:t>颗粒物</w:t>
            </w:r>
          </w:p>
        </w:tc>
        <w:tc>
          <w:tcPr>
            <w:tcW w:w="1057" w:type="dxa"/>
            <w:gridSpan w:val="3"/>
            <w:vAlign w:val="top"/>
          </w:tcPr>
          <w:p w14:paraId="5D9747CD">
            <w:pPr>
              <w:pStyle w:val="6"/>
              <w:spacing w:before="220" w:line="254" w:lineRule="auto"/>
              <w:ind w:left="109" w:right="112" w:firstLine="1"/>
              <w:rPr>
                <w:sz w:val="20"/>
                <w:szCs w:val="20"/>
              </w:rPr>
            </w:pPr>
            <w:r>
              <w:rPr>
                <w:spacing w:val="7"/>
                <w:sz w:val="20"/>
                <w:szCs w:val="20"/>
              </w:rPr>
              <w:t>周界外浓度最高点</w:t>
            </w:r>
          </w:p>
        </w:tc>
        <w:tc>
          <w:tcPr>
            <w:tcW w:w="1742" w:type="dxa"/>
            <w:gridSpan w:val="3"/>
            <w:vAlign w:val="top"/>
          </w:tcPr>
          <w:p w14:paraId="7EFEB930">
            <w:pPr>
              <w:spacing w:line="333" w:lineRule="auto"/>
              <w:rPr>
                <w:rFonts w:ascii="Arial"/>
                <w:sz w:val="21"/>
              </w:rPr>
            </w:pPr>
          </w:p>
          <w:p w14:paraId="47E37771">
            <w:pPr>
              <w:spacing w:before="58" w:line="195" w:lineRule="auto"/>
              <w:ind w:left="75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c>
          <w:tcPr>
            <w:tcW w:w="4407" w:type="dxa"/>
            <w:tcBorders>
              <w:right w:val="single" w:color="000000" w:sz="6" w:space="0"/>
            </w:tcBorders>
            <w:vAlign w:val="top"/>
          </w:tcPr>
          <w:p w14:paraId="44933A08">
            <w:pPr>
              <w:pStyle w:val="6"/>
              <w:spacing w:before="84" w:line="228" w:lineRule="auto"/>
              <w:ind w:left="37"/>
              <w:rPr>
                <w:sz w:val="20"/>
                <w:szCs w:val="20"/>
              </w:rPr>
            </w:pPr>
            <w:r>
              <w:rPr>
                <w:spacing w:val="2"/>
                <w:sz w:val="20"/>
                <w:szCs w:val="20"/>
              </w:rPr>
              <w:t>《大气污染物综合排放标准》（</w:t>
            </w:r>
            <w:r>
              <w:rPr>
                <w:rFonts w:ascii="Times New Roman" w:hAnsi="Times New Roman" w:eastAsia="Times New Roman" w:cs="Times New Roman"/>
                <w:sz w:val="20"/>
                <w:szCs w:val="20"/>
              </w:rPr>
              <w:t>GB</w:t>
            </w:r>
            <w:r>
              <w:rPr>
                <w:rFonts w:ascii="Times New Roman" w:hAnsi="Times New Roman" w:eastAsia="Times New Roman" w:cs="Times New Roman"/>
                <w:spacing w:val="2"/>
                <w:sz w:val="20"/>
                <w:szCs w:val="20"/>
              </w:rPr>
              <w:t>16297-</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2"/>
                <w:sz w:val="20"/>
                <w:szCs w:val="20"/>
              </w:rPr>
              <w:t>1996</w:t>
            </w:r>
            <w:r>
              <w:rPr>
                <w:spacing w:val="2"/>
                <w:sz w:val="20"/>
                <w:szCs w:val="20"/>
              </w:rPr>
              <w:t>）</w:t>
            </w:r>
          </w:p>
          <w:p w14:paraId="34671398">
            <w:pPr>
              <w:pStyle w:val="6"/>
              <w:spacing w:before="25" w:line="228" w:lineRule="auto"/>
              <w:ind w:left="53"/>
              <w:rPr>
                <w:sz w:val="20"/>
                <w:szCs w:val="20"/>
              </w:rPr>
            </w:pPr>
            <w:r>
              <w:rPr>
                <w:spacing w:val="8"/>
                <w:sz w:val="20"/>
                <w:szCs w:val="20"/>
              </w:rPr>
              <w:t>表</w:t>
            </w:r>
            <w:r>
              <w:rPr>
                <w:spacing w:val="-29"/>
                <w:sz w:val="20"/>
                <w:szCs w:val="20"/>
              </w:rPr>
              <w:t xml:space="preserve"> </w:t>
            </w:r>
            <w:r>
              <w:rPr>
                <w:rFonts w:ascii="Times New Roman" w:hAnsi="Times New Roman" w:eastAsia="Times New Roman" w:cs="Times New Roman"/>
                <w:spacing w:val="8"/>
                <w:sz w:val="20"/>
                <w:szCs w:val="20"/>
              </w:rPr>
              <w:t xml:space="preserve">2 </w:t>
            </w:r>
            <w:r>
              <w:rPr>
                <w:spacing w:val="8"/>
                <w:sz w:val="20"/>
                <w:szCs w:val="20"/>
              </w:rPr>
              <w:t>新污染源大气污染物排放限值中的颗粒物</w:t>
            </w:r>
          </w:p>
          <w:p w14:paraId="4CF5AC0B">
            <w:pPr>
              <w:pStyle w:val="6"/>
              <w:spacing w:before="24" w:line="228" w:lineRule="auto"/>
              <w:ind w:left="1001"/>
              <w:rPr>
                <w:sz w:val="20"/>
                <w:szCs w:val="20"/>
              </w:rPr>
            </w:pPr>
            <w:r>
              <w:rPr>
                <w:spacing w:val="9"/>
                <w:sz w:val="20"/>
                <w:szCs w:val="20"/>
              </w:rPr>
              <w:t>无组织排放监控浓度限值</w:t>
            </w:r>
          </w:p>
        </w:tc>
      </w:tr>
      <w:tr w14:paraId="53C867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466" w:type="dxa"/>
            <w:vMerge w:val="continue"/>
            <w:tcBorders>
              <w:top w:val="nil"/>
              <w:left w:val="single" w:color="000000" w:sz="6" w:space="0"/>
              <w:bottom w:val="nil"/>
            </w:tcBorders>
            <w:vAlign w:val="top"/>
          </w:tcPr>
          <w:p w14:paraId="0B8453D9">
            <w:pPr>
              <w:rPr>
                <w:rFonts w:ascii="Arial"/>
                <w:sz w:val="21"/>
              </w:rPr>
            </w:pPr>
          </w:p>
        </w:tc>
        <w:tc>
          <w:tcPr>
            <w:tcW w:w="1311" w:type="dxa"/>
            <w:vMerge w:val="restart"/>
            <w:tcBorders>
              <w:bottom w:val="nil"/>
            </w:tcBorders>
            <w:vAlign w:val="top"/>
          </w:tcPr>
          <w:p w14:paraId="65895D0C">
            <w:pPr>
              <w:spacing w:line="264" w:lineRule="auto"/>
              <w:rPr>
                <w:rFonts w:ascii="Arial"/>
                <w:sz w:val="21"/>
              </w:rPr>
            </w:pPr>
          </w:p>
          <w:p w14:paraId="3098CF64">
            <w:pPr>
              <w:spacing w:line="264" w:lineRule="auto"/>
              <w:rPr>
                <w:rFonts w:ascii="Arial"/>
                <w:sz w:val="21"/>
              </w:rPr>
            </w:pPr>
          </w:p>
          <w:p w14:paraId="738C43BB">
            <w:pPr>
              <w:spacing w:line="264" w:lineRule="auto"/>
              <w:rPr>
                <w:rFonts w:ascii="Arial"/>
                <w:sz w:val="21"/>
              </w:rPr>
            </w:pPr>
          </w:p>
          <w:p w14:paraId="37110E04">
            <w:pPr>
              <w:pStyle w:val="6"/>
              <w:spacing w:before="65" w:line="228" w:lineRule="auto"/>
              <w:ind w:left="185"/>
              <w:rPr>
                <w:sz w:val="20"/>
                <w:szCs w:val="20"/>
              </w:rPr>
            </w:pPr>
            <w:r>
              <w:rPr>
                <w:spacing w:val="7"/>
                <w:sz w:val="20"/>
                <w:szCs w:val="20"/>
              </w:rPr>
              <w:t>非甲烷总烃</w:t>
            </w:r>
          </w:p>
        </w:tc>
        <w:tc>
          <w:tcPr>
            <w:tcW w:w="1057" w:type="dxa"/>
            <w:gridSpan w:val="3"/>
            <w:vAlign w:val="top"/>
          </w:tcPr>
          <w:p w14:paraId="7073FFBA">
            <w:pPr>
              <w:spacing w:line="241" w:lineRule="auto"/>
              <w:rPr>
                <w:rFonts w:ascii="Arial"/>
                <w:sz w:val="21"/>
              </w:rPr>
            </w:pPr>
          </w:p>
          <w:p w14:paraId="7FCE8865">
            <w:pPr>
              <w:pStyle w:val="6"/>
              <w:spacing w:before="65" w:line="228" w:lineRule="auto"/>
              <w:ind w:left="109"/>
              <w:rPr>
                <w:sz w:val="20"/>
                <w:szCs w:val="20"/>
              </w:rPr>
            </w:pPr>
            <w:r>
              <w:rPr>
                <w:spacing w:val="7"/>
                <w:sz w:val="20"/>
                <w:szCs w:val="20"/>
              </w:rPr>
              <w:t>井场场界</w:t>
            </w:r>
          </w:p>
        </w:tc>
        <w:tc>
          <w:tcPr>
            <w:tcW w:w="1742" w:type="dxa"/>
            <w:gridSpan w:val="3"/>
            <w:vAlign w:val="top"/>
          </w:tcPr>
          <w:p w14:paraId="425DDF0D">
            <w:pPr>
              <w:spacing w:line="284" w:lineRule="auto"/>
              <w:rPr>
                <w:rFonts w:ascii="Arial"/>
                <w:sz w:val="21"/>
              </w:rPr>
            </w:pPr>
          </w:p>
          <w:p w14:paraId="2FB1F874">
            <w:pPr>
              <w:spacing w:before="58" w:line="195" w:lineRule="auto"/>
              <w:ind w:left="7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4407" w:type="dxa"/>
            <w:tcBorders>
              <w:right w:val="single" w:color="000000" w:sz="6" w:space="0"/>
            </w:tcBorders>
            <w:vAlign w:val="top"/>
          </w:tcPr>
          <w:p w14:paraId="4756EEE3">
            <w:pPr>
              <w:pStyle w:val="6"/>
              <w:spacing w:before="34" w:line="227" w:lineRule="auto"/>
              <w:ind w:left="59"/>
              <w:rPr>
                <w:sz w:val="20"/>
                <w:szCs w:val="20"/>
              </w:rPr>
            </w:pPr>
            <w:r>
              <w:rPr>
                <w:spacing w:val="9"/>
                <w:sz w:val="20"/>
                <w:szCs w:val="20"/>
              </w:rPr>
              <w:t>《陆上石油天然气开采工业大气污染物排放标</w:t>
            </w:r>
          </w:p>
          <w:p w14:paraId="56DAC159">
            <w:pPr>
              <w:pStyle w:val="6"/>
              <w:spacing w:before="28" w:line="228" w:lineRule="auto"/>
              <w:ind w:left="34"/>
              <w:rPr>
                <w:sz w:val="20"/>
                <w:szCs w:val="20"/>
              </w:rPr>
            </w:pPr>
            <w:r>
              <w:rPr>
                <w:spacing w:val="7"/>
                <w:sz w:val="20"/>
                <w:szCs w:val="20"/>
              </w:rPr>
              <w:t>准》（</w:t>
            </w:r>
            <w:r>
              <w:rPr>
                <w:rFonts w:ascii="Times New Roman" w:hAnsi="Times New Roman" w:eastAsia="Times New Roman" w:cs="Times New Roman"/>
                <w:sz w:val="20"/>
                <w:szCs w:val="20"/>
              </w:rPr>
              <w:t>GB</w:t>
            </w:r>
            <w:r>
              <w:rPr>
                <w:rFonts w:ascii="Times New Roman" w:hAnsi="Times New Roman" w:eastAsia="Times New Roman" w:cs="Times New Roman"/>
                <w:spacing w:val="7"/>
                <w:sz w:val="20"/>
                <w:szCs w:val="20"/>
              </w:rPr>
              <w:t>39728-2020</w:t>
            </w:r>
            <w:r>
              <w:rPr>
                <w:spacing w:val="7"/>
                <w:sz w:val="20"/>
                <w:szCs w:val="20"/>
              </w:rPr>
              <w:t>）企业边界污染物控制要</w:t>
            </w:r>
          </w:p>
          <w:p w14:paraId="3DCE1F1D">
            <w:pPr>
              <w:pStyle w:val="6"/>
              <w:spacing w:before="23" w:line="214" w:lineRule="auto"/>
              <w:ind w:left="2050"/>
              <w:rPr>
                <w:sz w:val="20"/>
                <w:szCs w:val="20"/>
              </w:rPr>
            </w:pPr>
            <w:r>
              <w:rPr>
                <w:sz w:val="20"/>
                <w:szCs w:val="20"/>
              </w:rPr>
              <w:t>求</w:t>
            </w:r>
          </w:p>
        </w:tc>
      </w:tr>
      <w:tr w14:paraId="323F89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466" w:type="dxa"/>
            <w:vMerge w:val="continue"/>
            <w:tcBorders>
              <w:top w:val="nil"/>
              <w:left w:val="single" w:color="000000" w:sz="6" w:space="0"/>
              <w:bottom w:val="nil"/>
            </w:tcBorders>
            <w:vAlign w:val="top"/>
          </w:tcPr>
          <w:p w14:paraId="08C4074A">
            <w:pPr>
              <w:rPr>
                <w:rFonts w:ascii="Arial"/>
                <w:sz w:val="21"/>
              </w:rPr>
            </w:pPr>
          </w:p>
        </w:tc>
        <w:tc>
          <w:tcPr>
            <w:tcW w:w="1311" w:type="dxa"/>
            <w:vMerge w:val="continue"/>
            <w:tcBorders>
              <w:top w:val="nil"/>
              <w:bottom w:val="nil"/>
            </w:tcBorders>
            <w:vAlign w:val="top"/>
          </w:tcPr>
          <w:p w14:paraId="3D6E858A">
            <w:pPr>
              <w:rPr>
                <w:rFonts w:ascii="Arial"/>
                <w:sz w:val="21"/>
              </w:rPr>
            </w:pPr>
          </w:p>
        </w:tc>
        <w:tc>
          <w:tcPr>
            <w:tcW w:w="1057" w:type="dxa"/>
            <w:gridSpan w:val="3"/>
            <w:vMerge w:val="restart"/>
            <w:tcBorders>
              <w:bottom w:val="nil"/>
            </w:tcBorders>
            <w:vAlign w:val="top"/>
          </w:tcPr>
          <w:p w14:paraId="4909263D">
            <w:pPr>
              <w:spacing w:line="246" w:lineRule="auto"/>
              <w:rPr>
                <w:rFonts w:ascii="Arial"/>
                <w:sz w:val="21"/>
              </w:rPr>
            </w:pPr>
          </w:p>
          <w:p w14:paraId="35E6A3DC">
            <w:pPr>
              <w:pStyle w:val="6"/>
              <w:spacing w:before="65" w:line="254" w:lineRule="auto"/>
              <w:ind w:left="316" w:right="112" w:hanging="207"/>
              <w:rPr>
                <w:sz w:val="20"/>
                <w:szCs w:val="20"/>
              </w:rPr>
            </w:pPr>
            <w:r>
              <w:rPr>
                <w:spacing w:val="7"/>
                <w:sz w:val="20"/>
                <w:szCs w:val="20"/>
              </w:rPr>
              <w:t>井场内监</w:t>
            </w:r>
            <w:r>
              <w:rPr>
                <w:spacing w:val="5"/>
                <w:sz w:val="20"/>
                <w:szCs w:val="20"/>
              </w:rPr>
              <w:t>控点</w:t>
            </w:r>
          </w:p>
        </w:tc>
        <w:tc>
          <w:tcPr>
            <w:tcW w:w="1742" w:type="dxa"/>
            <w:gridSpan w:val="3"/>
            <w:vAlign w:val="top"/>
          </w:tcPr>
          <w:p w14:paraId="1DF6ED99">
            <w:pPr>
              <w:pStyle w:val="6"/>
              <w:spacing w:before="35" w:line="232" w:lineRule="auto"/>
              <w:ind w:left="149" w:right="32" w:hanging="116"/>
              <w:rPr>
                <w:rFonts w:ascii="Times New Roman" w:hAnsi="Times New Roman" w:eastAsia="Times New Roman" w:cs="Times New Roman"/>
                <w:sz w:val="13"/>
                <w:szCs w:val="13"/>
              </w:rPr>
            </w:pPr>
            <w:r>
              <w:rPr>
                <w:spacing w:val="8"/>
                <w:sz w:val="20"/>
                <w:szCs w:val="20"/>
              </w:rPr>
              <w:t>任意一次浓度值排</w:t>
            </w:r>
            <w:r>
              <w:rPr>
                <w:spacing w:val="6"/>
                <w:sz w:val="20"/>
                <w:szCs w:val="20"/>
              </w:rPr>
              <w:t>放限值</w:t>
            </w:r>
            <w:r>
              <w:rPr>
                <w:spacing w:val="-38"/>
                <w:sz w:val="20"/>
                <w:szCs w:val="20"/>
              </w:rPr>
              <w:t xml:space="preserve"> </w:t>
            </w:r>
            <w:r>
              <w:rPr>
                <w:rFonts w:ascii="Times New Roman" w:hAnsi="Times New Roman" w:eastAsia="Times New Roman" w:cs="Times New Roman"/>
                <w:spacing w:val="6"/>
                <w:sz w:val="20"/>
                <w:szCs w:val="20"/>
              </w:rPr>
              <w:t>30</w:t>
            </w:r>
            <w:r>
              <w:rPr>
                <w:rFonts w:ascii="Times New Roman" w:hAnsi="Times New Roman" w:eastAsia="Times New Roman" w:cs="Times New Roman"/>
                <w:sz w:val="20"/>
                <w:szCs w:val="20"/>
              </w:rPr>
              <w:t>mg</w:t>
            </w:r>
            <w:r>
              <w:rPr>
                <w:rFonts w:ascii="Times New Roman" w:hAnsi="Times New Roman" w:eastAsia="Times New Roman" w:cs="Times New Roman"/>
                <w:spacing w:val="6"/>
                <w:sz w:val="20"/>
                <w:szCs w:val="20"/>
              </w:rPr>
              <w:t>/m</w:t>
            </w:r>
            <w:r>
              <w:rPr>
                <w:rFonts w:ascii="Times New Roman" w:hAnsi="Times New Roman" w:eastAsia="Times New Roman" w:cs="Times New Roman"/>
                <w:spacing w:val="6"/>
                <w:position w:val="6"/>
                <w:sz w:val="13"/>
                <w:szCs w:val="13"/>
              </w:rPr>
              <w:t>3</w:t>
            </w:r>
          </w:p>
        </w:tc>
        <w:tc>
          <w:tcPr>
            <w:tcW w:w="4407" w:type="dxa"/>
            <w:vMerge w:val="restart"/>
            <w:tcBorders>
              <w:bottom w:val="nil"/>
              <w:right w:val="single" w:color="000000" w:sz="6" w:space="0"/>
            </w:tcBorders>
            <w:vAlign w:val="top"/>
          </w:tcPr>
          <w:p w14:paraId="3296E920">
            <w:pPr>
              <w:spacing w:line="244" w:lineRule="auto"/>
              <w:rPr>
                <w:rFonts w:ascii="Arial"/>
                <w:sz w:val="21"/>
              </w:rPr>
            </w:pPr>
          </w:p>
          <w:p w14:paraId="64457330">
            <w:pPr>
              <w:pStyle w:val="6"/>
              <w:spacing w:before="66" w:line="255" w:lineRule="auto"/>
              <w:ind w:left="1090" w:right="480" w:hanging="717"/>
              <w:rPr>
                <w:sz w:val="20"/>
                <w:szCs w:val="20"/>
              </w:rPr>
            </w:pPr>
            <w:r>
              <w:rPr>
                <w:spacing w:val="8"/>
                <w:sz w:val="20"/>
                <w:szCs w:val="20"/>
              </w:rPr>
              <w:t>《挥发性有机物无组织排放控制标准》</w:t>
            </w:r>
            <w:r>
              <w:rPr>
                <w:spacing w:val="5"/>
                <w:sz w:val="20"/>
                <w:szCs w:val="20"/>
              </w:rPr>
              <w:t xml:space="preserve"> （</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37822-2019</w:t>
            </w:r>
            <w:r>
              <w:rPr>
                <w:spacing w:val="5"/>
                <w:sz w:val="20"/>
                <w:szCs w:val="20"/>
              </w:rPr>
              <w:t>）要求</w:t>
            </w:r>
          </w:p>
        </w:tc>
      </w:tr>
      <w:tr w14:paraId="769444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466" w:type="dxa"/>
            <w:vMerge w:val="continue"/>
            <w:tcBorders>
              <w:top w:val="nil"/>
              <w:left w:val="single" w:color="000000" w:sz="6" w:space="0"/>
              <w:bottom w:val="nil"/>
            </w:tcBorders>
            <w:vAlign w:val="top"/>
          </w:tcPr>
          <w:p w14:paraId="48F93A26">
            <w:pPr>
              <w:rPr>
                <w:rFonts w:ascii="Arial"/>
                <w:sz w:val="21"/>
              </w:rPr>
            </w:pPr>
          </w:p>
        </w:tc>
        <w:tc>
          <w:tcPr>
            <w:tcW w:w="1311" w:type="dxa"/>
            <w:vMerge w:val="continue"/>
            <w:tcBorders>
              <w:top w:val="nil"/>
              <w:bottom w:val="single" w:color="000000" w:sz="10" w:space="0"/>
            </w:tcBorders>
            <w:vAlign w:val="top"/>
          </w:tcPr>
          <w:p w14:paraId="35BC320B">
            <w:pPr>
              <w:rPr>
                <w:rFonts w:ascii="Arial"/>
                <w:sz w:val="21"/>
              </w:rPr>
            </w:pPr>
          </w:p>
        </w:tc>
        <w:tc>
          <w:tcPr>
            <w:tcW w:w="1057" w:type="dxa"/>
            <w:gridSpan w:val="3"/>
            <w:vMerge w:val="continue"/>
            <w:tcBorders>
              <w:top w:val="nil"/>
              <w:bottom w:val="single" w:color="000000" w:sz="10" w:space="0"/>
            </w:tcBorders>
            <w:vAlign w:val="top"/>
          </w:tcPr>
          <w:p w14:paraId="2B9A2EB3">
            <w:pPr>
              <w:rPr>
                <w:rFonts w:ascii="Arial"/>
                <w:sz w:val="21"/>
              </w:rPr>
            </w:pPr>
          </w:p>
        </w:tc>
        <w:tc>
          <w:tcPr>
            <w:tcW w:w="1742" w:type="dxa"/>
            <w:gridSpan w:val="3"/>
            <w:tcBorders>
              <w:bottom w:val="single" w:color="000000" w:sz="10" w:space="0"/>
            </w:tcBorders>
            <w:vAlign w:val="top"/>
          </w:tcPr>
          <w:p w14:paraId="323FB0A5">
            <w:pPr>
              <w:pStyle w:val="6"/>
              <w:spacing w:before="37" w:line="236" w:lineRule="auto"/>
              <w:ind w:left="149" w:right="112" w:hanging="19"/>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 xml:space="preserve">1h </w:t>
            </w:r>
            <w:r>
              <w:rPr>
                <w:spacing w:val="4"/>
                <w:sz w:val="20"/>
                <w:szCs w:val="20"/>
              </w:rPr>
              <w:t>平均浓度值排放限值</w:t>
            </w:r>
            <w:r>
              <w:rPr>
                <w:spacing w:val="-22"/>
                <w:sz w:val="20"/>
                <w:szCs w:val="20"/>
              </w:rPr>
              <w:t xml:space="preserve"> </w:t>
            </w:r>
            <w:r>
              <w:rPr>
                <w:rFonts w:ascii="Times New Roman" w:hAnsi="Times New Roman" w:eastAsia="Times New Roman" w:cs="Times New Roman"/>
                <w:spacing w:val="4"/>
                <w:sz w:val="20"/>
                <w:szCs w:val="20"/>
              </w:rPr>
              <w:t>10</w:t>
            </w:r>
            <w:r>
              <w:rPr>
                <w:rFonts w:ascii="Times New Roman" w:hAnsi="Times New Roman" w:eastAsia="Times New Roman" w:cs="Times New Roman"/>
                <w:sz w:val="20"/>
                <w:szCs w:val="20"/>
              </w:rPr>
              <w:t>mg</w:t>
            </w: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3</w:t>
            </w:r>
          </w:p>
        </w:tc>
        <w:tc>
          <w:tcPr>
            <w:tcW w:w="4407" w:type="dxa"/>
            <w:vMerge w:val="continue"/>
            <w:tcBorders>
              <w:top w:val="nil"/>
              <w:bottom w:val="single" w:color="000000" w:sz="10" w:space="0"/>
              <w:right w:val="single" w:color="000000" w:sz="6" w:space="0"/>
            </w:tcBorders>
            <w:vAlign w:val="top"/>
          </w:tcPr>
          <w:p w14:paraId="3A261E6F">
            <w:pPr>
              <w:rPr>
                <w:rFonts w:ascii="Arial"/>
                <w:sz w:val="21"/>
              </w:rPr>
            </w:pPr>
          </w:p>
        </w:tc>
      </w:tr>
      <w:tr w14:paraId="39D484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66" w:type="dxa"/>
            <w:vMerge w:val="continue"/>
            <w:tcBorders>
              <w:top w:val="nil"/>
              <w:left w:val="single" w:color="000000" w:sz="6" w:space="0"/>
              <w:bottom w:val="nil"/>
            </w:tcBorders>
            <w:vAlign w:val="top"/>
          </w:tcPr>
          <w:p w14:paraId="3D3B0494">
            <w:pPr>
              <w:rPr>
                <w:rFonts w:ascii="Arial"/>
                <w:sz w:val="21"/>
              </w:rPr>
            </w:pPr>
          </w:p>
        </w:tc>
        <w:tc>
          <w:tcPr>
            <w:tcW w:w="8517" w:type="dxa"/>
            <w:gridSpan w:val="8"/>
            <w:tcBorders>
              <w:top w:val="single" w:color="000000" w:sz="10" w:space="0"/>
              <w:bottom w:val="single" w:color="000000" w:sz="10" w:space="0"/>
              <w:right w:val="single" w:color="000000" w:sz="6" w:space="0"/>
            </w:tcBorders>
            <w:vAlign w:val="top"/>
          </w:tcPr>
          <w:p w14:paraId="7C2BABCD">
            <w:pPr>
              <w:spacing w:before="34" w:line="209" w:lineRule="auto"/>
              <w:ind w:left="2604"/>
              <w:rPr>
                <w:rFonts w:ascii="黑体" w:hAnsi="黑体" w:eastAsia="黑体" w:cs="黑体"/>
                <w:sz w:val="24"/>
                <w:szCs w:val="24"/>
              </w:rPr>
            </w:pPr>
            <w:r>
              <w:rPr>
                <w:rFonts w:ascii="黑体" w:hAnsi="黑体" w:eastAsia="黑体" w:cs="黑体"/>
                <w:spacing w:val="-1"/>
                <w:sz w:val="24"/>
                <w:szCs w:val="24"/>
              </w:rPr>
              <w:t>表</w:t>
            </w:r>
            <w:r>
              <w:rPr>
                <w:rFonts w:ascii="Times New Roman" w:hAnsi="Times New Roman" w:eastAsia="Times New Roman" w:cs="Times New Roman"/>
                <w:spacing w:val="-1"/>
                <w:sz w:val="24"/>
                <w:szCs w:val="24"/>
              </w:rPr>
              <w:t xml:space="preserve">3-8  </w:t>
            </w:r>
            <w:r>
              <w:rPr>
                <w:rFonts w:ascii="黑体" w:hAnsi="黑体" w:eastAsia="黑体" w:cs="黑体"/>
                <w:spacing w:val="-1"/>
                <w:sz w:val="24"/>
                <w:szCs w:val="24"/>
              </w:rPr>
              <w:t>柴油发电机废气排放标准</w:t>
            </w:r>
          </w:p>
        </w:tc>
      </w:tr>
      <w:tr w14:paraId="2D0320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466" w:type="dxa"/>
            <w:vMerge w:val="continue"/>
            <w:tcBorders>
              <w:top w:val="nil"/>
              <w:left w:val="single" w:color="000000" w:sz="6" w:space="0"/>
              <w:bottom w:val="nil"/>
            </w:tcBorders>
            <w:vAlign w:val="top"/>
          </w:tcPr>
          <w:p w14:paraId="6ACD8472">
            <w:pPr>
              <w:rPr>
                <w:rFonts w:ascii="Arial"/>
                <w:sz w:val="21"/>
              </w:rPr>
            </w:pPr>
          </w:p>
        </w:tc>
        <w:tc>
          <w:tcPr>
            <w:tcW w:w="1380" w:type="dxa"/>
            <w:gridSpan w:val="2"/>
            <w:tcBorders>
              <w:top w:val="single" w:color="000000" w:sz="10" w:space="0"/>
            </w:tcBorders>
            <w:vAlign w:val="top"/>
          </w:tcPr>
          <w:p w14:paraId="62998B02">
            <w:pPr>
              <w:pStyle w:val="6"/>
              <w:spacing w:before="10" w:line="198" w:lineRule="auto"/>
              <w:ind w:left="412"/>
              <w:rPr>
                <w:sz w:val="20"/>
                <w:szCs w:val="20"/>
              </w:rPr>
            </w:pPr>
            <w:r>
              <w:rPr>
                <w:spacing w:val="6"/>
                <w:sz w:val="20"/>
                <w:szCs w:val="20"/>
              </w:rPr>
              <w:t>污染物</w:t>
            </w:r>
          </w:p>
        </w:tc>
        <w:tc>
          <w:tcPr>
            <w:tcW w:w="2680" w:type="dxa"/>
            <w:gridSpan w:val="4"/>
            <w:tcBorders>
              <w:top w:val="single" w:color="000000" w:sz="10" w:space="0"/>
            </w:tcBorders>
            <w:vAlign w:val="top"/>
          </w:tcPr>
          <w:p w14:paraId="55D2C79F">
            <w:pPr>
              <w:pStyle w:val="6"/>
              <w:spacing w:before="10" w:line="189" w:lineRule="auto"/>
              <w:ind w:left="77"/>
              <w:rPr>
                <w:sz w:val="20"/>
                <w:szCs w:val="20"/>
              </w:rPr>
            </w:pPr>
            <w:r>
              <w:rPr>
                <w:spacing w:val="1"/>
                <w:sz w:val="20"/>
                <w:szCs w:val="20"/>
              </w:rPr>
              <w:t>最高允许排放浓度（</w:t>
            </w:r>
            <w:r>
              <w:rPr>
                <w:rFonts w:ascii="Times New Roman" w:hAnsi="Times New Roman" w:eastAsia="Times New Roman" w:cs="Times New Roman"/>
                <w:sz w:val="20"/>
                <w:szCs w:val="20"/>
              </w:rPr>
              <w:t>mg</w:t>
            </w:r>
            <w:r>
              <w:rPr>
                <w:rFonts w:ascii="Times New Roman" w:hAnsi="Times New Roman" w:eastAsia="Times New Roman" w:cs="Times New Roman"/>
                <w:spacing w:val="1"/>
                <w:sz w:val="20"/>
                <w:szCs w:val="20"/>
              </w:rPr>
              <w:t>/m</w:t>
            </w:r>
            <w:r>
              <w:rPr>
                <w:rFonts w:ascii="Times New Roman" w:hAnsi="Times New Roman" w:eastAsia="Times New Roman" w:cs="Times New Roman"/>
                <w:spacing w:val="1"/>
                <w:position w:val="1"/>
                <w:sz w:val="13"/>
                <w:szCs w:val="13"/>
              </w:rPr>
              <w:t>3</w:t>
            </w:r>
            <w:r>
              <w:rPr>
                <w:spacing w:val="1"/>
                <w:position w:val="1"/>
                <w:sz w:val="20"/>
                <w:szCs w:val="20"/>
              </w:rPr>
              <w:t>）</w:t>
            </w:r>
          </w:p>
        </w:tc>
        <w:tc>
          <w:tcPr>
            <w:tcW w:w="4457" w:type="dxa"/>
            <w:gridSpan w:val="2"/>
            <w:tcBorders>
              <w:top w:val="single" w:color="000000" w:sz="10" w:space="0"/>
              <w:right w:val="single" w:color="000000" w:sz="6" w:space="0"/>
            </w:tcBorders>
            <w:vAlign w:val="top"/>
          </w:tcPr>
          <w:p w14:paraId="6C630376">
            <w:pPr>
              <w:pStyle w:val="6"/>
              <w:spacing w:before="10" w:line="198" w:lineRule="auto"/>
              <w:ind w:left="1740"/>
              <w:rPr>
                <w:sz w:val="20"/>
                <w:szCs w:val="20"/>
              </w:rPr>
            </w:pPr>
            <w:r>
              <w:rPr>
                <w:spacing w:val="7"/>
                <w:sz w:val="20"/>
                <w:szCs w:val="20"/>
              </w:rPr>
              <w:t>执行标准</w:t>
            </w:r>
          </w:p>
        </w:tc>
      </w:tr>
      <w:tr w14:paraId="0896C5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6" w:type="dxa"/>
            <w:vMerge w:val="continue"/>
            <w:tcBorders>
              <w:top w:val="nil"/>
              <w:left w:val="single" w:color="000000" w:sz="6" w:space="0"/>
              <w:bottom w:val="nil"/>
            </w:tcBorders>
            <w:vAlign w:val="top"/>
          </w:tcPr>
          <w:p w14:paraId="4E30596B">
            <w:pPr>
              <w:rPr>
                <w:rFonts w:ascii="Arial"/>
                <w:sz w:val="21"/>
              </w:rPr>
            </w:pPr>
          </w:p>
        </w:tc>
        <w:tc>
          <w:tcPr>
            <w:tcW w:w="1380" w:type="dxa"/>
            <w:gridSpan w:val="2"/>
            <w:vAlign w:val="top"/>
          </w:tcPr>
          <w:p w14:paraId="29B0D0CF">
            <w:pPr>
              <w:spacing w:before="135" w:line="202" w:lineRule="auto"/>
              <w:ind w:left="564"/>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pacing w:val="1"/>
                <w:position w:val="-1"/>
                <w:sz w:val="13"/>
                <w:szCs w:val="13"/>
              </w:rPr>
              <w:t>2</w:t>
            </w:r>
          </w:p>
        </w:tc>
        <w:tc>
          <w:tcPr>
            <w:tcW w:w="2680" w:type="dxa"/>
            <w:gridSpan w:val="4"/>
            <w:vAlign w:val="top"/>
          </w:tcPr>
          <w:p w14:paraId="48C64142">
            <w:pPr>
              <w:spacing w:before="137" w:line="195" w:lineRule="auto"/>
              <w:ind w:left="115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550</w:t>
            </w:r>
          </w:p>
        </w:tc>
        <w:tc>
          <w:tcPr>
            <w:tcW w:w="4457" w:type="dxa"/>
            <w:gridSpan w:val="2"/>
            <w:vMerge w:val="restart"/>
            <w:tcBorders>
              <w:bottom w:val="nil"/>
              <w:right w:val="single" w:color="000000" w:sz="6" w:space="0"/>
            </w:tcBorders>
            <w:vAlign w:val="top"/>
          </w:tcPr>
          <w:p w14:paraId="0D9B2A68">
            <w:pPr>
              <w:spacing w:line="306" w:lineRule="auto"/>
              <w:rPr>
                <w:rFonts w:ascii="Arial"/>
                <w:sz w:val="21"/>
              </w:rPr>
            </w:pPr>
          </w:p>
          <w:p w14:paraId="41A9AFF8">
            <w:pPr>
              <w:pStyle w:val="6"/>
              <w:spacing w:before="65" w:line="228" w:lineRule="auto"/>
              <w:rPr>
                <w:sz w:val="20"/>
                <w:szCs w:val="20"/>
              </w:rPr>
            </w:pPr>
            <w:r>
              <w:rPr>
                <w:spacing w:val="6"/>
                <w:sz w:val="20"/>
                <w:szCs w:val="20"/>
              </w:rPr>
              <w:t>《大气污染物综合排放标准》（</w:t>
            </w:r>
            <w:r>
              <w:rPr>
                <w:rFonts w:ascii="Times New Roman" w:hAnsi="Times New Roman" w:eastAsia="Times New Roman" w:cs="Times New Roman"/>
                <w:sz w:val="20"/>
                <w:szCs w:val="20"/>
              </w:rPr>
              <w:t>GB</w:t>
            </w:r>
            <w:r>
              <w:rPr>
                <w:rFonts w:ascii="Times New Roman" w:hAnsi="Times New Roman" w:eastAsia="Times New Roman" w:cs="Times New Roman"/>
                <w:spacing w:val="6"/>
                <w:sz w:val="20"/>
                <w:szCs w:val="20"/>
              </w:rPr>
              <w:t>16297-</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pacing w:val="6"/>
                <w:sz w:val="20"/>
                <w:szCs w:val="20"/>
              </w:rPr>
              <w:t>199</w:t>
            </w:r>
            <w:r>
              <w:rPr>
                <w:rFonts w:ascii="Times New Roman" w:hAnsi="Times New Roman" w:eastAsia="Times New Roman" w:cs="Times New Roman"/>
                <w:spacing w:val="5"/>
                <w:sz w:val="20"/>
                <w:szCs w:val="20"/>
              </w:rPr>
              <w:t>6</w:t>
            </w:r>
            <w:r>
              <w:rPr>
                <w:spacing w:val="5"/>
                <w:sz w:val="20"/>
                <w:szCs w:val="20"/>
              </w:rPr>
              <w:t>）</w:t>
            </w:r>
          </w:p>
          <w:p w14:paraId="35F5C688">
            <w:pPr>
              <w:pStyle w:val="6"/>
              <w:spacing w:before="23" w:line="228" w:lineRule="auto"/>
              <w:ind w:left="819"/>
              <w:rPr>
                <w:sz w:val="20"/>
                <w:szCs w:val="20"/>
              </w:rPr>
            </w:pPr>
            <w:r>
              <w:rPr>
                <w:spacing w:val="6"/>
                <w:sz w:val="20"/>
                <w:szCs w:val="20"/>
              </w:rPr>
              <w:t>中表</w:t>
            </w:r>
            <w:r>
              <w:rPr>
                <w:spacing w:val="-37"/>
                <w:sz w:val="20"/>
                <w:szCs w:val="20"/>
              </w:rPr>
              <w:t xml:space="preserve"> </w:t>
            </w:r>
            <w:r>
              <w:rPr>
                <w:rFonts w:ascii="Times New Roman" w:hAnsi="Times New Roman" w:eastAsia="Times New Roman" w:cs="Times New Roman"/>
                <w:spacing w:val="6"/>
                <w:sz w:val="20"/>
                <w:szCs w:val="20"/>
              </w:rPr>
              <w:t xml:space="preserve">2 </w:t>
            </w:r>
            <w:r>
              <w:rPr>
                <w:spacing w:val="6"/>
                <w:sz w:val="20"/>
                <w:szCs w:val="20"/>
              </w:rPr>
              <w:t>最高允许排放浓度限值</w:t>
            </w:r>
          </w:p>
        </w:tc>
      </w:tr>
      <w:tr w14:paraId="1FE7B4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6" w:type="dxa"/>
            <w:vMerge w:val="continue"/>
            <w:tcBorders>
              <w:top w:val="nil"/>
              <w:left w:val="single" w:color="000000" w:sz="6" w:space="0"/>
              <w:bottom w:val="nil"/>
            </w:tcBorders>
            <w:vAlign w:val="top"/>
          </w:tcPr>
          <w:p w14:paraId="42188448">
            <w:pPr>
              <w:rPr>
                <w:rFonts w:ascii="Arial"/>
                <w:sz w:val="21"/>
              </w:rPr>
            </w:pPr>
          </w:p>
        </w:tc>
        <w:tc>
          <w:tcPr>
            <w:tcW w:w="1380" w:type="dxa"/>
            <w:gridSpan w:val="2"/>
            <w:vAlign w:val="top"/>
          </w:tcPr>
          <w:p w14:paraId="1D2A6246">
            <w:pPr>
              <w:spacing w:before="133" w:line="202" w:lineRule="auto"/>
              <w:ind w:left="515"/>
              <w:rPr>
                <w:rFonts w:ascii="Times New Roman" w:hAnsi="Times New Roman" w:eastAsia="Times New Roman" w:cs="Times New Roman"/>
                <w:sz w:val="13"/>
                <w:szCs w:val="13"/>
              </w:rPr>
            </w:pPr>
            <w:r>
              <w:rPr>
                <w:rFonts w:ascii="Times New Roman" w:hAnsi="Times New Roman" w:eastAsia="Times New Roman" w:cs="Times New Roman"/>
                <w:spacing w:val="7"/>
                <w:sz w:val="20"/>
                <w:szCs w:val="20"/>
              </w:rPr>
              <w:t>NO</w:t>
            </w:r>
            <w:r>
              <w:rPr>
                <w:rFonts w:ascii="Times New Roman" w:hAnsi="Times New Roman" w:eastAsia="Times New Roman" w:cs="Times New Roman"/>
                <w:spacing w:val="7"/>
                <w:position w:val="-1"/>
                <w:sz w:val="13"/>
                <w:szCs w:val="13"/>
              </w:rPr>
              <w:t>X</w:t>
            </w:r>
          </w:p>
        </w:tc>
        <w:tc>
          <w:tcPr>
            <w:tcW w:w="2680" w:type="dxa"/>
            <w:gridSpan w:val="4"/>
            <w:vAlign w:val="top"/>
          </w:tcPr>
          <w:p w14:paraId="6F8CC061">
            <w:pPr>
              <w:spacing w:before="138" w:line="195" w:lineRule="auto"/>
              <w:ind w:left="11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240</w:t>
            </w:r>
          </w:p>
        </w:tc>
        <w:tc>
          <w:tcPr>
            <w:tcW w:w="4457" w:type="dxa"/>
            <w:gridSpan w:val="2"/>
            <w:vMerge w:val="continue"/>
            <w:tcBorders>
              <w:top w:val="nil"/>
              <w:bottom w:val="nil"/>
              <w:right w:val="single" w:color="000000" w:sz="6" w:space="0"/>
            </w:tcBorders>
            <w:vAlign w:val="top"/>
          </w:tcPr>
          <w:p w14:paraId="5F8B4A98">
            <w:pPr>
              <w:rPr>
                <w:rFonts w:ascii="Arial"/>
                <w:sz w:val="21"/>
              </w:rPr>
            </w:pPr>
          </w:p>
        </w:tc>
      </w:tr>
      <w:tr w14:paraId="3138E9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466" w:type="dxa"/>
            <w:vMerge w:val="continue"/>
            <w:tcBorders>
              <w:top w:val="nil"/>
              <w:left w:val="single" w:color="000000" w:sz="6" w:space="0"/>
              <w:bottom w:val="nil"/>
            </w:tcBorders>
            <w:vAlign w:val="top"/>
          </w:tcPr>
          <w:p w14:paraId="14628C7E">
            <w:pPr>
              <w:rPr>
                <w:rFonts w:ascii="Arial"/>
                <w:sz w:val="21"/>
              </w:rPr>
            </w:pPr>
          </w:p>
        </w:tc>
        <w:tc>
          <w:tcPr>
            <w:tcW w:w="1380" w:type="dxa"/>
            <w:gridSpan w:val="2"/>
            <w:tcBorders>
              <w:bottom w:val="single" w:color="000000" w:sz="10" w:space="0"/>
            </w:tcBorders>
            <w:vAlign w:val="top"/>
          </w:tcPr>
          <w:p w14:paraId="5BA26A6F">
            <w:pPr>
              <w:pStyle w:val="6"/>
              <w:spacing w:before="98" w:line="229" w:lineRule="auto"/>
              <w:ind w:left="516"/>
              <w:rPr>
                <w:sz w:val="20"/>
                <w:szCs w:val="20"/>
              </w:rPr>
            </w:pPr>
            <w:r>
              <w:rPr>
                <w:spacing w:val="4"/>
                <w:sz w:val="20"/>
                <w:szCs w:val="20"/>
              </w:rPr>
              <w:t>烟尘</w:t>
            </w:r>
          </w:p>
        </w:tc>
        <w:tc>
          <w:tcPr>
            <w:tcW w:w="2680" w:type="dxa"/>
            <w:gridSpan w:val="4"/>
            <w:tcBorders>
              <w:bottom w:val="single" w:color="000000" w:sz="10" w:space="0"/>
            </w:tcBorders>
            <w:vAlign w:val="top"/>
          </w:tcPr>
          <w:p w14:paraId="2B792DEC">
            <w:pPr>
              <w:spacing w:before="136" w:line="195" w:lineRule="auto"/>
              <w:ind w:left="11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120</w:t>
            </w:r>
          </w:p>
        </w:tc>
        <w:tc>
          <w:tcPr>
            <w:tcW w:w="4457" w:type="dxa"/>
            <w:gridSpan w:val="2"/>
            <w:vMerge w:val="continue"/>
            <w:tcBorders>
              <w:top w:val="nil"/>
              <w:bottom w:val="single" w:color="000000" w:sz="10" w:space="0"/>
              <w:right w:val="single" w:color="000000" w:sz="6" w:space="0"/>
            </w:tcBorders>
            <w:vAlign w:val="top"/>
          </w:tcPr>
          <w:p w14:paraId="06E5877C">
            <w:pPr>
              <w:rPr>
                <w:rFonts w:ascii="Arial"/>
                <w:sz w:val="21"/>
              </w:rPr>
            </w:pPr>
          </w:p>
        </w:tc>
      </w:tr>
      <w:tr w14:paraId="64C983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5" w:hRule="atLeast"/>
        </w:trPr>
        <w:tc>
          <w:tcPr>
            <w:tcW w:w="466" w:type="dxa"/>
            <w:vMerge w:val="continue"/>
            <w:tcBorders>
              <w:top w:val="nil"/>
              <w:left w:val="single" w:color="000000" w:sz="6" w:space="0"/>
              <w:bottom w:val="nil"/>
            </w:tcBorders>
            <w:vAlign w:val="top"/>
          </w:tcPr>
          <w:p w14:paraId="72B2D7FC">
            <w:pPr>
              <w:rPr>
                <w:rFonts w:ascii="Arial"/>
                <w:sz w:val="21"/>
              </w:rPr>
            </w:pPr>
          </w:p>
        </w:tc>
        <w:tc>
          <w:tcPr>
            <w:tcW w:w="8517" w:type="dxa"/>
            <w:gridSpan w:val="8"/>
            <w:tcBorders>
              <w:top w:val="single" w:color="000000" w:sz="10" w:space="0"/>
              <w:bottom w:val="single" w:color="000000" w:sz="10" w:space="0"/>
              <w:right w:val="single" w:color="000000" w:sz="6" w:space="0"/>
            </w:tcBorders>
            <w:vAlign w:val="top"/>
          </w:tcPr>
          <w:p w14:paraId="7B82B683">
            <w:pPr>
              <w:pStyle w:val="6"/>
              <w:spacing w:before="34" w:line="220" w:lineRule="auto"/>
              <w:ind w:left="582"/>
            </w:pPr>
            <w:r>
              <w:rPr>
                <w:rFonts w:ascii="Times New Roman" w:hAnsi="Times New Roman" w:eastAsia="Times New Roman" w:cs="Times New Roman"/>
                <w:spacing w:val="-8"/>
              </w:rPr>
              <w:t>2</w:t>
            </w:r>
            <w:r>
              <w:rPr>
                <w:rFonts w:ascii="Times New Roman" w:hAnsi="Times New Roman" w:eastAsia="Times New Roman" w:cs="Times New Roman"/>
                <w:spacing w:val="-34"/>
              </w:rPr>
              <w:t xml:space="preserve"> </w:t>
            </w:r>
            <w:r>
              <w:rPr>
                <w:spacing w:val="-8"/>
              </w:rPr>
              <w:t>、噪声</w:t>
            </w:r>
          </w:p>
          <w:p w14:paraId="14A6404D">
            <w:pPr>
              <w:pStyle w:val="6"/>
              <w:spacing w:before="182" w:line="358" w:lineRule="auto"/>
              <w:ind w:left="107" w:right="103" w:firstLine="490"/>
            </w:pPr>
            <w:r>
              <w:rPr>
                <w:spacing w:val="2"/>
              </w:rPr>
              <w:t>噪声执行《建筑施工噪声排放标准》（</w:t>
            </w:r>
            <w:r>
              <w:rPr>
                <w:rFonts w:ascii="Times New Roman" w:hAnsi="Times New Roman" w:eastAsia="Times New Roman" w:cs="Times New Roman"/>
              </w:rPr>
              <w:t>GB</w:t>
            </w:r>
            <w:r>
              <w:rPr>
                <w:rFonts w:ascii="Times New Roman" w:hAnsi="Times New Roman" w:eastAsia="Times New Roman" w:cs="Times New Roman"/>
                <w:spacing w:val="2"/>
              </w:rPr>
              <w:t>12523-2025</w:t>
            </w:r>
            <w:r>
              <w:rPr>
                <w:spacing w:val="2"/>
              </w:rPr>
              <w:t>）中各施工时间段的</w:t>
            </w:r>
            <w:r>
              <w:rPr>
                <w:spacing w:val="-2"/>
              </w:rPr>
              <w:t>作业噪声限值。</w:t>
            </w:r>
          </w:p>
          <w:p w14:paraId="558F0A94">
            <w:pPr>
              <w:spacing w:line="208" w:lineRule="auto"/>
              <w:ind w:left="2318"/>
              <w:rPr>
                <w:rFonts w:ascii="黑体" w:hAnsi="黑体" w:eastAsia="黑体" w:cs="黑体"/>
                <w:sz w:val="24"/>
                <w:szCs w:val="24"/>
              </w:rPr>
            </w:pPr>
            <w:r>
              <w:rPr>
                <w:rFonts w:ascii="黑体" w:hAnsi="黑体" w:eastAsia="黑体" w:cs="黑体"/>
                <w:spacing w:val="-1"/>
                <w:sz w:val="24"/>
                <w:szCs w:val="24"/>
              </w:rPr>
              <w:t>表</w:t>
            </w:r>
            <w:r>
              <w:rPr>
                <w:rFonts w:ascii="Times New Roman" w:hAnsi="Times New Roman" w:eastAsia="Times New Roman" w:cs="Times New Roman"/>
                <w:spacing w:val="-1"/>
                <w:sz w:val="24"/>
                <w:szCs w:val="24"/>
              </w:rPr>
              <w:t xml:space="preserve">3-9  </w:t>
            </w:r>
            <w:r>
              <w:rPr>
                <w:rFonts w:ascii="黑体" w:hAnsi="黑体" w:eastAsia="黑体" w:cs="黑体"/>
                <w:spacing w:val="-1"/>
                <w:sz w:val="24"/>
                <w:szCs w:val="24"/>
              </w:rPr>
              <w:t>噪声排放限值 单位：</w:t>
            </w:r>
            <w:r>
              <w:rPr>
                <w:rFonts w:ascii="Times New Roman" w:hAnsi="Times New Roman" w:eastAsia="Times New Roman" w:cs="Times New Roman"/>
                <w:spacing w:val="-1"/>
                <w:sz w:val="24"/>
                <w:szCs w:val="24"/>
              </w:rPr>
              <w:t>dB</w:t>
            </w:r>
            <w:r>
              <w:rPr>
                <w:rFonts w:ascii="黑体" w:hAnsi="黑体" w:eastAsia="黑体" w:cs="黑体"/>
                <w:spacing w:val="-1"/>
                <w:sz w:val="24"/>
                <w:szCs w:val="24"/>
              </w:rPr>
              <w:t>（</w:t>
            </w:r>
            <w:r>
              <w:rPr>
                <w:rFonts w:ascii="Times New Roman" w:hAnsi="Times New Roman" w:eastAsia="Times New Roman" w:cs="Times New Roman"/>
                <w:spacing w:val="-1"/>
                <w:sz w:val="24"/>
                <w:szCs w:val="24"/>
              </w:rPr>
              <w:t>A</w:t>
            </w:r>
            <w:r>
              <w:rPr>
                <w:rFonts w:ascii="黑体" w:hAnsi="黑体" w:eastAsia="黑体" w:cs="黑体"/>
                <w:spacing w:val="-1"/>
                <w:sz w:val="24"/>
                <w:szCs w:val="24"/>
              </w:rPr>
              <w:t>）</w:t>
            </w:r>
          </w:p>
        </w:tc>
      </w:tr>
      <w:tr w14:paraId="25C993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466" w:type="dxa"/>
            <w:vMerge w:val="continue"/>
            <w:tcBorders>
              <w:top w:val="nil"/>
              <w:left w:val="single" w:color="000000" w:sz="6" w:space="0"/>
              <w:bottom w:val="nil"/>
            </w:tcBorders>
            <w:vAlign w:val="top"/>
          </w:tcPr>
          <w:p w14:paraId="36F4276B">
            <w:pPr>
              <w:rPr>
                <w:rFonts w:ascii="Arial"/>
                <w:sz w:val="21"/>
              </w:rPr>
            </w:pPr>
          </w:p>
        </w:tc>
        <w:tc>
          <w:tcPr>
            <w:tcW w:w="1380" w:type="dxa"/>
            <w:gridSpan w:val="2"/>
            <w:tcBorders>
              <w:top w:val="single" w:color="000000" w:sz="10" w:space="0"/>
            </w:tcBorders>
            <w:vAlign w:val="top"/>
          </w:tcPr>
          <w:p w14:paraId="1770427B">
            <w:pPr>
              <w:pStyle w:val="6"/>
              <w:spacing w:before="121" w:line="228" w:lineRule="auto"/>
              <w:ind w:left="359"/>
              <w:rPr>
                <w:sz w:val="20"/>
                <w:szCs w:val="20"/>
              </w:rPr>
            </w:pPr>
            <w:r>
              <w:rPr>
                <w:spacing w:val="6"/>
                <w:sz w:val="20"/>
                <w:szCs w:val="20"/>
              </w:rPr>
              <w:t>污染工序</w:t>
            </w:r>
          </w:p>
        </w:tc>
        <w:tc>
          <w:tcPr>
            <w:tcW w:w="747" w:type="dxa"/>
            <w:tcBorders>
              <w:top w:val="single" w:color="000000" w:sz="10" w:space="0"/>
            </w:tcBorders>
            <w:vAlign w:val="top"/>
          </w:tcPr>
          <w:p w14:paraId="06526405">
            <w:pPr>
              <w:pStyle w:val="6"/>
              <w:spacing w:before="120" w:line="231" w:lineRule="auto"/>
              <w:ind w:left="232"/>
              <w:rPr>
                <w:sz w:val="20"/>
                <w:szCs w:val="20"/>
              </w:rPr>
            </w:pPr>
            <w:r>
              <w:rPr>
                <w:spacing w:val="5"/>
                <w:sz w:val="20"/>
                <w:szCs w:val="20"/>
              </w:rPr>
              <w:t>昼间</w:t>
            </w:r>
          </w:p>
        </w:tc>
        <w:tc>
          <w:tcPr>
            <w:tcW w:w="705" w:type="dxa"/>
            <w:gridSpan w:val="2"/>
            <w:tcBorders>
              <w:top w:val="single" w:color="000000" w:sz="10" w:space="0"/>
            </w:tcBorders>
            <w:vAlign w:val="top"/>
          </w:tcPr>
          <w:p w14:paraId="71416FAE">
            <w:pPr>
              <w:pStyle w:val="6"/>
              <w:spacing w:before="120" w:line="228" w:lineRule="auto"/>
              <w:ind w:left="216"/>
              <w:rPr>
                <w:sz w:val="20"/>
                <w:szCs w:val="20"/>
              </w:rPr>
            </w:pPr>
            <w:r>
              <w:rPr>
                <w:spacing w:val="3"/>
                <w:sz w:val="20"/>
                <w:szCs w:val="20"/>
              </w:rPr>
              <w:t>夜间</w:t>
            </w:r>
          </w:p>
        </w:tc>
        <w:tc>
          <w:tcPr>
            <w:tcW w:w="5685" w:type="dxa"/>
            <w:gridSpan w:val="3"/>
            <w:tcBorders>
              <w:top w:val="single" w:color="000000" w:sz="10" w:space="0"/>
              <w:right w:val="single" w:color="000000" w:sz="6" w:space="0"/>
            </w:tcBorders>
            <w:vAlign w:val="top"/>
          </w:tcPr>
          <w:p w14:paraId="162DF200">
            <w:pPr>
              <w:pStyle w:val="6"/>
              <w:spacing w:before="121" w:line="228" w:lineRule="auto"/>
              <w:ind w:left="2616"/>
              <w:rPr>
                <w:sz w:val="20"/>
                <w:szCs w:val="20"/>
              </w:rPr>
            </w:pPr>
            <w:r>
              <w:rPr>
                <w:spacing w:val="4"/>
                <w:sz w:val="20"/>
                <w:szCs w:val="20"/>
              </w:rPr>
              <w:t>标准</w:t>
            </w:r>
          </w:p>
        </w:tc>
      </w:tr>
      <w:tr w14:paraId="29EF85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466" w:type="dxa"/>
            <w:vMerge w:val="continue"/>
            <w:tcBorders>
              <w:top w:val="nil"/>
              <w:left w:val="single" w:color="000000" w:sz="6" w:space="0"/>
              <w:bottom w:val="nil"/>
            </w:tcBorders>
            <w:vAlign w:val="top"/>
          </w:tcPr>
          <w:p w14:paraId="1D91A3EB">
            <w:pPr>
              <w:rPr>
                <w:rFonts w:ascii="Arial"/>
                <w:sz w:val="21"/>
              </w:rPr>
            </w:pPr>
          </w:p>
        </w:tc>
        <w:tc>
          <w:tcPr>
            <w:tcW w:w="1380" w:type="dxa"/>
            <w:gridSpan w:val="2"/>
            <w:tcBorders>
              <w:bottom w:val="single" w:color="000000" w:sz="10" w:space="0"/>
            </w:tcBorders>
            <w:vAlign w:val="top"/>
          </w:tcPr>
          <w:p w14:paraId="1FA4EEEA">
            <w:pPr>
              <w:pStyle w:val="6"/>
              <w:spacing w:before="129" w:line="228" w:lineRule="auto"/>
              <w:ind w:left="462"/>
              <w:rPr>
                <w:sz w:val="20"/>
                <w:szCs w:val="20"/>
              </w:rPr>
            </w:pPr>
            <w:r>
              <w:rPr>
                <w:spacing w:val="7"/>
                <w:sz w:val="20"/>
                <w:szCs w:val="20"/>
              </w:rPr>
              <w:t>勘探期</w:t>
            </w:r>
          </w:p>
        </w:tc>
        <w:tc>
          <w:tcPr>
            <w:tcW w:w="747" w:type="dxa"/>
            <w:tcBorders>
              <w:bottom w:val="single" w:color="000000" w:sz="10" w:space="0"/>
            </w:tcBorders>
            <w:vAlign w:val="top"/>
          </w:tcPr>
          <w:p w14:paraId="0F8CEC84">
            <w:pPr>
              <w:spacing w:before="166"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705" w:type="dxa"/>
            <w:gridSpan w:val="2"/>
            <w:tcBorders>
              <w:bottom w:val="single" w:color="000000" w:sz="10" w:space="0"/>
            </w:tcBorders>
            <w:vAlign w:val="top"/>
          </w:tcPr>
          <w:p w14:paraId="1502B03C">
            <w:pPr>
              <w:spacing w:before="169" w:line="192" w:lineRule="auto"/>
              <w:ind w:left="320"/>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5685" w:type="dxa"/>
            <w:gridSpan w:val="3"/>
            <w:tcBorders>
              <w:bottom w:val="single" w:color="000000" w:sz="10" w:space="0"/>
              <w:right w:val="single" w:color="000000" w:sz="6" w:space="0"/>
            </w:tcBorders>
            <w:vAlign w:val="top"/>
          </w:tcPr>
          <w:p w14:paraId="57D5FA74">
            <w:pPr>
              <w:pStyle w:val="6"/>
              <w:spacing w:before="130" w:line="228" w:lineRule="auto"/>
              <w:ind w:left="706"/>
              <w:rPr>
                <w:sz w:val="20"/>
                <w:szCs w:val="20"/>
              </w:rPr>
            </w:pPr>
            <w:r>
              <w:rPr>
                <w:spacing w:val="7"/>
                <w:sz w:val="20"/>
                <w:szCs w:val="20"/>
              </w:rPr>
              <w:t>《建筑施工噪声排放标准》（</w:t>
            </w:r>
            <w:r>
              <w:rPr>
                <w:rFonts w:ascii="Times New Roman" w:hAnsi="Times New Roman" w:eastAsia="Times New Roman" w:cs="Times New Roman"/>
                <w:sz w:val="20"/>
                <w:szCs w:val="20"/>
              </w:rPr>
              <w:t>GB</w:t>
            </w:r>
            <w:r>
              <w:rPr>
                <w:rFonts w:ascii="Times New Roman" w:hAnsi="Times New Roman" w:eastAsia="Times New Roman" w:cs="Times New Roman"/>
                <w:spacing w:val="7"/>
                <w:sz w:val="20"/>
                <w:szCs w:val="20"/>
              </w:rPr>
              <w:t>12523-2025</w:t>
            </w:r>
            <w:r>
              <w:rPr>
                <w:spacing w:val="7"/>
                <w:sz w:val="20"/>
                <w:szCs w:val="20"/>
              </w:rPr>
              <w:t>）</w:t>
            </w:r>
          </w:p>
        </w:tc>
      </w:tr>
      <w:tr w14:paraId="369974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1" w:hRule="atLeast"/>
        </w:trPr>
        <w:tc>
          <w:tcPr>
            <w:tcW w:w="466" w:type="dxa"/>
            <w:vMerge w:val="continue"/>
            <w:tcBorders>
              <w:top w:val="nil"/>
              <w:left w:val="single" w:color="000000" w:sz="6" w:space="0"/>
            </w:tcBorders>
            <w:vAlign w:val="top"/>
          </w:tcPr>
          <w:p w14:paraId="0F755012">
            <w:pPr>
              <w:rPr>
                <w:rFonts w:ascii="Arial"/>
                <w:sz w:val="21"/>
              </w:rPr>
            </w:pPr>
          </w:p>
        </w:tc>
        <w:tc>
          <w:tcPr>
            <w:tcW w:w="8517" w:type="dxa"/>
            <w:gridSpan w:val="8"/>
            <w:tcBorders>
              <w:top w:val="single" w:color="000000" w:sz="10" w:space="0"/>
              <w:right w:val="single" w:color="000000" w:sz="6" w:space="0"/>
            </w:tcBorders>
            <w:vAlign w:val="top"/>
          </w:tcPr>
          <w:p w14:paraId="15CDBACE">
            <w:pPr>
              <w:pStyle w:val="6"/>
              <w:spacing w:before="38" w:line="219" w:lineRule="auto"/>
              <w:ind w:left="590"/>
            </w:pPr>
            <w:r>
              <w:rPr>
                <w:spacing w:val="-1"/>
              </w:rPr>
              <w:t>项目为油井勘探工程，不包括运营期，因此无运营期噪声污染。</w:t>
            </w:r>
          </w:p>
          <w:p w14:paraId="35FAA43E">
            <w:pPr>
              <w:pStyle w:val="6"/>
              <w:spacing w:before="182" w:line="220" w:lineRule="auto"/>
              <w:ind w:left="587"/>
            </w:pPr>
            <w:r>
              <w:rPr>
                <w:rFonts w:ascii="Times New Roman" w:hAnsi="Times New Roman" w:eastAsia="Times New Roman" w:cs="Times New Roman"/>
                <w:spacing w:val="-6"/>
              </w:rPr>
              <w:t>3</w:t>
            </w:r>
            <w:r>
              <w:rPr>
                <w:rFonts w:ascii="Times New Roman" w:hAnsi="Times New Roman" w:eastAsia="Times New Roman" w:cs="Times New Roman"/>
                <w:spacing w:val="-34"/>
              </w:rPr>
              <w:t xml:space="preserve"> </w:t>
            </w:r>
            <w:r>
              <w:rPr>
                <w:spacing w:val="-6"/>
              </w:rPr>
              <w:t>、固体废物</w:t>
            </w:r>
          </w:p>
          <w:p w14:paraId="2A1B47CD">
            <w:pPr>
              <w:pStyle w:val="6"/>
              <w:spacing w:before="180" w:line="338" w:lineRule="auto"/>
              <w:ind w:left="120" w:right="103" w:firstLine="472"/>
            </w:pPr>
            <w:r>
              <w:rPr>
                <w:spacing w:val="2"/>
              </w:rPr>
              <w:t>《一般工业固体废物贮存和填埋污染控制标准》（</w:t>
            </w:r>
            <w:r>
              <w:rPr>
                <w:rFonts w:ascii="Times New Roman" w:hAnsi="Times New Roman" w:eastAsia="Times New Roman" w:cs="Times New Roman"/>
              </w:rPr>
              <w:t>GB</w:t>
            </w:r>
            <w:r>
              <w:rPr>
                <w:rFonts w:ascii="Times New Roman" w:hAnsi="Times New Roman" w:eastAsia="Times New Roman" w:cs="Times New Roman"/>
                <w:spacing w:val="2"/>
              </w:rPr>
              <w:t>18599-2020</w:t>
            </w:r>
            <w:r>
              <w:rPr>
                <w:spacing w:val="2"/>
              </w:rPr>
              <w:t>）、《危</w:t>
            </w:r>
            <w:r>
              <w:rPr>
                <w:spacing w:val="-1"/>
              </w:rPr>
              <w:t>险废物贮存污染控制标准》（</w:t>
            </w:r>
            <w:r>
              <w:rPr>
                <w:rFonts w:ascii="Times New Roman" w:hAnsi="Times New Roman" w:eastAsia="Times New Roman" w:cs="Times New Roman"/>
                <w:spacing w:val="-1"/>
              </w:rPr>
              <w:t>GB18597-2023</w:t>
            </w:r>
            <w:r>
              <w:rPr>
                <w:spacing w:val="-1"/>
              </w:rPr>
              <w:t>）有关规定。</w:t>
            </w:r>
          </w:p>
        </w:tc>
      </w:tr>
      <w:tr w14:paraId="6E0CBD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1" w:hRule="atLeast"/>
        </w:trPr>
        <w:tc>
          <w:tcPr>
            <w:tcW w:w="466" w:type="dxa"/>
            <w:tcBorders>
              <w:left w:val="single" w:color="000000" w:sz="6" w:space="0"/>
              <w:bottom w:val="single" w:color="000000" w:sz="6" w:space="0"/>
            </w:tcBorders>
            <w:textDirection w:val="tbRlV"/>
            <w:vAlign w:val="top"/>
          </w:tcPr>
          <w:p w14:paraId="3537F33E">
            <w:pPr>
              <w:pStyle w:val="6"/>
              <w:spacing w:before="112" w:line="209" w:lineRule="auto"/>
              <w:ind w:left="204"/>
            </w:pPr>
            <w:r>
              <w:rPr>
                <w:b/>
                <w:bCs/>
                <w:spacing w:val="32"/>
              </w:rPr>
              <w:t>其他</w:t>
            </w:r>
          </w:p>
        </w:tc>
        <w:tc>
          <w:tcPr>
            <w:tcW w:w="8517" w:type="dxa"/>
            <w:gridSpan w:val="8"/>
            <w:tcBorders>
              <w:bottom w:val="single" w:color="000000" w:sz="6" w:space="0"/>
              <w:right w:val="single" w:color="000000" w:sz="6" w:space="0"/>
            </w:tcBorders>
            <w:vAlign w:val="top"/>
          </w:tcPr>
          <w:p w14:paraId="774980DE">
            <w:pPr>
              <w:pStyle w:val="6"/>
              <w:spacing w:before="49" w:line="343" w:lineRule="auto"/>
              <w:ind w:left="105" w:right="103" w:firstLine="481"/>
            </w:pPr>
            <w:r>
              <w:rPr>
                <w:spacing w:val="-3"/>
              </w:rPr>
              <w:t>本次评价仅对勘探过程中对环境的影响进行分析，不包括开采</w:t>
            </w:r>
            <w:r>
              <w:rPr>
                <w:spacing w:val="-4"/>
              </w:rPr>
              <w:t>。项目在满足</w:t>
            </w:r>
            <w:r>
              <w:rPr>
                <w:spacing w:val="-1"/>
              </w:rPr>
              <w:t>达标排放和环境功能区划达标的前提下，不核定总量指标。</w:t>
            </w:r>
          </w:p>
        </w:tc>
      </w:tr>
    </w:tbl>
    <w:p w14:paraId="31E0019F">
      <w:pPr>
        <w:rPr>
          <w:rFonts w:ascii="Arial"/>
          <w:sz w:val="21"/>
        </w:rPr>
      </w:pPr>
    </w:p>
    <w:p w14:paraId="73C1CBEB">
      <w:pPr>
        <w:rPr>
          <w:rFonts w:ascii="Arial" w:hAnsi="Arial" w:eastAsia="Arial" w:cs="Arial"/>
          <w:sz w:val="21"/>
          <w:szCs w:val="21"/>
        </w:rPr>
        <w:sectPr>
          <w:footerReference r:id="rId61" w:type="default"/>
          <w:pgSz w:w="11906" w:h="16839"/>
          <w:pgMar w:top="400" w:right="1369" w:bottom="1237" w:left="1538" w:header="0" w:footer="1078" w:gutter="0"/>
          <w:cols w:space="720" w:num="1"/>
        </w:sectPr>
      </w:pPr>
    </w:p>
    <w:p w14:paraId="35F1A4D2">
      <w:pPr>
        <w:spacing w:line="282" w:lineRule="auto"/>
        <w:rPr>
          <w:rFonts w:ascii="Arial"/>
          <w:sz w:val="21"/>
        </w:rPr>
      </w:pPr>
    </w:p>
    <w:p w14:paraId="06C70503">
      <w:pPr>
        <w:spacing w:line="282" w:lineRule="auto"/>
        <w:rPr>
          <w:rFonts w:ascii="Arial"/>
          <w:sz w:val="21"/>
        </w:rPr>
      </w:pPr>
    </w:p>
    <w:p w14:paraId="251B0FF8">
      <w:pPr>
        <w:spacing w:line="282" w:lineRule="auto"/>
        <w:rPr>
          <w:rFonts w:ascii="Arial"/>
          <w:sz w:val="21"/>
        </w:rPr>
      </w:pPr>
    </w:p>
    <w:p w14:paraId="7AB4F466">
      <w:pPr>
        <w:spacing w:line="282" w:lineRule="auto"/>
        <w:rPr>
          <w:rFonts w:ascii="Arial"/>
          <w:sz w:val="21"/>
        </w:rPr>
      </w:pPr>
    </w:p>
    <w:p w14:paraId="7E236597">
      <w:pPr>
        <w:pStyle w:val="2"/>
        <w:spacing w:before="97" w:line="212" w:lineRule="auto"/>
        <w:ind w:left="2991"/>
        <w:outlineLvl w:val="0"/>
        <w:rPr>
          <w:sz w:val="30"/>
          <w:szCs w:val="30"/>
        </w:rPr>
      </w:pPr>
      <w:bookmarkStart w:id="3" w:name="bookmark4"/>
      <w:bookmarkEnd w:id="3"/>
      <w:r>
        <w:rPr>
          <w:b/>
          <w:bCs/>
          <w:spacing w:val="-7"/>
          <w:sz w:val="30"/>
          <w:szCs w:val="30"/>
        </w:rPr>
        <w:t>四、生态环境影响分析</w:t>
      </w:r>
    </w:p>
    <w:tbl>
      <w:tblPr>
        <w:tblStyle w:val="5"/>
        <w:tblW w:w="890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5"/>
        <w:gridCol w:w="661"/>
        <w:gridCol w:w="478"/>
        <w:gridCol w:w="1190"/>
        <w:gridCol w:w="578"/>
        <w:gridCol w:w="1369"/>
        <w:gridCol w:w="1112"/>
        <w:gridCol w:w="696"/>
        <w:gridCol w:w="506"/>
        <w:gridCol w:w="1131"/>
        <w:gridCol w:w="685"/>
      </w:tblGrid>
      <w:tr w14:paraId="0991B8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3" w:hRule="atLeast"/>
        </w:trPr>
        <w:tc>
          <w:tcPr>
            <w:tcW w:w="495" w:type="dxa"/>
            <w:vMerge w:val="restart"/>
            <w:tcBorders>
              <w:top w:val="single" w:color="000000" w:sz="6" w:space="0"/>
              <w:left w:val="single" w:color="000000" w:sz="6" w:space="0"/>
              <w:bottom w:val="nil"/>
            </w:tcBorders>
            <w:textDirection w:val="tbRlV"/>
            <w:vAlign w:val="top"/>
          </w:tcPr>
          <w:p w14:paraId="0A93BC81">
            <w:pPr>
              <w:pStyle w:val="6"/>
              <w:spacing w:before="138" w:line="209" w:lineRule="auto"/>
              <w:ind w:left="4998"/>
            </w:pPr>
            <w:r>
              <w:rPr>
                <w:b/>
                <w:bCs/>
                <w:spacing w:val="-3"/>
              </w:rPr>
              <w:t>施</w:t>
            </w:r>
            <w:r>
              <w:rPr>
                <w:spacing w:val="-46"/>
              </w:rPr>
              <w:t xml:space="preserve"> </w:t>
            </w:r>
            <w:r>
              <w:rPr>
                <w:b/>
                <w:bCs/>
                <w:spacing w:val="-3"/>
              </w:rPr>
              <w:t>工</w:t>
            </w:r>
            <w:r>
              <w:rPr>
                <w:spacing w:val="-51"/>
              </w:rPr>
              <w:t xml:space="preserve"> </w:t>
            </w:r>
            <w:r>
              <w:rPr>
                <w:b/>
                <w:bCs/>
                <w:spacing w:val="-3"/>
              </w:rPr>
              <w:t>期</w:t>
            </w:r>
            <w:r>
              <w:rPr>
                <w:spacing w:val="-47"/>
              </w:rPr>
              <w:t xml:space="preserve"> </w:t>
            </w:r>
            <w:r>
              <w:rPr>
                <w:b/>
                <w:bCs/>
                <w:spacing w:val="-3"/>
              </w:rPr>
              <w:t>生</w:t>
            </w:r>
            <w:r>
              <w:rPr>
                <w:spacing w:val="-48"/>
              </w:rPr>
              <w:t xml:space="preserve"> </w:t>
            </w:r>
            <w:r>
              <w:rPr>
                <w:b/>
                <w:bCs/>
                <w:spacing w:val="-3"/>
              </w:rPr>
              <w:t>态</w:t>
            </w:r>
            <w:r>
              <w:rPr>
                <w:spacing w:val="-48"/>
              </w:rPr>
              <w:t xml:space="preserve"> </w:t>
            </w:r>
            <w:r>
              <w:rPr>
                <w:b/>
                <w:bCs/>
                <w:spacing w:val="-3"/>
              </w:rPr>
              <w:t>环</w:t>
            </w:r>
            <w:r>
              <w:rPr>
                <w:spacing w:val="-50"/>
              </w:rPr>
              <w:t xml:space="preserve"> </w:t>
            </w:r>
            <w:r>
              <w:rPr>
                <w:b/>
                <w:bCs/>
                <w:spacing w:val="-3"/>
              </w:rPr>
              <w:t>境</w:t>
            </w:r>
            <w:r>
              <w:rPr>
                <w:spacing w:val="-48"/>
              </w:rPr>
              <w:t xml:space="preserve"> </w:t>
            </w:r>
            <w:r>
              <w:rPr>
                <w:b/>
                <w:bCs/>
                <w:spacing w:val="-3"/>
              </w:rPr>
              <w:t>影</w:t>
            </w:r>
            <w:r>
              <w:rPr>
                <w:spacing w:val="-47"/>
              </w:rPr>
              <w:t xml:space="preserve"> </w:t>
            </w:r>
            <w:r>
              <w:rPr>
                <w:b/>
                <w:bCs/>
                <w:spacing w:val="-3"/>
              </w:rPr>
              <w:t>响</w:t>
            </w:r>
            <w:r>
              <w:rPr>
                <w:spacing w:val="-51"/>
              </w:rPr>
              <w:t xml:space="preserve"> </w:t>
            </w:r>
            <w:r>
              <w:rPr>
                <w:b/>
                <w:bCs/>
                <w:spacing w:val="-3"/>
              </w:rPr>
              <w:t>分</w:t>
            </w:r>
            <w:r>
              <w:rPr>
                <w:spacing w:val="-47"/>
              </w:rPr>
              <w:t xml:space="preserve"> </w:t>
            </w:r>
            <w:r>
              <w:rPr>
                <w:b/>
                <w:bCs/>
                <w:spacing w:val="-3"/>
              </w:rPr>
              <w:t>析</w:t>
            </w:r>
          </w:p>
        </w:tc>
        <w:tc>
          <w:tcPr>
            <w:tcW w:w="8406" w:type="dxa"/>
            <w:gridSpan w:val="10"/>
            <w:tcBorders>
              <w:top w:val="single" w:color="000000" w:sz="6" w:space="0"/>
              <w:bottom w:val="single" w:color="000000" w:sz="10" w:space="0"/>
              <w:right w:val="single" w:color="000000" w:sz="6" w:space="0"/>
            </w:tcBorders>
            <w:vAlign w:val="top"/>
          </w:tcPr>
          <w:p w14:paraId="3AF87A4F">
            <w:pPr>
              <w:pStyle w:val="6"/>
              <w:spacing w:before="39" w:line="359" w:lineRule="auto"/>
              <w:ind w:left="108" w:right="140" w:firstLine="483"/>
            </w:pPr>
            <w:r>
              <w:rPr>
                <w:spacing w:val="-1"/>
              </w:rPr>
              <w:t>项目施工期可能产生生态破坏和环境影响的主要环节、因素、影响对象、途径、性质及影响范围和影响程度见下表。</w:t>
            </w:r>
          </w:p>
          <w:p w14:paraId="0630CE6E">
            <w:pPr>
              <w:spacing w:line="215" w:lineRule="auto"/>
              <w:ind w:left="2068"/>
              <w:rPr>
                <w:rFonts w:ascii="黑体" w:hAnsi="黑体" w:eastAsia="黑体" w:cs="黑体"/>
                <w:sz w:val="24"/>
                <w:szCs w:val="24"/>
              </w:rPr>
            </w:pPr>
            <w:r>
              <w:rPr>
                <w:rFonts w:ascii="黑体" w:hAnsi="黑体" w:eastAsia="黑体" w:cs="黑体"/>
                <w:spacing w:val="-2"/>
                <w:sz w:val="24"/>
                <w:szCs w:val="24"/>
              </w:rPr>
              <w:t>表</w:t>
            </w:r>
            <w:r>
              <w:rPr>
                <w:rFonts w:ascii="Times New Roman" w:hAnsi="Times New Roman" w:eastAsia="Times New Roman" w:cs="Times New Roman"/>
                <w:spacing w:val="-2"/>
                <w:sz w:val="24"/>
                <w:szCs w:val="24"/>
              </w:rPr>
              <w:t>4-</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2"/>
                <w:sz w:val="24"/>
                <w:szCs w:val="24"/>
              </w:rPr>
              <w:t xml:space="preserve">1  </w:t>
            </w:r>
            <w:r>
              <w:rPr>
                <w:rFonts w:ascii="黑体" w:hAnsi="黑体" w:eastAsia="黑体" w:cs="黑体"/>
                <w:spacing w:val="-2"/>
                <w:sz w:val="24"/>
                <w:szCs w:val="24"/>
              </w:rPr>
              <w:t>施工期生态破坏和环境影响一览表</w:t>
            </w:r>
          </w:p>
        </w:tc>
      </w:tr>
      <w:tr w14:paraId="542AFE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495" w:type="dxa"/>
            <w:vMerge w:val="continue"/>
            <w:tcBorders>
              <w:top w:val="nil"/>
              <w:left w:val="single" w:color="000000" w:sz="6" w:space="0"/>
              <w:bottom w:val="nil"/>
            </w:tcBorders>
            <w:textDirection w:val="tbRlV"/>
            <w:vAlign w:val="top"/>
          </w:tcPr>
          <w:p w14:paraId="4F4F3E66">
            <w:pPr>
              <w:rPr>
                <w:rFonts w:ascii="Arial"/>
                <w:sz w:val="21"/>
              </w:rPr>
            </w:pPr>
          </w:p>
        </w:tc>
        <w:tc>
          <w:tcPr>
            <w:tcW w:w="661" w:type="dxa"/>
            <w:tcBorders>
              <w:top w:val="single" w:color="000000" w:sz="10" w:space="0"/>
            </w:tcBorders>
            <w:vAlign w:val="top"/>
          </w:tcPr>
          <w:p w14:paraId="609C70CC">
            <w:pPr>
              <w:pStyle w:val="6"/>
              <w:spacing w:before="158" w:line="229" w:lineRule="auto"/>
              <w:ind w:left="179"/>
              <w:rPr>
                <w:sz w:val="20"/>
                <w:szCs w:val="20"/>
              </w:rPr>
            </w:pPr>
            <w:r>
              <w:rPr>
                <w:sz w:val="20"/>
                <w:szCs w:val="20"/>
              </w:rPr>
              <w:t>阶段</w:t>
            </w:r>
          </w:p>
        </w:tc>
        <w:tc>
          <w:tcPr>
            <w:tcW w:w="478" w:type="dxa"/>
            <w:tcBorders>
              <w:top w:val="single" w:color="000000" w:sz="10" w:space="0"/>
            </w:tcBorders>
            <w:vAlign w:val="top"/>
          </w:tcPr>
          <w:p w14:paraId="70CC6CF8">
            <w:pPr>
              <w:pStyle w:val="6"/>
              <w:spacing w:before="157" w:line="228" w:lineRule="auto"/>
              <w:ind w:left="27"/>
              <w:rPr>
                <w:sz w:val="20"/>
                <w:szCs w:val="20"/>
              </w:rPr>
            </w:pPr>
            <w:r>
              <w:rPr>
                <w:spacing w:val="4"/>
                <w:sz w:val="20"/>
                <w:szCs w:val="20"/>
              </w:rPr>
              <w:t>类别</w:t>
            </w:r>
          </w:p>
        </w:tc>
        <w:tc>
          <w:tcPr>
            <w:tcW w:w="1190" w:type="dxa"/>
            <w:tcBorders>
              <w:top w:val="single" w:color="000000" w:sz="10" w:space="0"/>
            </w:tcBorders>
            <w:vAlign w:val="top"/>
          </w:tcPr>
          <w:p w14:paraId="1C1C16DB">
            <w:pPr>
              <w:pStyle w:val="6"/>
              <w:spacing w:before="158" w:line="228" w:lineRule="auto"/>
              <w:ind w:left="177"/>
              <w:rPr>
                <w:sz w:val="20"/>
                <w:szCs w:val="20"/>
              </w:rPr>
            </w:pPr>
            <w:r>
              <w:rPr>
                <w:spacing w:val="6"/>
                <w:sz w:val="20"/>
                <w:szCs w:val="20"/>
              </w:rPr>
              <w:t>污染环节</w:t>
            </w:r>
          </w:p>
        </w:tc>
        <w:tc>
          <w:tcPr>
            <w:tcW w:w="1947" w:type="dxa"/>
            <w:gridSpan w:val="2"/>
            <w:tcBorders>
              <w:top w:val="single" w:color="000000" w:sz="10" w:space="0"/>
            </w:tcBorders>
            <w:vAlign w:val="top"/>
          </w:tcPr>
          <w:p w14:paraId="193B6EDA">
            <w:pPr>
              <w:pStyle w:val="6"/>
              <w:spacing w:before="157" w:line="228" w:lineRule="auto"/>
              <w:ind w:left="559"/>
              <w:rPr>
                <w:sz w:val="20"/>
                <w:szCs w:val="20"/>
              </w:rPr>
            </w:pPr>
            <w:r>
              <w:rPr>
                <w:spacing w:val="6"/>
                <w:sz w:val="20"/>
                <w:szCs w:val="20"/>
              </w:rPr>
              <w:t>污染因素</w:t>
            </w:r>
          </w:p>
        </w:tc>
        <w:tc>
          <w:tcPr>
            <w:tcW w:w="1112" w:type="dxa"/>
            <w:tcBorders>
              <w:top w:val="single" w:color="000000" w:sz="10" w:space="0"/>
            </w:tcBorders>
            <w:vAlign w:val="top"/>
          </w:tcPr>
          <w:p w14:paraId="4F668033">
            <w:pPr>
              <w:pStyle w:val="6"/>
              <w:spacing w:before="157" w:line="228" w:lineRule="auto"/>
              <w:ind w:left="142"/>
              <w:rPr>
                <w:sz w:val="20"/>
                <w:szCs w:val="20"/>
              </w:rPr>
            </w:pPr>
            <w:r>
              <w:rPr>
                <w:spacing w:val="7"/>
                <w:sz w:val="20"/>
                <w:szCs w:val="20"/>
              </w:rPr>
              <w:t>影响对象</w:t>
            </w:r>
          </w:p>
        </w:tc>
        <w:tc>
          <w:tcPr>
            <w:tcW w:w="696" w:type="dxa"/>
            <w:tcBorders>
              <w:top w:val="single" w:color="000000" w:sz="10" w:space="0"/>
            </w:tcBorders>
            <w:vAlign w:val="top"/>
          </w:tcPr>
          <w:p w14:paraId="227312F8">
            <w:pPr>
              <w:pStyle w:val="6"/>
              <w:spacing w:before="22" w:line="234" w:lineRule="auto"/>
              <w:ind w:left="251" w:right="29" w:hanging="211"/>
              <w:rPr>
                <w:sz w:val="20"/>
                <w:szCs w:val="20"/>
              </w:rPr>
            </w:pPr>
            <w:r>
              <w:rPr>
                <w:spacing w:val="6"/>
                <w:sz w:val="20"/>
                <w:szCs w:val="20"/>
              </w:rPr>
              <w:t>影响途</w:t>
            </w:r>
            <w:r>
              <w:rPr>
                <w:sz w:val="20"/>
                <w:szCs w:val="20"/>
              </w:rPr>
              <w:t>径</w:t>
            </w:r>
          </w:p>
        </w:tc>
        <w:tc>
          <w:tcPr>
            <w:tcW w:w="506" w:type="dxa"/>
            <w:tcBorders>
              <w:top w:val="single" w:color="000000" w:sz="10" w:space="0"/>
            </w:tcBorders>
            <w:vAlign w:val="top"/>
          </w:tcPr>
          <w:p w14:paraId="60B4124D">
            <w:pPr>
              <w:pStyle w:val="6"/>
              <w:spacing w:before="23" w:line="230" w:lineRule="auto"/>
              <w:ind w:left="52"/>
              <w:rPr>
                <w:sz w:val="20"/>
                <w:szCs w:val="20"/>
              </w:rPr>
            </w:pPr>
            <w:r>
              <w:rPr>
                <w:spacing w:val="4"/>
                <w:sz w:val="20"/>
                <w:szCs w:val="20"/>
              </w:rPr>
              <w:t>影响</w:t>
            </w:r>
          </w:p>
          <w:p w14:paraId="705F9D3E">
            <w:pPr>
              <w:pStyle w:val="6"/>
              <w:spacing w:before="22" w:line="217" w:lineRule="auto"/>
              <w:ind w:left="55"/>
              <w:rPr>
                <w:sz w:val="20"/>
                <w:szCs w:val="20"/>
              </w:rPr>
            </w:pPr>
            <w:r>
              <w:rPr>
                <w:spacing w:val="3"/>
                <w:sz w:val="20"/>
                <w:szCs w:val="20"/>
              </w:rPr>
              <w:t>性质</w:t>
            </w:r>
          </w:p>
        </w:tc>
        <w:tc>
          <w:tcPr>
            <w:tcW w:w="1131" w:type="dxa"/>
            <w:tcBorders>
              <w:top w:val="single" w:color="000000" w:sz="10" w:space="0"/>
            </w:tcBorders>
            <w:vAlign w:val="top"/>
          </w:tcPr>
          <w:p w14:paraId="0040B0BB">
            <w:pPr>
              <w:pStyle w:val="6"/>
              <w:spacing w:before="158" w:line="228" w:lineRule="auto"/>
              <w:ind w:left="156"/>
              <w:rPr>
                <w:sz w:val="20"/>
                <w:szCs w:val="20"/>
              </w:rPr>
            </w:pPr>
            <w:r>
              <w:rPr>
                <w:spacing w:val="7"/>
                <w:sz w:val="20"/>
                <w:szCs w:val="20"/>
              </w:rPr>
              <w:t>影响范围</w:t>
            </w:r>
          </w:p>
        </w:tc>
        <w:tc>
          <w:tcPr>
            <w:tcW w:w="685" w:type="dxa"/>
            <w:tcBorders>
              <w:top w:val="single" w:color="000000" w:sz="10" w:space="0"/>
              <w:right w:val="single" w:color="000000" w:sz="6" w:space="0"/>
            </w:tcBorders>
            <w:vAlign w:val="top"/>
          </w:tcPr>
          <w:p w14:paraId="22518053">
            <w:pPr>
              <w:pStyle w:val="6"/>
              <w:spacing w:before="23" w:line="230" w:lineRule="auto"/>
              <w:ind w:left="88"/>
              <w:rPr>
                <w:sz w:val="20"/>
                <w:szCs w:val="20"/>
              </w:rPr>
            </w:pPr>
            <w:r>
              <w:rPr>
                <w:spacing w:val="4"/>
                <w:sz w:val="20"/>
                <w:szCs w:val="20"/>
              </w:rPr>
              <w:t>影响</w:t>
            </w:r>
          </w:p>
          <w:p w14:paraId="357D3087">
            <w:pPr>
              <w:pStyle w:val="6"/>
              <w:spacing w:before="22" w:line="217" w:lineRule="auto"/>
              <w:ind w:left="87"/>
              <w:rPr>
                <w:sz w:val="20"/>
                <w:szCs w:val="20"/>
              </w:rPr>
            </w:pPr>
            <w:r>
              <w:rPr>
                <w:spacing w:val="5"/>
                <w:sz w:val="20"/>
                <w:szCs w:val="20"/>
              </w:rPr>
              <w:t>程度</w:t>
            </w:r>
          </w:p>
        </w:tc>
      </w:tr>
      <w:tr w14:paraId="76C320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495" w:type="dxa"/>
            <w:vMerge w:val="continue"/>
            <w:tcBorders>
              <w:top w:val="nil"/>
              <w:left w:val="single" w:color="000000" w:sz="6" w:space="0"/>
              <w:bottom w:val="nil"/>
            </w:tcBorders>
            <w:textDirection w:val="tbRlV"/>
            <w:vAlign w:val="top"/>
          </w:tcPr>
          <w:p w14:paraId="0FC8DF6E">
            <w:pPr>
              <w:rPr>
                <w:rFonts w:ascii="Arial"/>
                <w:sz w:val="21"/>
              </w:rPr>
            </w:pPr>
          </w:p>
        </w:tc>
        <w:tc>
          <w:tcPr>
            <w:tcW w:w="661" w:type="dxa"/>
            <w:vMerge w:val="restart"/>
            <w:tcBorders>
              <w:bottom w:val="nil"/>
            </w:tcBorders>
            <w:vAlign w:val="top"/>
          </w:tcPr>
          <w:p w14:paraId="07356984">
            <w:pPr>
              <w:spacing w:line="274" w:lineRule="auto"/>
              <w:rPr>
                <w:rFonts w:ascii="Arial"/>
                <w:sz w:val="21"/>
              </w:rPr>
            </w:pPr>
          </w:p>
          <w:p w14:paraId="22336EAA">
            <w:pPr>
              <w:spacing w:line="274" w:lineRule="auto"/>
              <w:rPr>
                <w:rFonts w:ascii="Arial"/>
                <w:sz w:val="21"/>
              </w:rPr>
            </w:pPr>
          </w:p>
          <w:p w14:paraId="53AE5DCC">
            <w:pPr>
              <w:spacing w:line="274" w:lineRule="auto"/>
              <w:rPr>
                <w:rFonts w:ascii="Arial"/>
                <w:sz w:val="21"/>
              </w:rPr>
            </w:pPr>
          </w:p>
          <w:p w14:paraId="3B01CE45">
            <w:pPr>
              <w:spacing w:line="275" w:lineRule="auto"/>
              <w:rPr>
                <w:rFonts w:ascii="Arial"/>
                <w:sz w:val="21"/>
              </w:rPr>
            </w:pPr>
          </w:p>
          <w:p w14:paraId="305CC72A">
            <w:pPr>
              <w:pStyle w:val="6"/>
              <w:spacing w:before="65" w:line="254" w:lineRule="auto"/>
              <w:ind w:left="172" w:right="76" w:hanging="2"/>
              <w:rPr>
                <w:sz w:val="20"/>
                <w:szCs w:val="20"/>
              </w:rPr>
            </w:pPr>
            <w:r>
              <w:rPr>
                <w:spacing w:val="4"/>
                <w:sz w:val="20"/>
                <w:szCs w:val="20"/>
              </w:rPr>
              <w:t>钻前</w:t>
            </w:r>
            <w:r>
              <w:rPr>
                <w:spacing w:val="3"/>
                <w:sz w:val="20"/>
                <w:szCs w:val="20"/>
              </w:rPr>
              <w:t>工程</w:t>
            </w:r>
          </w:p>
        </w:tc>
        <w:tc>
          <w:tcPr>
            <w:tcW w:w="478" w:type="dxa"/>
            <w:vAlign w:val="top"/>
          </w:tcPr>
          <w:p w14:paraId="77560A8F">
            <w:pPr>
              <w:pStyle w:val="6"/>
              <w:spacing w:before="133" w:line="225" w:lineRule="auto"/>
              <w:ind w:left="27" w:right="35" w:firstLine="1"/>
              <w:rPr>
                <w:sz w:val="20"/>
                <w:szCs w:val="20"/>
              </w:rPr>
            </w:pPr>
            <w:r>
              <w:rPr>
                <w:spacing w:val="3"/>
                <w:sz w:val="20"/>
                <w:szCs w:val="20"/>
              </w:rPr>
              <w:t>生态</w:t>
            </w:r>
            <w:r>
              <w:rPr>
                <w:spacing w:val="4"/>
                <w:sz w:val="20"/>
                <w:szCs w:val="20"/>
              </w:rPr>
              <w:t>环境</w:t>
            </w:r>
          </w:p>
        </w:tc>
        <w:tc>
          <w:tcPr>
            <w:tcW w:w="1190" w:type="dxa"/>
            <w:vAlign w:val="top"/>
          </w:tcPr>
          <w:p w14:paraId="143813BA">
            <w:pPr>
              <w:pStyle w:val="6"/>
              <w:spacing w:before="13" w:line="222" w:lineRule="auto"/>
              <w:ind w:left="27" w:right="6" w:firstLine="1"/>
              <w:rPr>
                <w:sz w:val="20"/>
                <w:szCs w:val="20"/>
              </w:rPr>
            </w:pPr>
            <w:r>
              <w:rPr>
                <w:spacing w:val="-9"/>
                <w:sz w:val="20"/>
                <w:szCs w:val="20"/>
              </w:rPr>
              <w:t>工程占地、土石方开发、活</w:t>
            </w:r>
          </w:p>
          <w:p w14:paraId="2DAED8DF">
            <w:pPr>
              <w:pStyle w:val="6"/>
              <w:spacing w:line="203" w:lineRule="auto"/>
              <w:ind w:left="217"/>
              <w:rPr>
                <w:sz w:val="20"/>
                <w:szCs w:val="20"/>
              </w:rPr>
            </w:pPr>
            <w:r>
              <w:rPr>
                <w:spacing w:val="-6"/>
                <w:sz w:val="20"/>
                <w:szCs w:val="20"/>
              </w:rPr>
              <w:t>动干扰等</w:t>
            </w:r>
          </w:p>
        </w:tc>
        <w:tc>
          <w:tcPr>
            <w:tcW w:w="1947" w:type="dxa"/>
            <w:gridSpan w:val="2"/>
            <w:vAlign w:val="top"/>
          </w:tcPr>
          <w:p w14:paraId="6E567A82">
            <w:pPr>
              <w:pStyle w:val="6"/>
              <w:spacing w:before="133" w:line="222" w:lineRule="auto"/>
              <w:ind w:left="33"/>
              <w:rPr>
                <w:sz w:val="20"/>
                <w:szCs w:val="20"/>
              </w:rPr>
            </w:pPr>
            <w:r>
              <w:rPr>
                <w:spacing w:val="8"/>
                <w:sz w:val="20"/>
                <w:szCs w:val="20"/>
              </w:rPr>
              <w:t>植被减少、水土流失</w:t>
            </w:r>
          </w:p>
          <w:p w14:paraId="3B06F2A1">
            <w:pPr>
              <w:pStyle w:val="6"/>
              <w:spacing w:line="227" w:lineRule="auto"/>
              <w:ind w:left="874"/>
              <w:rPr>
                <w:sz w:val="20"/>
                <w:szCs w:val="20"/>
              </w:rPr>
            </w:pPr>
            <w:r>
              <w:rPr>
                <w:sz w:val="20"/>
                <w:szCs w:val="20"/>
              </w:rPr>
              <w:t>等</w:t>
            </w:r>
          </w:p>
        </w:tc>
        <w:tc>
          <w:tcPr>
            <w:tcW w:w="1112" w:type="dxa"/>
            <w:vAlign w:val="top"/>
          </w:tcPr>
          <w:p w14:paraId="400B84C7">
            <w:pPr>
              <w:pStyle w:val="6"/>
              <w:spacing w:before="13" w:line="222" w:lineRule="auto"/>
              <w:ind w:left="36"/>
              <w:rPr>
                <w:sz w:val="20"/>
                <w:szCs w:val="20"/>
              </w:rPr>
            </w:pPr>
            <w:r>
              <w:rPr>
                <w:spacing w:val="5"/>
                <w:sz w:val="20"/>
                <w:szCs w:val="20"/>
              </w:rPr>
              <w:t>地表结构、</w:t>
            </w:r>
          </w:p>
          <w:p w14:paraId="57809A12">
            <w:pPr>
              <w:pStyle w:val="6"/>
              <w:spacing w:line="212" w:lineRule="auto"/>
              <w:ind w:left="353" w:right="29" w:hanging="316"/>
              <w:rPr>
                <w:sz w:val="20"/>
                <w:szCs w:val="20"/>
              </w:rPr>
            </w:pPr>
            <w:r>
              <w:rPr>
                <w:spacing w:val="7"/>
                <w:sz w:val="20"/>
                <w:szCs w:val="20"/>
              </w:rPr>
              <w:t>动植物、生</w:t>
            </w:r>
            <w:r>
              <w:rPr>
                <w:spacing w:val="4"/>
                <w:sz w:val="20"/>
                <w:szCs w:val="20"/>
              </w:rPr>
              <w:t>境等</w:t>
            </w:r>
          </w:p>
        </w:tc>
        <w:tc>
          <w:tcPr>
            <w:tcW w:w="696" w:type="dxa"/>
            <w:vAlign w:val="top"/>
          </w:tcPr>
          <w:p w14:paraId="1A2FEC26">
            <w:pPr>
              <w:pStyle w:val="6"/>
              <w:spacing w:before="13" w:line="222" w:lineRule="auto"/>
              <w:ind w:left="43"/>
              <w:rPr>
                <w:sz w:val="20"/>
                <w:szCs w:val="20"/>
              </w:rPr>
            </w:pPr>
            <w:r>
              <w:rPr>
                <w:spacing w:val="2"/>
                <w:sz w:val="20"/>
                <w:szCs w:val="20"/>
              </w:rPr>
              <w:t>剥离、</w:t>
            </w:r>
          </w:p>
          <w:p w14:paraId="30CFD86F">
            <w:pPr>
              <w:pStyle w:val="6"/>
              <w:spacing w:line="212" w:lineRule="auto"/>
              <w:ind w:left="146" w:right="64" w:hanging="105"/>
              <w:rPr>
                <w:sz w:val="20"/>
                <w:szCs w:val="20"/>
              </w:rPr>
            </w:pPr>
            <w:r>
              <w:rPr>
                <w:spacing w:val="-5"/>
                <w:sz w:val="20"/>
                <w:szCs w:val="20"/>
              </w:rPr>
              <w:t>开挖、</w:t>
            </w:r>
            <w:r>
              <w:rPr>
                <w:spacing w:val="4"/>
                <w:sz w:val="20"/>
                <w:szCs w:val="20"/>
              </w:rPr>
              <w:t>压占</w:t>
            </w:r>
          </w:p>
        </w:tc>
        <w:tc>
          <w:tcPr>
            <w:tcW w:w="506" w:type="dxa"/>
            <w:vAlign w:val="top"/>
          </w:tcPr>
          <w:p w14:paraId="5C9EC7E6">
            <w:pPr>
              <w:pStyle w:val="6"/>
              <w:spacing w:before="134" w:line="226" w:lineRule="auto"/>
              <w:ind w:left="54" w:right="38"/>
              <w:rPr>
                <w:sz w:val="20"/>
                <w:szCs w:val="20"/>
              </w:rPr>
            </w:pPr>
            <w:r>
              <w:rPr>
                <w:spacing w:val="3"/>
                <w:sz w:val="20"/>
                <w:szCs w:val="20"/>
              </w:rPr>
              <w:t>短期可逆</w:t>
            </w:r>
          </w:p>
        </w:tc>
        <w:tc>
          <w:tcPr>
            <w:tcW w:w="1131" w:type="dxa"/>
            <w:vAlign w:val="top"/>
          </w:tcPr>
          <w:p w14:paraId="3192FF58">
            <w:pPr>
              <w:pStyle w:val="6"/>
              <w:spacing w:before="254" w:line="228" w:lineRule="auto"/>
              <w:ind w:left="156"/>
              <w:rPr>
                <w:sz w:val="20"/>
                <w:szCs w:val="20"/>
              </w:rPr>
            </w:pPr>
            <w:r>
              <w:rPr>
                <w:spacing w:val="7"/>
                <w:sz w:val="20"/>
                <w:szCs w:val="20"/>
              </w:rPr>
              <w:t>井场范围</w:t>
            </w:r>
          </w:p>
        </w:tc>
        <w:tc>
          <w:tcPr>
            <w:tcW w:w="685" w:type="dxa"/>
            <w:tcBorders>
              <w:right w:val="single" w:color="000000" w:sz="6" w:space="0"/>
            </w:tcBorders>
            <w:vAlign w:val="top"/>
          </w:tcPr>
          <w:p w14:paraId="31106532">
            <w:pPr>
              <w:pStyle w:val="6"/>
              <w:spacing w:before="254" w:line="229" w:lineRule="auto"/>
              <w:ind w:left="197"/>
              <w:rPr>
                <w:sz w:val="20"/>
                <w:szCs w:val="20"/>
              </w:rPr>
            </w:pPr>
            <w:r>
              <w:rPr>
                <w:sz w:val="20"/>
                <w:szCs w:val="20"/>
              </w:rPr>
              <w:t>弱</w:t>
            </w:r>
          </w:p>
        </w:tc>
      </w:tr>
      <w:tr w14:paraId="620B61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495" w:type="dxa"/>
            <w:vMerge w:val="continue"/>
            <w:tcBorders>
              <w:top w:val="nil"/>
              <w:left w:val="single" w:color="000000" w:sz="6" w:space="0"/>
              <w:bottom w:val="nil"/>
            </w:tcBorders>
            <w:textDirection w:val="tbRlV"/>
            <w:vAlign w:val="top"/>
          </w:tcPr>
          <w:p w14:paraId="46CD662E">
            <w:pPr>
              <w:rPr>
                <w:rFonts w:ascii="Arial"/>
                <w:sz w:val="21"/>
              </w:rPr>
            </w:pPr>
          </w:p>
        </w:tc>
        <w:tc>
          <w:tcPr>
            <w:tcW w:w="661" w:type="dxa"/>
            <w:vMerge w:val="continue"/>
            <w:tcBorders>
              <w:top w:val="nil"/>
              <w:bottom w:val="nil"/>
            </w:tcBorders>
            <w:vAlign w:val="top"/>
          </w:tcPr>
          <w:p w14:paraId="44AC5822">
            <w:pPr>
              <w:rPr>
                <w:rFonts w:ascii="Arial"/>
                <w:sz w:val="21"/>
              </w:rPr>
            </w:pPr>
          </w:p>
        </w:tc>
        <w:tc>
          <w:tcPr>
            <w:tcW w:w="478" w:type="dxa"/>
            <w:vAlign w:val="top"/>
          </w:tcPr>
          <w:p w14:paraId="50A9F12D">
            <w:pPr>
              <w:pStyle w:val="6"/>
              <w:spacing w:before="168" w:line="228" w:lineRule="auto"/>
              <w:ind w:left="43"/>
              <w:rPr>
                <w:sz w:val="20"/>
                <w:szCs w:val="20"/>
              </w:rPr>
            </w:pPr>
            <w:r>
              <w:rPr>
                <w:sz w:val="20"/>
                <w:szCs w:val="20"/>
              </w:rPr>
              <w:t>废气</w:t>
            </w:r>
          </w:p>
        </w:tc>
        <w:tc>
          <w:tcPr>
            <w:tcW w:w="1190" w:type="dxa"/>
            <w:vAlign w:val="top"/>
          </w:tcPr>
          <w:p w14:paraId="66C58FDD">
            <w:pPr>
              <w:pStyle w:val="6"/>
              <w:spacing w:before="33" w:line="233" w:lineRule="auto"/>
              <w:ind w:left="175" w:right="6" w:hanging="171"/>
              <w:rPr>
                <w:sz w:val="20"/>
                <w:szCs w:val="20"/>
              </w:rPr>
            </w:pPr>
            <w:r>
              <w:rPr>
                <w:spacing w:val="-5"/>
                <w:sz w:val="20"/>
                <w:szCs w:val="20"/>
              </w:rPr>
              <w:t>表土剥离、场</w:t>
            </w:r>
            <w:r>
              <w:rPr>
                <w:spacing w:val="7"/>
                <w:sz w:val="20"/>
                <w:szCs w:val="20"/>
              </w:rPr>
              <w:t>地平整等</w:t>
            </w:r>
          </w:p>
        </w:tc>
        <w:tc>
          <w:tcPr>
            <w:tcW w:w="578" w:type="dxa"/>
            <w:vAlign w:val="top"/>
          </w:tcPr>
          <w:p w14:paraId="40028397">
            <w:pPr>
              <w:pStyle w:val="6"/>
              <w:spacing w:before="33" w:line="231" w:lineRule="auto"/>
              <w:ind w:left="81"/>
              <w:rPr>
                <w:sz w:val="20"/>
                <w:szCs w:val="20"/>
              </w:rPr>
            </w:pPr>
            <w:r>
              <w:rPr>
                <w:spacing w:val="5"/>
                <w:sz w:val="20"/>
                <w:szCs w:val="20"/>
              </w:rPr>
              <w:t>施工</w:t>
            </w:r>
          </w:p>
          <w:p w14:paraId="48735F4E">
            <w:pPr>
              <w:pStyle w:val="6"/>
              <w:spacing w:before="21" w:line="215" w:lineRule="auto"/>
              <w:ind w:left="81"/>
              <w:rPr>
                <w:sz w:val="20"/>
                <w:szCs w:val="20"/>
              </w:rPr>
            </w:pPr>
            <w:r>
              <w:rPr>
                <w:spacing w:val="5"/>
                <w:sz w:val="20"/>
                <w:szCs w:val="20"/>
              </w:rPr>
              <w:t>扬尘</w:t>
            </w:r>
          </w:p>
        </w:tc>
        <w:tc>
          <w:tcPr>
            <w:tcW w:w="1369" w:type="dxa"/>
            <w:vAlign w:val="top"/>
          </w:tcPr>
          <w:p w14:paraId="58AFEA2C">
            <w:pPr>
              <w:pStyle w:val="6"/>
              <w:spacing w:before="168" w:line="228" w:lineRule="auto"/>
              <w:ind w:left="372"/>
              <w:rPr>
                <w:sz w:val="20"/>
                <w:szCs w:val="20"/>
              </w:rPr>
            </w:pPr>
            <w:r>
              <w:rPr>
                <w:spacing w:val="7"/>
                <w:sz w:val="20"/>
                <w:szCs w:val="20"/>
              </w:rPr>
              <w:t>颗粒物</w:t>
            </w:r>
          </w:p>
        </w:tc>
        <w:tc>
          <w:tcPr>
            <w:tcW w:w="1112" w:type="dxa"/>
            <w:vAlign w:val="top"/>
          </w:tcPr>
          <w:p w14:paraId="6395E229">
            <w:pPr>
              <w:pStyle w:val="6"/>
              <w:spacing w:before="168" w:line="228" w:lineRule="auto"/>
              <w:ind w:left="144"/>
              <w:rPr>
                <w:sz w:val="20"/>
                <w:szCs w:val="20"/>
              </w:rPr>
            </w:pPr>
            <w:r>
              <w:rPr>
                <w:spacing w:val="6"/>
                <w:sz w:val="20"/>
                <w:szCs w:val="20"/>
              </w:rPr>
              <w:t>大气环境</w:t>
            </w:r>
          </w:p>
        </w:tc>
        <w:tc>
          <w:tcPr>
            <w:tcW w:w="696" w:type="dxa"/>
            <w:vAlign w:val="top"/>
          </w:tcPr>
          <w:p w14:paraId="68F2EF45">
            <w:pPr>
              <w:pStyle w:val="6"/>
              <w:spacing w:before="33" w:line="233" w:lineRule="auto"/>
              <w:ind w:left="145" w:right="29" w:hanging="103"/>
              <w:rPr>
                <w:sz w:val="20"/>
                <w:szCs w:val="20"/>
              </w:rPr>
            </w:pPr>
            <w:r>
              <w:rPr>
                <w:spacing w:val="6"/>
                <w:sz w:val="20"/>
                <w:szCs w:val="20"/>
              </w:rPr>
              <w:t>污染物</w:t>
            </w:r>
            <w:r>
              <w:rPr>
                <w:spacing w:val="4"/>
                <w:sz w:val="20"/>
                <w:szCs w:val="20"/>
              </w:rPr>
              <w:t>扩散</w:t>
            </w:r>
          </w:p>
        </w:tc>
        <w:tc>
          <w:tcPr>
            <w:tcW w:w="506" w:type="dxa"/>
            <w:vAlign w:val="top"/>
          </w:tcPr>
          <w:p w14:paraId="1B813CD6">
            <w:pPr>
              <w:pStyle w:val="6"/>
              <w:spacing w:before="168" w:line="228" w:lineRule="auto"/>
              <w:ind w:left="55"/>
              <w:rPr>
                <w:sz w:val="20"/>
                <w:szCs w:val="20"/>
              </w:rPr>
            </w:pPr>
            <w:r>
              <w:rPr>
                <w:spacing w:val="3"/>
                <w:sz w:val="20"/>
                <w:szCs w:val="20"/>
              </w:rPr>
              <w:t>短期</w:t>
            </w:r>
          </w:p>
        </w:tc>
        <w:tc>
          <w:tcPr>
            <w:tcW w:w="1131" w:type="dxa"/>
            <w:vAlign w:val="top"/>
          </w:tcPr>
          <w:p w14:paraId="58FA497D">
            <w:pPr>
              <w:pStyle w:val="6"/>
              <w:spacing w:before="34" w:line="228" w:lineRule="auto"/>
              <w:ind w:left="50"/>
              <w:rPr>
                <w:sz w:val="20"/>
                <w:szCs w:val="20"/>
              </w:rPr>
            </w:pPr>
            <w:r>
              <w:rPr>
                <w:spacing w:val="8"/>
                <w:sz w:val="20"/>
                <w:szCs w:val="20"/>
              </w:rPr>
              <w:t>井场及周边</w:t>
            </w:r>
          </w:p>
          <w:p w14:paraId="5A1AB04D">
            <w:pPr>
              <w:pStyle w:val="6"/>
              <w:spacing w:before="23" w:line="215" w:lineRule="auto"/>
              <w:ind w:left="54"/>
              <w:rPr>
                <w:sz w:val="20"/>
                <w:szCs w:val="20"/>
              </w:rPr>
            </w:pPr>
            <w:r>
              <w:rPr>
                <w:spacing w:val="7"/>
                <w:sz w:val="20"/>
                <w:szCs w:val="20"/>
              </w:rPr>
              <w:t>受影响区域</w:t>
            </w:r>
          </w:p>
        </w:tc>
        <w:tc>
          <w:tcPr>
            <w:tcW w:w="685" w:type="dxa"/>
            <w:tcBorders>
              <w:right w:val="single" w:color="000000" w:sz="6" w:space="0"/>
            </w:tcBorders>
            <w:vAlign w:val="top"/>
          </w:tcPr>
          <w:p w14:paraId="7F2A2379">
            <w:pPr>
              <w:pStyle w:val="6"/>
              <w:spacing w:before="168" w:line="229" w:lineRule="auto"/>
              <w:ind w:left="197"/>
              <w:rPr>
                <w:sz w:val="20"/>
                <w:szCs w:val="20"/>
              </w:rPr>
            </w:pPr>
            <w:r>
              <w:rPr>
                <w:sz w:val="20"/>
                <w:szCs w:val="20"/>
              </w:rPr>
              <w:t>弱</w:t>
            </w:r>
          </w:p>
        </w:tc>
      </w:tr>
      <w:tr w14:paraId="58397D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95" w:type="dxa"/>
            <w:vMerge w:val="continue"/>
            <w:tcBorders>
              <w:top w:val="nil"/>
              <w:left w:val="single" w:color="000000" w:sz="6" w:space="0"/>
              <w:bottom w:val="nil"/>
            </w:tcBorders>
            <w:textDirection w:val="tbRlV"/>
            <w:vAlign w:val="top"/>
          </w:tcPr>
          <w:p w14:paraId="62E6C2A2">
            <w:pPr>
              <w:rPr>
                <w:rFonts w:ascii="Arial"/>
                <w:sz w:val="21"/>
              </w:rPr>
            </w:pPr>
          </w:p>
        </w:tc>
        <w:tc>
          <w:tcPr>
            <w:tcW w:w="661" w:type="dxa"/>
            <w:vMerge w:val="continue"/>
            <w:tcBorders>
              <w:top w:val="nil"/>
              <w:bottom w:val="nil"/>
            </w:tcBorders>
            <w:vAlign w:val="top"/>
          </w:tcPr>
          <w:p w14:paraId="7225B604">
            <w:pPr>
              <w:rPr>
                <w:rFonts w:ascii="Arial"/>
                <w:sz w:val="21"/>
              </w:rPr>
            </w:pPr>
          </w:p>
        </w:tc>
        <w:tc>
          <w:tcPr>
            <w:tcW w:w="478" w:type="dxa"/>
            <w:vAlign w:val="top"/>
          </w:tcPr>
          <w:p w14:paraId="15B8541F">
            <w:pPr>
              <w:pStyle w:val="6"/>
              <w:spacing w:before="169" w:line="228" w:lineRule="auto"/>
              <w:ind w:left="26"/>
              <w:rPr>
                <w:sz w:val="20"/>
                <w:szCs w:val="20"/>
              </w:rPr>
            </w:pPr>
            <w:r>
              <w:rPr>
                <w:spacing w:val="5"/>
                <w:sz w:val="20"/>
                <w:szCs w:val="20"/>
              </w:rPr>
              <w:t>废水</w:t>
            </w:r>
          </w:p>
        </w:tc>
        <w:tc>
          <w:tcPr>
            <w:tcW w:w="1190" w:type="dxa"/>
            <w:vAlign w:val="top"/>
          </w:tcPr>
          <w:p w14:paraId="63C65D7A">
            <w:pPr>
              <w:pStyle w:val="6"/>
              <w:spacing w:before="170" w:line="228" w:lineRule="auto"/>
              <w:ind w:left="176"/>
              <w:rPr>
                <w:sz w:val="20"/>
                <w:szCs w:val="20"/>
              </w:rPr>
            </w:pPr>
            <w:r>
              <w:rPr>
                <w:spacing w:val="7"/>
                <w:sz w:val="20"/>
                <w:szCs w:val="20"/>
              </w:rPr>
              <w:t>职工生活</w:t>
            </w:r>
          </w:p>
        </w:tc>
        <w:tc>
          <w:tcPr>
            <w:tcW w:w="578" w:type="dxa"/>
            <w:vAlign w:val="top"/>
          </w:tcPr>
          <w:p w14:paraId="49AA2755">
            <w:pPr>
              <w:pStyle w:val="6"/>
              <w:spacing w:before="35" w:line="229" w:lineRule="auto"/>
              <w:ind w:left="82"/>
              <w:rPr>
                <w:sz w:val="20"/>
                <w:szCs w:val="20"/>
              </w:rPr>
            </w:pPr>
            <w:r>
              <w:rPr>
                <w:spacing w:val="4"/>
                <w:sz w:val="20"/>
                <w:szCs w:val="20"/>
              </w:rPr>
              <w:t>盥洗</w:t>
            </w:r>
          </w:p>
          <w:p w14:paraId="64DE6710">
            <w:pPr>
              <w:pStyle w:val="6"/>
              <w:spacing w:before="22" w:line="215" w:lineRule="auto"/>
              <w:ind w:left="81"/>
              <w:rPr>
                <w:sz w:val="20"/>
                <w:szCs w:val="20"/>
              </w:rPr>
            </w:pPr>
            <w:r>
              <w:rPr>
                <w:spacing w:val="5"/>
                <w:sz w:val="20"/>
                <w:szCs w:val="20"/>
              </w:rPr>
              <w:t>废水</w:t>
            </w:r>
          </w:p>
        </w:tc>
        <w:tc>
          <w:tcPr>
            <w:tcW w:w="1369" w:type="dxa"/>
            <w:vAlign w:val="top"/>
          </w:tcPr>
          <w:p w14:paraId="7A41C45F">
            <w:pPr>
              <w:pStyle w:val="6"/>
              <w:spacing w:before="71" w:line="216" w:lineRule="auto"/>
              <w:ind w:left="157" w:right="25" w:hanging="149"/>
              <w:rPr>
                <w:sz w:val="20"/>
                <w:szCs w:val="20"/>
              </w:rPr>
            </w:pPr>
            <w:r>
              <w:rPr>
                <w:rFonts w:ascii="Times New Roman" w:hAnsi="Times New Roman" w:eastAsia="Times New Roman" w:cs="Times New Roman"/>
                <w:spacing w:val="-1"/>
                <w:sz w:val="20"/>
                <w:szCs w:val="20"/>
              </w:rPr>
              <w:t>COD</w:t>
            </w:r>
            <w:r>
              <w:rPr>
                <w:rFonts w:ascii="Times New Roman" w:hAnsi="Times New Roman" w:eastAsia="Times New Roman" w:cs="Times New Roman"/>
                <w:spacing w:val="-21"/>
                <w:sz w:val="20"/>
                <w:szCs w:val="20"/>
              </w:rPr>
              <w:t xml:space="preserve"> </w:t>
            </w:r>
            <w:r>
              <w:rPr>
                <w:spacing w:val="-1"/>
                <w:sz w:val="20"/>
                <w:szCs w:val="20"/>
              </w:rPr>
              <w:t>、</w:t>
            </w:r>
            <w:r>
              <w:rPr>
                <w:rFonts w:ascii="Times New Roman" w:hAnsi="Times New Roman" w:eastAsia="Times New Roman" w:cs="Times New Roman"/>
                <w:spacing w:val="-1"/>
                <w:sz w:val="20"/>
                <w:szCs w:val="20"/>
              </w:rPr>
              <w:t>BOD</w:t>
            </w:r>
            <w:r>
              <w:rPr>
                <w:rFonts w:ascii="Times New Roman" w:hAnsi="Times New Roman" w:eastAsia="Times New Roman" w:cs="Times New Roman"/>
                <w:spacing w:val="-1"/>
                <w:position w:val="-1"/>
                <w:sz w:val="13"/>
                <w:szCs w:val="13"/>
              </w:rPr>
              <w:t>5</w:t>
            </w:r>
            <w:r>
              <w:rPr>
                <w:spacing w:val="-1"/>
                <w:sz w:val="20"/>
                <w:szCs w:val="20"/>
              </w:rPr>
              <w:t>、</w:t>
            </w:r>
            <w:r>
              <w:rPr>
                <w:sz w:val="20"/>
                <w:szCs w:val="20"/>
              </w:rPr>
              <w:t xml:space="preserve"> </w:t>
            </w:r>
            <w:r>
              <w:rPr>
                <w:rFonts w:ascii="Times New Roman" w:hAnsi="Times New Roman" w:eastAsia="Times New Roman" w:cs="Times New Roman"/>
                <w:sz w:val="20"/>
                <w:szCs w:val="20"/>
              </w:rPr>
              <w:t>SS</w:t>
            </w:r>
            <w:r>
              <w:rPr>
                <w:rFonts w:ascii="Times New Roman" w:hAnsi="Times New Roman" w:eastAsia="Times New Roman" w:cs="Times New Roman"/>
                <w:spacing w:val="-25"/>
                <w:sz w:val="20"/>
                <w:szCs w:val="20"/>
              </w:rPr>
              <w:t xml:space="preserve"> </w:t>
            </w:r>
            <w:r>
              <w:rPr>
                <w:spacing w:val="2"/>
                <w:sz w:val="20"/>
                <w:szCs w:val="20"/>
              </w:rPr>
              <w:t>、氨氮等</w:t>
            </w:r>
          </w:p>
        </w:tc>
        <w:tc>
          <w:tcPr>
            <w:tcW w:w="1112" w:type="dxa"/>
            <w:vAlign w:val="top"/>
          </w:tcPr>
          <w:p w14:paraId="6B09E8F0">
            <w:pPr>
              <w:spacing w:before="296" w:line="97" w:lineRule="exact"/>
              <w:ind w:left="49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696" w:type="dxa"/>
            <w:vAlign w:val="top"/>
          </w:tcPr>
          <w:p w14:paraId="479DBBB2">
            <w:pPr>
              <w:spacing w:before="296" w:line="97" w:lineRule="exact"/>
              <w:ind w:left="28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506" w:type="dxa"/>
            <w:vAlign w:val="top"/>
          </w:tcPr>
          <w:p w14:paraId="318777F0">
            <w:pPr>
              <w:pStyle w:val="6"/>
              <w:spacing w:before="170" w:line="228" w:lineRule="auto"/>
              <w:ind w:left="55"/>
              <w:rPr>
                <w:sz w:val="20"/>
                <w:szCs w:val="20"/>
              </w:rPr>
            </w:pPr>
            <w:r>
              <w:rPr>
                <w:spacing w:val="3"/>
                <w:sz w:val="20"/>
                <w:szCs w:val="20"/>
              </w:rPr>
              <w:t>短期</w:t>
            </w:r>
          </w:p>
        </w:tc>
        <w:tc>
          <w:tcPr>
            <w:tcW w:w="1131" w:type="dxa"/>
            <w:vAlign w:val="top"/>
          </w:tcPr>
          <w:p w14:paraId="6A7399EF">
            <w:pPr>
              <w:spacing w:before="296" w:line="97" w:lineRule="exact"/>
              <w:ind w:left="50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w:t>
            </w:r>
          </w:p>
        </w:tc>
        <w:tc>
          <w:tcPr>
            <w:tcW w:w="685" w:type="dxa"/>
            <w:tcBorders>
              <w:right w:val="single" w:color="000000" w:sz="6" w:space="0"/>
            </w:tcBorders>
            <w:vAlign w:val="top"/>
          </w:tcPr>
          <w:p w14:paraId="24D5CD4C">
            <w:pPr>
              <w:pStyle w:val="6"/>
              <w:spacing w:before="169" w:line="229" w:lineRule="auto"/>
              <w:ind w:left="197"/>
              <w:rPr>
                <w:sz w:val="20"/>
                <w:szCs w:val="20"/>
              </w:rPr>
            </w:pPr>
            <w:r>
              <w:rPr>
                <w:sz w:val="20"/>
                <w:szCs w:val="20"/>
              </w:rPr>
              <w:t>弱</w:t>
            </w:r>
          </w:p>
        </w:tc>
      </w:tr>
      <w:tr w14:paraId="704DC5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95" w:type="dxa"/>
            <w:vMerge w:val="continue"/>
            <w:tcBorders>
              <w:top w:val="nil"/>
              <w:left w:val="single" w:color="000000" w:sz="6" w:space="0"/>
              <w:bottom w:val="nil"/>
            </w:tcBorders>
            <w:textDirection w:val="tbRlV"/>
            <w:vAlign w:val="top"/>
          </w:tcPr>
          <w:p w14:paraId="6D879C76">
            <w:pPr>
              <w:rPr>
                <w:rFonts w:ascii="Arial"/>
                <w:sz w:val="21"/>
              </w:rPr>
            </w:pPr>
          </w:p>
        </w:tc>
        <w:tc>
          <w:tcPr>
            <w:tcW w:w="661" w:type="dxa"/>
            <w:vMerge w:val="continue"/>
            <w:tcBorders>
              <w:top w:val="nil"/>
              <w:bottom w:val="nil"/>
            </w:tcBorders>
            <w:vAlign w:val="top"/>
          </w:tcPr>
          <w:p w14:paraId="4FDCB89B">
            <w:pPr>
              <w:rPr>
                <w:rFonts w:ascii="Arial"/>
                <w:sz w:val="21"/>
              </w:rPr>
            </w:pPr>
          </w:p>
        </w:tc>
        <w:tc>
          <w:tcPr>
            <w:tcW w:w="478" w:type="dxa"/>
            <w:vAlign w:val="top"/>
          </w:tcPr>
          <w:p w14:paraId="11675F19">
            <w:pPr>
              <w:pStyle w:val="6"/>
              <w:spacing w:before="172" w:line="228" w:lineRule="auto"/>
              <w:ind w:left="37"/>
              <w:rPr>
                <w:sz w:val="20"/>
                <w:szCs w:val="20"/>
              </w:rPr>
            </w:pPr>
            <w:r>
              <w:rPr>
                <w:spacing w:val="-1"/>
                <w:sz w:val="20"/>
                <w:szCs w:val="20"/>
              </w:rPr>
              <w:t>噪声</w:t>
            </w:r>
          </w:p>
        </w:tc>
        <w:tc>
          <w:tcPr>
            <w:tcW w:w="1190" w:type="dxa"/>
            <w:vAlign w:val="top"/>
          </w:tcPr>
          <w:p w14:paraId="4B0FFCDA">
            <w:pPr>
              <w:pStyle w:val="6"/>
              <w:spacing w:before="36" w:line="232" w:lineRule="auto"/>
              <w:ind w:left="175" w:right="6" w:hanging="171"/>
              <w:rPr>
                <w:sz w:val="20"/>
                <w:szCs w:val="20"/>
              </w:rPr>
            </w:pPr>
            <w:r>
              <w:rPr>
                <w:spacing w:val="-5"/>
                <w:sz w:val="20"/>
                <w:szCs w:val="20"/>
              </w:rPr>
              <w:t>表土剥离、场</w:t>
            </w:r>
            <w:r>
              <w:rPr>
                <w:spacing w:val="7"/>
                <w:sz w:val="20"/>
                <w:szCs w:val="20"/>
              </w:rPr>
              <w:t>地平整等</w:t>
            </w:r>
          </w:p>
        </w:tc>
        <w:tc>
          <w:tcPr>
            <w:tcW w:w="1947" w:type="dxa"/>
            <w:gridSpan w:val="2"/>
            <w:vAlign w:val="top"/>
          </w:tcPr>
          <w:p w14:paraId="32406FCE">
            <w:pPr>
              <w:pStyle w:val="6"/>
              <w:spacing w:before="172" w:line="228" w:lineRule="auto"/>
              <w:ind w:left="345"/>
              <w:rPr>
                <w:sz w:val="20"/>
                <w:szCs w:val="20"/>
              </w:rPr>
            </w:pPr>
            <w:r>
              <w:rPr>
                <w:spacing w:val="8"/>
                <w:sz w:val="20"/>
                <w:szCs w:val="20"/>
              </w:rPr>
              <w:t>施工设备噪声</w:t>
            </w:r>
          </w:p>
        </w:tc>
        <w:tc>
          <w:tcPr>
            <w:tcW w:w="1112" w:type="dxa"/>
            <w:vAlign w:val="top"/>
          </w:tcPr>
          <w:p w14:paraId="258B14ED">
            <w:pPr>
              <w:pStyle w:val="6"/>
              <w:spacing w:before="172" w:line="228" w:lineRule="auto"/>
              <w:ind w:left="251"/>
              <w:rPr>
                <w:sz w:val="20"/>
                <w:szCs w:val="20"/>
              </w:rPr>
            </w:pPr>
            <w:r>
              <w:rPr>
                <w:spacing w:val="5"/>
                <w:sz w:val="20"/>
                <w:szCs w:val="20"/>
              </w:rPr>
              <w:t>声环境</w:t>
            </w:r>
          </w:p>
        </w:tc>
        <w:tc>
          <w:tcPr>
            <w:tcW w:w="696" w:type="dxa"/>
            <w:vAlign w:val="top"/>
          </w:tcPr>
          <w:p w14:paraId="2D813C8B">
            <w:pPr>
              <w:pStyle w:val="6"/>
              <w:spacing w:before="172" w:line="227" w:lineRule="auto"/>
              <w:ind w:left="44"/>
              <w:rPr>
                <w:sz w:val="20"/>
                <w:szCs w:val="20"/>
              </w:rPr>
            </w:pPr>
            <w:r>
              <w:rPr>
                <w:spacing w:val="5"/>
                <w:sz w:val="20"/>
                <w:szCs w:val="20"/>
              </w:rPr>
              <w:t>声传播</w:t>
            </w:r>
          </w:p>
        </w:tc>
        <w:tc>
          <w:tcPr>
            <w:tcW w:w="506" w:type="dxa"/>
            <w:vAlign w:val="top"/>
          </w:tcPr>
          <w:p w14:paraId="25976B3A">
            <w:pPr>
              <w:pStyle w:val="6"/>
              <w:spacing w:before="172" w:line="228" w:lineRule="auto"/>
              <w:ind w:left="55"/>
              <w:rPr>
                <w:sz w:val="20"/>
                <w:szCs w:val="20"/>
              </w:rPr>
            </w:pPr>
            <w:r>
              <w:rPr>
                <w:spacing w:val="3"/>
                <w:sz w:val="20"/>
                <w:szCs w:val="20"/>
              </w:rPr>
              <w:t>短期</w:t>
            </w:r>
          </w:p>
        </w:tc>
        <w:tc>
          <w:tcPr>
            <w:tcW w:w="1131" w:type="dxa"/>
            <w:vAlign w:val="top"/>
          </w:tcPr>
          <w:p w14:paraId="04CB33B4">
            <w:pPr>
              <w:pStyle w:val="6"/>
              <w:spacing w:before="36" w:line="228" w:lineRule="auto"/>
              <w:ind w:left="50"/>
              <w:rPr>
                <w:sz w:val="20"/>
                <w:szCs w:val="20"/>
              </w:rPr>
            </w:pPr>
            <w:r>
              <w:rPr>
                <w:spacing w:val="8"/>
                <w:sz w:val="20"/>
                <w:szCs w:val="20"/>
              </w:rPr>
              <w:t>井场及周边</w:t>
            </w:r>
          </w:p>
          <w:p w14:paraId="60DC1EAB">
            <w:pPr>
              <w:pStyle w:val="6"/>
              <w:spacing w:before="26" w:line="212" w:lineRule="auto"/>
              <w:ind w:left="54"/>
              <w:rPr>
                <w:sz w:val="20"/>
                <w:szCs w:val="20"/>
              </w:rPr>
            </w:pPr>
            <w:r>
              <w:rPr>
                <w:spacing w:val="7"/>
                <w:sz w:val="20"/>
                <w:szCs w:val="20"/>
              </w:rPr>
              <w:t>受影响区域</w:t>
            </w:r>
          </w:p>
        </w:tc>
        <w:tc>
          <w:tcPr>
            <w:tcW w:w="685" w:type="dxa"/>
            <w:tcBorders>
              <w:right w:val="single" w:color="000000" w:sz="6" w:space="0"/>
            </w:tcBorders>
            <w:vAlign w:val="top"/>
          </w:tcPr>
          <w:p w14:paraId="563D419A">
            <w:pPr>
              <w:pStyle w:val="6"/>
              <w:spacing w:before="172" w:line="229" w:lineRule="auto"/>
              <w:ind w:left="197"/>
              <w:rPr>
                <w:sz w:val="20"/>
                <w:szCs w:val="20"/>
              </w:rPr>
            </w:pPr>
            <w:r>
              <w:rPr>
                <w:sz w:val="20"/>
                <w:szCs w:val="20"/>
              </w:rPr>
              <w:t>弱</w:t>
            </w:r>
          </w:p>
        </w:tc>
      </w:tr>
      <w:tr w14:paraId="39F645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495" w:type="dxa"/>
            <w:vMerge w:val="continue"/>
            <w:tcBorders>
              <w:top w:val="nil"/>
              <w:left w:val="single" w:color="000000" w:sz="6" w:space="0"/>
              <w:bottom w:val="nil"/>
            </w:tcBorders>
            <w:textDirection w:val="tbRlV"/>
            <w:vAlign w:val="top"/>
          </w:tcPr>
          <w:p w14:paraId="36CFA841">
            <w:pPr>
              <w:rPr>
                <w:rFonts w:ascii="Arial"/>
                <w:sz w:val="21"/>
              </w:rPr>
            </w:pPr>
          </w:p>
        </w:tc>
        <w:tc>
          <w:tcPr>
            <w:tcW w:w="661" w:type="dxa"/>
            <w:vMerge w:val="continue"/>
            <w:tcBorders>
              <w:top w:val="nil"/>
            </w:tcBorders>
            <w:vAlign w:val="top"/>
          </w:tcPr>
          <w:p w14:paraId="62A08166">
            <w:pPr>
              <w:rPr>
                <w:rFonts w:ascii="Arial"/>
                <w:sz w:val="21"/>
              </w:rPr>
            </w:pPr>
          </w:p>
        </w:tc>
        <w:tc>
          <w:tcPr>
            <w:tcW w:w="478" w:type="dxa"/>
            <w:vAlign w:val="top"/>
          </w:tcPr>
          <w:p w14:paraId="4CFB2AE7">
            <w:pPr>
              <w:pStyle w:val="6"/>
              <w:spacing w:before="113" w:line="228" w:lineRule="auto"/>
              <w:ind w:left="45"/>
              <w:rPr>
                <w:sz w:val="20"/>
                <w:szCs w:val="20"/>
              </w:rPr>
            </w:pPr>
            <w:r>
              <w:rPr>
                <w:spacing w:val="-5"/>
                <w:sz w:val="20"/>
                <w:szCs w:val="20"/>
              </w:rPr>
              <w:t>固废</w:t>
            </w:r>
          </w:p>
        </w:tc>
        <w:tc>
          <w:tcPr>
            <w:tcW w:w="1190" w:type="dxa"/>
            <w:vAlign w:val="top"/>
          </w:tcPr>
          <w:p w14:paraId="6389B191">
            <w:pPr>
              <w:pStyle w:val="6"/>
              <w:spacing w:before="113" w:line="228" w:lineRule="auto"/>
              <w:ind w:left="176"/>
              <w:rPr>
                <w:sz w:val="20"/>
                <w:szCs w:val="20"/>
              </w:rPr>
            </w:pPr>
            <w:r>
              <w:rPr>
                <w:spacing w:val="7"/>
                <w:sz w:val="20"/>
                <w:szCs w:val="20"/>
              </w:rPr>
              <w:t>职工生活</w:t>
            </w:r>
          </w:p>
        </w:tc>
        <w:tc>
          <w:tcPr>
            <w:tcW w:w="1947" w:type="dxa"/>
            <w:gridSpan w:val="2"/>
            <w:vAlign w:val="top"/>
          </w:tcPr>
          <w:p w14:paraId="792B806C">
            <w:pPr>
              <w:pStyle w:val="6"/>
              <w:spacing w:before="113" w:line="228" w:lineRule="auto"/>
              <w:ind w:left="559"/>
              <w:rPr>
                <w:sz w:val="20"/>
                <w:szCs w:val="20"/>
              </w:rPr>
            </w:pPr>
            <w:r>
              <w:rPr>
                <w:spacing w:val="6"/>
                <w:sz w:val="20"/>
                <w:szCs w:val="20"/>
              </w:rPr>
              <w:t>生活垃圾</w:t>
            </w:r>
          </w:p>
        </w:tc>
        <w:tc>
          <w:tcPr>
            <w:tcW w:w="1112" w:type="dxa"/>
            <w:vAlign w:val="top"/>
          </w:tcPr>
          <w:p w14:paraId="3CF1F2F7">
            <w:pPr>
              <w:spacing w:before="237" w:line="96" w:lineRule="exact"/>
              <w:ind w:left="49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696" w:type="dxa"/>
            <w:vAlign w:val="top"/>
          </w:tcPr>
          <w:p w14:paraId="14ADBCC3">
            <w:pPr>
              <w:spacing w:before="237" w:line="96" w:lineRule="exact"/>
              <w:ind w:left="28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506" w:type="dxa"/>
            <w:vAlign w:val="top"/>
          </w:tcPr>
          <w:p w14:paraId="525ED2EF">
            <w:pPr>
              <w:pStyle w:val="6"/>
              <w:spacing w:before="113" w:line="228" w:lineRule="auto"/>
              <w:ind w:left="55"/>
              <w:rPr>
                <w:sz w:val="20"/>
                <w:szCs w:val="20"/>
              </w:rPr>
            </w:pPr>
            <w:r>
              <w:rPr>
                <w:spacing w:val="3"/>
                <w:sz w:val="20"/>
                <w:szCs w:val="20"/>
              </w:rPr>
              <w:t>短期</w:t>
            </w:r>
          </w:p>
        </w:tc>
        <w:tc>
          <w:tcPr>
            <w:tcW w:w="1131" w:type="dxa"/>
            <w:vAlign w:val="top"/>
          </w:tcPr>
          <w:p w14:paraId="2B70FFE8">
            <w:pPr>
              <w:spacing w:before="237" w:line="96" w:lineRule="exact"/>
              <w:ind w:left="50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w:t>
            </w:r>
          </w:p>
        </w:tc>
        <w:tc>
          <w:tcPr>
            <w:tcW w:w="685" w:type="dxa"/>
            <w:tcBorders>
              <w:right w:val="single" w:color="000000" w:sz="6" w:space="0"/>
            </w:tcBorders>
            <w:vAlign w:val="top"/>
          </w:tcPr>
          <w:p w14:paraId="2C1E33A1">
            <w:pPr>
              <w:pStyle w:val="6"/>
              <w:spacing w:before="112" w:line="229" w:lineRule="auto"/>
              <w:ind w:left="197"/>
              <w:rPr>
                <w:sz w:val="20"/>
                <w:szCs w:val="20"/>
              </w:rPr>
            </w:pPr>
            <w:r>
              <w:rPr>
                <w:sz w:val="20"/>
                <w:szCs w:val="20"/>
              </w:rPr>
              <w:t>弱</w:t>
            </w:r>
          </w:p>
        </w:tc>
      </w:tr>
      <w:tr w14:paraId="3EB9D0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495" w:type="dxa"/>
            <w:vMerge w:val="continue"/>
            <w:tcBorders>
              <w:top w:val="nil"/>
              <w:left w:val="single" w:color="000000" w:sz="6" w:space="0"/>
              <w:bottom w:val="nil"/>
            </w:tcBorders>
            <w:textDirection w:val="tbRlV"/>
            <w:vAlign w:val="top"/>
          </w:tcPr>
          <w:p w14:paraId="1FACF017">
            <w:pPr>
              <w:rPr>
                <w:rFonts w:ascii="Arial"/>
                <w:sz w:val="21"/>
              </w:rPr>
            </w:pPr>
          </w:p>
        </w:tc>
        <w:tc>
          <w:tcPr>
            <w:tcW w:w="661" w:type="dxa"/>
            <w:vMerge w:val="restart"/>
            <w:tcBorders>
              <w:bottom w:val="nil"/>
            </w:tcBorders>
            <w:vAlign w:val="top"/>
          </w:tcPr>
          <w:p w14:paraId="1A6635F8">
            <w:pPr>
              <w:spacing w:line="279" w:lineRule="auto"/>
              <w:rPr>
                <w:rFonts w:ascii="Arial"/>
                <w:sz w:val="21"/>
              </w:rPr>
            </w:pPr>
          </w:p>
          <w:p w14:paraId="3C70E166">
            <w:pPr>
              <w:spacing w:line="279" w:lineRule="auto"/>
              <w:rPr>
                <w:rFonts w:ascii="Arial"/>
                <w:sz w:val="21"/>
              </w:rPr>
            </w:pPr>
          </w:p>
          <w:p w14:paraId="16F2CEC2">
            <w:pPr>
              <w:spacing w:line="279" w:lineRule="auto"/>
              <w:rPr>
                <w:rFonts w:ascii="Arial"/>
                <w:sz w:val="21"/>
              </w:rPr>
            </w:pPr>
          </w:p>
          <w:p w14:paraId="2E03FA76">
            <w:pPr>
              <w:spacing w:line="279" w:lineRule="auto"/>
              <w:rPr>
                <w:rFonts w:ascii="Arial"/>
                <w:sz w:val="21"/>
              </w:rPr>
            </w:pPr>
          </w:p>
          <w:p w14:paraId="16799860">
            <w:pPr>
              <w:spacing w:line="280" w:lineRule="auto"/>
              <w:rPr>
                <w:rFonts w:ascii="Arial"/>
                <w:sz w:val="21"/>
              </w:rPr>
            </w:pPr>
          </w:p>
          <w:p w14:paraId="4A71F40A">
            <w:pPr>
              <w:spacing w:line="280" w:lineRule="auto"/>
              <w:rPr>
                <w:rFonts w:ascii="Arial"/>
                <w:sz w:val="21"/>
              </w:rPr>
            </w:pPr>
          </w:p>
          <w:p w14:paraId="79E2809D">
            <w:pPr>
              <w:pStyle w:val="6"/>
              <w:spacing w:before="65" w:line="252" w:lineRule="auto"/>
              <w:ind w:left="172" w:right="76" w:hanging="2"/>
              <w:rPr>
                <w:sz w:val="20"/>
                <w:szCs w:val="20"/>
              </w:rPr>
            </w:pPr>
            <w:r>
              <w:rPr>
                <w:spacing w:val="4"/>
                <w:sz w:val="20"/>
                <w:szCs w:val="20"/>
              </w:rPr>
              <w:t>钻井</w:t>
            </w:r>
            <w:r>
              <w:rPr>
                <w:spacing w:val="3"/>
                <w:sz w:val="20"/>
                <w:szCs w:val="20"/>
              </w:rPr>
              <w:t>工程</w:t>
            </w:r>
          </w:p>
        </w:tc>
        <w:tc>
          <w:tcPr>
            <w:tcW w:w="478" w:type="dxa"/>
            <w:vMerge w:val="restart"/>
            <w:tcBorders>
              <w:bottom w:val="nil"/>
            </w:tcBorders>
            <w:vAlign w:val="top"/>
          </w:tcPr>
          <w:p w14:paraId="1E4BD333">
            <w:pPr>
              <w:spacing w:line="347" w:lineRule="auto"/>
              <w:rPr>
                <w:rFonts w:ascii="Arial"/>
                <w:sz w:val="21"/>
              </w:rPr>
            </w:pPr>
          </w:p>
          <w:p w14:paraId="5733C536">
            <w:pPr>
              <w:pStyle w:val="6"/>
              <w:spacing w:before="65" w:line="228" w:lineRule="auto"/>
              <w:ind w:left="26"/>
              <w:rPr>
                <w:sz w:val="20"/>
                <w:szCs w:val="20"/>
              </w:rPr>
            </w:pPr>
            <w:r>
              <w:rPr>
                <w:spacing w:val="5"/>
                <w:sz w:val="20"/>
                <w:szCs w:val="20"/>
              </w:rPr>
              <w:t>废气</w:t>
            </w:r>
          </w:p>
        </w:tc>
        <w:tc>
          <w:tcPr>
            <w:tcW w:w="1190" w:type="dxa"/>
            <w:vAlign w:val="top"/>
          </w:tcPr>
          <w:p w14:paraId="64025381">
            <w:pPr>
              <w:pStyle w:val="6"/>
              <w:spacing w:before="16" w:line="211" w:lineRule="auto"/>
              <w:ind w:left="494" w:right="71" w:hanging="422"/>
              <w:rPr>
                <w:sz w:val="20"/>
                <w:szCs w:val="20"/>
              </w:rPr>
            </w:pPr>
            <w:r>
              <w:rPr>
                <w:spacing w:val="8"/>
                <w:sz w:val="20"/>
                <w:szCs w:val="20"/>
              </w:rPr>
              <w:t>柴油发电机</w:t>
            </w:r>
            <w:r>
              <w:rPr>
                <w:sz w:val="20"/>
                <w:szCs w:val="20"/>
              </w:rPr>
              <w:t>组</w:t>
            </w:r>
          </w:p>
        </w:tc>
        <w:tc>
          <w:tcPr>
            <w:tcW w:w="578" w:type="dxa"/>
            <w:vAlign w:val="top"/>
          </w:tcPr>
          <w:p w14:paraId="7AD68E71">
            <w:pPr>
              <w:pStyle w:val="6"/>
              <w:spacing w:before="136" w:line="229" w:lineRule="auto"/>
              <w:ind w:left="82"/>
              <w:rPr>
                <w:sz w:val="20"/>
                <w:szCs w:val="20"/>
              </w:rPr>
            </w:pPr>
            <w:r>
              <w:rPr>
                <w:spacing w:val="4"/>
                <w:sz w:val="20"/>
                <w:szCs w:val="20"/>
              </w:rPr>
              <w:t>尾气</w:t>
            </w:r>
          </w:p>
        </w:tc>
        <w:tc>
          <w:tcPr>
            <w:tcW w:w="1369" w:type="dxa"/>
            <w:vAlign w:val="top"/>
          </w:tcPr>
          <w:p w14:paraId="28FB8B07">
            <w:pPr>
              <w:pStyle w:val="6"/>
              <w:spacing w:before="16" w:line="224" w:lineRule="auto"/>
              <w:ind w:left="477" w:right="13" w:hanging="470"/>
              <w:rPr>
                <w:rFonts w:ascii="Times New Roman" w:hAnsi="Times New Roman" w:eastAsia="Times New Roman" w:cs="Times New Roman"/>
                <w:sz w:val="13"/>
                <w:szCs w:val="13"/>
              </w:rPr>
            </w:pPr>
            <w:r>
              <w:rPr>
                <w:spacing w:val="3"/>
                <w:sz w:val="20"/>
                <w:szCs w:val="20"/>
              </w:rPr>
              <w:t>颗粒物、</w:t>
            </w:r>
            <w:r>
              <w:rPr>
                <w:rFonts w:ascii="Times New Roman" w:hAnsi="Times New Roman" w:eastAsia="Times New Roman" w:cs="Times New Roman"/>
                <w:sz w:val="20"/>
                <w:szCs w:val="20"/>
              </w:rPr>
              <w:t>SO</w:t>
            </w:r>
            <w:r>
              <w:rPr>
                <w:rFonts w:ascii="Times New Roman" w:hAnsi="Times New Roman" w:eastAsia="Times New Roman" w:cs="Times New Roman"/>
                <w:spacing w:val="3"/>
                <w:position w:val="-1"/>
                <w:sz w:val="13"/>
                <w:szCs w:val="13"/>
              </w:rPr>
              <w:t>2</w:t>
            </w:r>
            <w:r>
              <w:rPr>
                <w:spacing w:val="3"/>
                <w:sz w:val="20"/>
                <w:szCs w:val="20"/>
              </w:rPr>
              <w:t xml:space="preserve">、 </w:t>
            </w:r>
            <w:r>
              <w:rPr>
                <w:rFonts w:ascii="Times New Roman" w:hAnsi="Times New Roman" w:eastAsia="Times New Roman" w:cs="Times New Roman"/>
                <w:spacing w:val="7"/>
                <w:sz w:val="20"/>
                <w:szCs w:val="20"/>
              </w:rPr>
              <w:t>NO</w:t>
            </w:r>
            <w:r>
              <w:rPr>
                <w:rFonts w:ascii="Times New Roman" w:hAnsi="Times New Roman" w:eastAsia="Times New Roman" w:cs="Times New Roman"/>
                <w:spacing w:val="7"/>
                <w:position w:val="-1"/>
                <w:sz w:val="13"/>
                <w:szCs w:val="13"/>
              </w:rPr>
              <w:t>X</w:t>
            </w:r>
          </w:p>
        </w:tc>
        <w:tc>
          <w:tcPr>
            <w:tcW w:w="1112" w:type="dxa"/>
            <w:vAlign w:val="top"/>
          </w:tcPr>
          <w:p w14:paraId="7D3A7A37">
            <w:pPr>
              <w:pStyle w:val="6"/>
              <w:spacing w:before="136" w:line="228" w:lineRule="auto"/>
              <w:ind w:left="144"/>
              <w:rPr>
                <w:sz w:val="20"/>
                <w:szCs w:val="20"/>
              </w:rPr>
            </w:pPr>
            <w:r>
              <w:rPr>
                <w:spacing w:val="6"/>
                <w:sz w:val="20"/>
                <w:szCs w:val="20"/>
              </w:rPr>
              <w:t>大气环境</w:t>
            </w:r>
          </w:p>
        </w:tc>
        <w:tc>
          <w:tcPr>
            <w:tcW w:w="696" w:type="dxa"/>
            <w:vAlign w:val="top"/>
          </w:tcPr>
          <w:p w14:paraId="691A9B7E">
            <w:pPr>
              <w:pStyle w:val="6"/>
              <w:spacing w:before="16" w:line="211" w:lineRule="auto"/>
              <w:ind w:left="145" w:right="29" w:hanging="103"/>
              <w:rPr>
                <w:sz w:val="20"/>
                <w:szCs w:val="20"/>
              </w:rPr>
            </w:pPr>
            <w:r>
              <w:rPr>
                <w:spacing w:val="6"/>
                <w:sz w:val="20"/>
                <w:szCs w:val="20"/>
              </w:rPr>
              <w:t>污染物</w:t>
            </w:r>
            <w:r>
              <w:rPr>
                <w:spacing w:val="4"/>
                <w:sz w:val="20"/>
                <w:szCs w:val="20"/>
              </w:rPr>
              <w:t>扩散</w:t>
            </w:r>
          </w:p>
        </w:tc>
        <w:tc>
          <w:tcPr>
            <w:tcW w:w="506" w:type="dxa"/>
            <w:vAlign w:val="top"/>
          </w:tcPr>
          <w:p w14:paraId="6D96DDD5">
            <w:pPr>
              <w:pStyle w:val="6"/>
              <w:spacing w:before="136" w:line="228" w:lineRule="auto"/>
              <w:ind w:left="55"/>
              <w:rPr>
                <w:sz w:val="20"/>
                <w:szCs w:val="20"/>
              </w:rPr>
            </w:pPr>
            <w:r>
              <w:rPr>
                <w:spacing w:val="3"/>
                <w:sz w:val="20"/>
                <w:szCs w:val="20"/>
              </w:rPr>
              <w:t>短期</w:t>
            </w:r>
          </w:p>
        </w:tc>
        <w:tc>
          <w:tcPr>
            <w:tcW w:w="1131" w:type="dxa"/>
            <w:vMerge w:val="restart"/>
            <w:tcBorders>
              <w:bottom w:val="nil"/>
            </w:tcBorders>
            <w:vAlign w:val="top"/>
          </w:tcPr>
          <w:p w14:paraId="392A6EE3">
            <w:pPr>
              <w:pStyle w:val="6"/>
              <w:spacing w:before="280" w:line="252" w:lineRule="auto"/>
              <w:ind w:left="54" w:right="34" w:hanging="4"/>
              <w:rPr>
                <w:sz w:val="20"/>
                <w:szCs w:val="20"/>
              </w:rPr>
            </w:pPr>
            <w:r>
              <w:rPr>
                <w:spacing w:val="8"/>
                <w:sz w:val="20"/>
                <w:szCs w:val="20"/>
              </w:rPr>
              <w:t>井场及周边</w:t>
            </w:r>
            <w:r>
              <w:rPr>
                <w:spacing w:val="7"/>
                <w:sz w:val="20"/>
                <w:szCs w:val="20"/>
              </w:rPr>
              <w:t>受影响区域</w:t>
            </w:r>
          </w:p>
        </w:tc>
        <w:tc>
          <w:tcPr>
            <w:tcW w:w="685" w:type="dxa"/>
            <w:tcBorders>
              <w:right w:val="single" w:color="000000" w:sz="6" w:space="0"/>
            </w:tcBorders>
            <w:vAlign w:val="top"/>
          </w:tcPr>
          <w:p w14:paraId="46EC64EC">
            <w:pPr>
              <w:pStyle w:val="6"/>
              <w:spacing w:before="138" w:line="229" w:lineRule="auto"/>
              <w:ind w:left="197"/>
              <w:rPr>
                <w:sz w:val="20"/>
                <w:szCs w:val="20"/>
              </w:rPr>
            </w:pPr>
            <w:r>
              <w:rPr>
                <w:sz w:val="20"/>
                <w:szCs w:val="20"/>
              </w:rPr>
              <w:t>弱</w:t>
            </w:r>
          </w:p>
        </w:tc>
      </w:tr>
      <w:tr w14:paraId="513FCC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495" w:type="dxa"/>
            <w:vMerge w:val="continue"/>
            <w:tcBorders>
              <w:top w:val="nil"/>
              <w:left w:val="single" w:color="000000" w:sz="6" w:space="0"/>
              <w:bottom w:val="nil"/>
            </w:tcBorders>
            <w:textDirection w:val="tbRlV"/>
            <w:vAlign w:val="top"/>
          </w:tcPr>
          <w:p w14:paraId="5A5CC4BA">
            <w:pPr>
              <w:rPr>
                <w:rFonts w:ascii="Arial"/>
                <w:sz w:val="21"/>
              </w:rPr>
            </w:pPr>
          </w:p>
        </w:tc>
        <w:tc>
          <w:tcPr>
            <w:tcW w:w="661" w:type="dxa"/>
            <w:vMerge w:val="continue"/>
            <w:tcBorders>
              <w:top w:val="nil"/>
              <w:bottom w:val="nil"/>
            </w:tcBorders>
            <w:vAlign w:val="top"/>
          </w:tcPr>
          <w:p w14:paraId="4154E554">
            <w:pPr>
              <w:rPr>
                <w:rFonts w:ascii="Arial"/>
                <w:sz w:val="21"/>
              </w:rPr>
            </w:pPr>
          </w:p>
        </w:tc>
        <w:tc>
          <w:tcPr>
            <w:tcW w:w="478" w:type="dxa"/>
            <w:vMerge w:val="continue"/>
            <w:tcBorders>
              <w:top w:val="nil"/>
            </w:tcBorders>
            <w:vAlign w:val="top"/>
          </w:tcPr>
          <w:p w14:paraId="00833CEC">
            <w:pPr>
              <w:rPr>
                <w:rFonts w:ascii="Arial"/>
                <w:sz w:val="21"/>
              </w:rPr>
            </w:pPr>
          </w:p>
        </w:tc>
        <w:tc>
          <w:tcPr>
            <w:tcW w:w="1190" w:type="dxa"/>
            <w:vAlign w:val="top"/>
          </w:tcPr>
          <w:p w14:paraId="086C2542">
            <w:pPr>
              <w:pStyle w:val="6"/>
              <w:spacing w:before="50" w:line="225" w:lineRule="auto"/>
              <w:ind w:left="386" w:right="71" w:hanging="314"/>
              <w:rPr>
                <w:sz w:val="20"/>
                <w:szCs w:val="20"/>
              </w:rPr>
            </w:pPr>
            <w:r>
              <w:rPr>
                <w:spacing w:val="8"/>
                <w:sz w:val="20"/>
                <w:szCs w:val="20"/>
              </w:rPr>
              <w:t>柴油罐暂存</w:t>
            </w:r>
            <w:r>
              <w:rPr>
                <w:spacing w:val="4"/>
                <w:sz w:val="20"/>
                <w:szCs w:val="20"/>
              </w:rPr>
              <w:t>柴油</w:t>
            </w:r>
          </w:p>
        </w:tc>
        <w:tc>
          <w:tcPr>
            <w:tcW w:w="578" w:type="dxa"/>
            <w:vAlign w:val="top"/>
          </w:tcPr>
          <w:p w14:paraId="51F41AC5">
            <w:pPr>
              <w:pStyle w:val="6"/>
              <w:spacing w:before="49" w:line="222" w:lineRule="auto"/>
              <w:ind w:left="81"/>
              <w:rPr>
                <w:sz w:val="20"/>
                <w:szCs w:val="20"/>
              </w:rPr>
            </w:pPr>
            <w:r>
              <w:rPr>
                <w:spacing w:val="5"/>
                <w:sz w:val="20"/>
                <w:szCs w:val="20"/>
              </w:rPr>
              <w:t>挥发</w:t>
            </w:r>
          </w:p>
          <w:p w14:paraId="0F6FE5E0">
            <w:pPr>
              <w:pStyle w:val="6"/>
              <w:spacing w:line="228" w:lineRule="auto"/>
              <w:ind w:left="81"/>
              <w:rPr>
                <w:sz w:val="20"/>
                <w:szCs w:val="20"/>
              </w:rPr>
            </w:pPr>
            <w:r>
              <w:rPr>
                <w:spacing w:val="5"/>
                <w:sz w:val="20"/>
                <w:szCs w:val="20"/>
              </w:rPr>
              <w:t>废气</w:t>
            </w:r>
          </w:p>
        </w:tc>
        <w:tc>
          <w:tcPr>
            <w:tcW w:w="1369" w:type="dxa"/>
            <w:vAlign w:val="top"/>
          </w:tcPr>
          <w:p w14:paraId="1464F584">
            <w:pPr>
              <w:pStyle w:val="6"/>
              <w:spacing w:before="173" w:line="228" w:lineRule="auto"/>
              <w:ind w:left="168"/>
              <w:rPr>
                <w:sz w:val="20"/>
                <w:szCs w:val="20"/>
              </w:rPr>
            </w:pPr>
            <w:r>
              <w:rPr>
                <w:spacing w:val="7"/>
                <w:sz w:val="20"/>
                <w:szCs w:val="20"/>
              </w:rPr>
              <w:t>非甲烷总烃</w:t>
            </w:r>
          </w:p>
        </w:tc>
        <w:tc>
          <w:tcPr>
            <w:tcW w:w="1112" w:type="dxa"/>
            <w:vAlign w:val="top"/>
          </w:tcPr>
          <w:p w14:paraId="23CEB088">
            <w:pPr>
              <w:pStyle w:val="6"/>
              <w:spacing w:before="173" w:line="228" w:lineRule="auto"/>
              <w:ind w:left="144"/>
              <w:rPr>
                <w:sz w:val="20"/>
                <w:szCs w:val="20"/>
              </w:rPr>
            </w:pPr>
            <w:r>
              <w:rPr>
                <w:spacing w:val="6"/>
                <w:sz w:val="20"/>
                <w:szCs w:val="20"/>
              </w:rPr>
              <w:t>大气环境</w:t>
            </w:r>
          </w:p>
        </w:tc>
        <w:tc>
          <w:tcPr>
            <w:tcW w:w="696" w:type="dxa"/>
            <w:vAlign w:val="top"/>
          </w:tcPr>
          <w:p w14:paraId="6005B245">
            <w:pPr>
              <w:pStyle w:val="6"/>
              <w:spacing w:before="37" w:line="231" w:lineRule="auto"/>
              <w:ind w:left="145" w:right="29" w:hanging="103"/>
              <w:rPr>
                <w:sz w:val="20"/>
                <w:szCs w:val="20"/>
              </w:rPr>
            </w:pPr>
            <w:r>
              <w:rPr>
                <w:spacing w:val="6"/>
                <w:sz w:val="20"/>
                <w:szCs w:val="20"/>
              </w:rPr>
              <w:t>污染物</w:t>
            </w:r>
            <w:r>
              <w:rPr>
                <w:spacing w:val="4"/>
                <w:sz w:val="20"/>
                <w:szCs w:val="20"/>
              </w:rPr>
              <w:t>扩散</w:t>
            </w:r>
          </w:p>
        </w:tc>
        <w:tc>
          <w:tcPr>
            <w:tcW w:w="506" w:type="dxa"/>
            <w:vAlign w:val="top"/>
          </w:tcPr>
          <w:p w14:paraId="540E8C23">
            <w:pPr>
              <w:pStyle w:val="6"/>
              <w:spacing w:before="173" w:line="228" w:lineRule="auto"/>
              <w:ind w:left="55"/>
              <w:rPr>
                <w:sz w:val="20"/>
                <w:szCs w:val="20"/>
              </w:rPr>
            </w:pPr>
            <w:r>
              <w:rPr>
                <w:spacing w:val="3"/>
                <w:sz w:val="20"/>
                <w:szCs w:val="20"/>
              </w:rPr>
              <w:t>短期</w:t>
            </w:r>
          </w:p>
        </w:tc>
        <w:tc>
          <w:tcPr>
            <w:tcW w:w="1131" w:type="dxa"/>
            <w:vMerge w:val="continue"/>
            <w:tcBorders>
              <w:top w:val="nil"/>
            </w:tcBorders>
            <w:vAlign w:val="top"/>
          </w:tcPr>
          <w:p w14:paraId="0F089CF2">
            <w:pPr>
              <w:rPr>
                <w:rFonts w:ascii="Arial"/>
                <w:sz w:val="21"/>
              </w:rPr>
            </w:pPr>
          </w:p>
        </w:tc>
        <w:tc>
          <w:tcPr>
            <w:tcW w:w="685" w:type="dxa"/>
            <w:tcBorders>
              <w:right w:val="single" w:color="000000" w:sz="6" w:space="0"/>
            </w:tcBorders>
            <w:vAlign w:val="top"/>
          </w:tcPr>
          <w:p w14:paraId="0084ABAB">
            <w:pPr>
              <w:pStyle w:val="6"/>
              <w:spacing w:before="172" w:line="229" w:lineRule="auto"/>
              <w:ind w:left="197"/>
              <w:rPr>
                <w:sz w:val="20"/>
                <w:szCs w:val="20"/>
              </w:rPr>
            </w:pPr>
            <w:r>
              <w:rPr>
                <w:sz w:val="20"/>
                <w:szCs w:val="20"/>
              </w:rPr>
              <w:t>弱</w:t>
            </w:r>
          </w:p>
        </w:tc>
      </w:tr>
      <w:tr w14:paraId="448440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495" w:type="dxa"/>
            <w:vMerge w:val="continue"/>
            <w:tcBorders>
              <w:top w:val="nil"/>
              <w:left w:val="single" w:color="000000" w:sz="6" w:space="0"/>
              <w:bottom w:val="nil"/>
            </w:tcBorders>
            <w:textDirection w:val="tbRlV"/>
            <w:vAlign w:val="top"/>
          </w:tcPr>
          <w:p w14:paraId="3014CB59">
            <w:pPr>
              <w:rPr>
                <w:rFonts w:ascii="Arial"/>
                <w:sz w:val="21"/>
              </w:rPr>
            </w:pPr>
          </w:p>
        </w:tc>
        <w:tc>
          <w:tcPr>
            <w:tcW w:w="661" w:type="dxa"/>
            <w:vMerge w:val="continue"/>
            <w:tcBorders>
              <w:top w:val="nil"/>
              <w:bottom w:val="nil"/>
            </w:tcBorders>
            <w:vAlign w:val="top"/>
          </w:tcPr>
          <w:p w14:paraId="37D2B2DC">
            <w:pPr>
              <w:rPr>
                <w:rFonts w:ascii="Arial"/>
                <w:sz w:val="21"/>
              </w:rPr>
            </w:pPr>
          </w:p>
        </w:tc>
        <w:tc>
          <w:tcPr>
            <w:tcW w:w="478" w:type="dxa"/>
            <w:vMerge w:val="restart"/>
            <w:tcBorders>
              <w:bottom w:val="nil"/>
            </w:tcBorders>
            <w:vAlign w:val="top"/>
          </w:tcPr>
          <w:p w14:paraId="3B43D1B1">
            <w:pPr>
              <w:spacing w:line="437" w:lineRule="auto"/>
              <w:rPr>
                <w:rFonts w:ascii="Arial"/>
                <w:sz w:val="21"/>
              </w:rPr>
            </w:pPr>
          </w:p>
          <w:p w14:paraId="70185608">
            <w:pPr>
              <w:pStyle w:val="6"/>
              <w:spacing w:before="65" w:line="228" w:lineRule="auto"/>
              <w:ind w:left="26"/>
              <w:rPr>
                <w:sz w:val="20"/>
                <w:szCs w:val="20"/>
              </w:rPr>
            </w:pPr>
            <w:r>
              <w:rPr>
                <w:spacing w:val="5"/>
                <w:sz w:val="20"/>
                <w:szCs w:val="20"/>
              </w:rPr>
              <w:t>废水</w:t>
            </w:r>
          </w:p>
        </w:tc>
        <w:tc>
          <w:tcPr>
            <w:tcW w:w="1190" w:type="dxa"/>
            <w:vAlign w:val="top"/>
          </w:tcPr>
          <w:p w14:paraId="1187514C">
            <w:pPr>
              <w:pStyle w:val="6"/>
              <w:spacing w:before="261" w:line="228" w:lineRule="auto"/>
              <w:ind w:left="175"/>
              <w:rPr>
                <w:sz w:val="20"/>
                <w:szCs w:val="20"/>
              </w:rPr>
            </w:pPr>
            <w:r>
              <w:rPr>
                <w:spacing w:val="7"/>
                <w:sz w:val="20"/>
                <w:szCs w:val="20"/>
              </w:rPr>
              <w:t>钻井过程</w:t>
            </w:r>
          </w:p>
        </w:tc>
        <w:tc>
          <w:tcPr>
            <w:tcW w:w="578" w:type="dxa"/>
            <w:vAlign w:val="top"/>
          </w:tcPr>
          <w:p w14:paraId="00E9DB02">
            <w:pPr>
              <w:pStyle w:val="6"/>
              <w:spacing w:before="139" w:line="225" w:lineRule="auto"/>
              <w:ind w:left="81" w:right="80"/>
              <w:rPr>
                <w:sz w:val="20"/>
                <w:szCs w:val="20"/>
              </w:rPr>
            </w:pPr>
            <w:r>
              <w:rPr>
                <w:spacing w:val="4"/>
                <w:sz w:val="20"/>
                <w:szCs w:val="20"/>
              </w:rPr>
              <w:t>钻井</w:t>
            </w:r>
            <w:r>
              <w:rPr>
                <w:spacing w:val="5"/>
                <w:sz w:val="20"/>
                <w:szCs w:val="20"/>
              </w:rPr>
              <w:t>废水</w:t>
            </w:r>
          </w:p>
        </w:tc>
        <w:tc>
          <w:tcPr>
            <w:tcW w:w="1369" w:type="dxa"/>
            <w:vAlign w:val="top"/>
          </w:tcPr>
          <w:p w14:paraId="7D2F12A2">
            <w:pPr>
              <w:pStyle w:val="6"/>
              <w:spacing w:before="56" w:line="186" w:lineRule="auto"/>
              <w:ind w:left="140"/>
              <w:rPr>
                <w:sz w:val="20"/>
                <w:szCs w:val="20"/>
              </w:rPr>
            </w:pPr>
            <w:r>
              <w:rPr>
                <w:rFonts w:ascii="Times New Roman" w:hAnsi="Times New Roman" w:eastAsia="Times New Roman" w:cs="Times New Roman"/>
                <w:sz w:val="20"/>
                <w:szCs w:val="20"/>
              </w:rPr>
              <w:t>COD</w:t>
            </w:r>
            <w:r>
              <w:rPr>
                <w:rFonts w:ascii="Times New Roman" w:hAnsi="Times New Roman" w:eastAsia="Times New Roman" w:cs="Times New Roman"/>
                <w:spacing w:val="-25"/>
                <w:sz w:val="20"/>
                <w:szCs w:val="20"/>
              </w:rPr>
              <w:t xml:space="preserve"> </w:t>
            </w:r>
            <w:r>
              <w:rPr>
                <w:spacing w:val="3"/>
                <w:sz w:val="20"/>
                <w:szCs w:val="20"/>
              </w:rPr>
              <w:t>、</w:t>
            </w:r>
            <w:r>
              <w:rPr>
                <w:rFonts w:ascii="Times New Roman" w:hAnsi="Times New Roman" w:eastAsia="Times New Roman" w:cs="Times New Roman"/>
                <w:sz w:val="20"/>
                <w:szCs w:val="20"/>
              </w:rPr>
              <w:t>SS</w:t>
            </w:r>
            <w:r>
              <w:rPr>
                <w:spacing w:val="3"/>
                <w:sz w:val="20"/>
                <w:szCs w:val="20"/>
              </w:rPr>
              <w:t>、</w:t>
            </w:r>
          </w:p>
          <w:p w14:paraId="1719F985">
            <w:pPr>
              <w:pStyle w:val="6"/>
              <w:spacing w:before="1" w:line="222" w:lineRule="auto"/>
              <w:ind w:left="8"/>
              <w:rPr>
                <w:sz w:val="20"/>
                <w:szCs w:val="20"/>
              </w:rPr>
            </w:pPr>
            <w:r>
              <w:rPr>
                <w:rFonts w:ascii="Times New Roman" w:hAnsi="Times New Roman" w:eastAsia="Times New Roman" w:cs="Times New Roman"/>
                <w:sz w:val="20"/>
                <w:szCs w:val="20"/>
              </w:rPr>
              <w:t>BOD</w:t>
            </w:r>
            <w:r>
              <w:rPr>
                <w:rFonts w:ascii="Times New Roman" w:hAnsi="Times New Roman" w:eastAsia="Times New Roman" w:cs="Times New Roman"/>
                <w:spacing w:val="5"/>
                <w:position w:val="-1"/>
                <w:sz w:val="13"/>
                <w:szCs w:val="13"/>
              </w:rPr>
              <w:t>5</w:t>
            </w:r>
            <w:r>
              <w:rPr>
                <w:rFonts w:ascii="Times New Roman" w:hAnsi="Times New Roman" w:eastAsia="Times New Roman" w:cs="Times New Roman"/>
                <w:spacing w:val="-10"/>
                <w:position w:val="-1"/>
                <w:sz w:val="13"/>
                <w:szCs w:val="13"/>
              </w:rPr>
              <w:t xml:space="preserve"> </w:t>
            </w:r>
            <w:r>
              <w:rPr>
                <w:spacing w:val="5"/>
                <w:sz w:val="20"/>
                <w:szCs w:val="20"/>
              </w:rPr>
              <w:t>、氨氮、</w:t>
            </w:r>
          </w:p>
          <w:p w14:paraId="18694EA5">
            <w:pPr>
              <w:pStyle w:val="6"/>
              <w:spacing w:before="1" w:line="196" w:lineRule="auto"/>
              <w:ind w:left="268"/>
              <w:rPr>
                <w:sz w:val="20"/>
                <w:szCs w:val="20"/>
              </w:rPr>
            </w:pPr>
            <w:r>
              <w:rPr>
                <w:spacing w:val="7"/>
                <w:sz w:val="20"/>
                <w:szCs w:val="20"/>
              </w:rPr>
              <w:t>石油类等</w:t>
            </w:r>
          </w:p>
        </w:tc>
        <w:tc>
          <w:tcPr>
            <w:tcW w:w="1112" w:type="dxa"/>
            <w:vAlign w:val="top"/>
          </w:tcPr>
          <w:p w14:paraId="7BA6F5D7">
            <w:pPr>
              <w:pStyle w:val="6"/>
              <w:spacing w:before="260" w:line="228" w:lineRule="auto"/>
              <w:ind w:left="36"/>
              <w:rPr>
                <w:sz w:val="20"/>
                <w:szCs w:val="20"/>
              </w:rPr>
            </w:pPr>
            <w:r>
              <w:rPr>
                <w:spacing w:val="8"/>
                <w:sz w:val="20"/>
                <w:szCs w:val="20"/>
              </w:rPr>
              <w:t>地下水环境</w:t>
            </w:r>
          </w:p>
        </w:tc>
        <w:tc>
          <w:tcPr>
            <w:tcW w:w="696" w:type="dxa"/>
            <w:vAlign w:val="top"/>
          </w:tcPr>
          <w:p w14:paraId="00306AD3">
            <w:pPr>
              <w:pStyle w:val="6"/>
              <w:spacing w:before="261" w:line="228" w:lineRule="auto"/>
              <w:ind w:left="146"/>
              <w:rPr>
                <w:sz w:val="20"/>
                <w:szCs w:val="20"/>
              </w:rPr>
            </w:pPr>
            <w:r>
              <w:rPr>
                <w:spacing w:val="4"/>
                <w:sz w:val="20"/>
                <w:szCs w:val="20"/>
              </w:rPr>
              <w:t>井漏</w:t>
            </w:r>
          </w:p>
        </w:tc>
        <w:tc>
          <w:tcPr>
            <w:tcW w:w="506" w:type="dxa"/>
            <w:vAlign w:val="top"/>
          </w:tcPr>
          <w:p w14:paraId="4918DD56">
            <w:pPr>
              <w:pStyle w:val="6"/>
              <w:spacing w:before="261" w:line="228" w:lineRule="auto"/>
              <w:ind w:left="55"/>
              <w:rPr>
                <w:sz w:val="20"/>
                <w:szCs w:val="20"/>
              </w:rPr>
            </w:pPr>
            <w:r>
              <w:rPr>
                <w:spacing w:val="3"/>
                <w:sz w:val="20"/>
                <w:szCs w:val="20"/>
              </w:rPr>
              <w:t>短期</w:t>
            </w:r>
          </w:p>
        </w:tc>
        <w:tc>
          <w:tcPr>
            <w:tcW w:w="1131" w:type="dxa"/>
            <w:vAlign w:val="top"/>
          </w:tcPr>
          <w:p w14:paraId="4E05895C">
            <w:pPr>
              <w:pStyle w:val="6"/>
              <w:spacing w:before="260" w:line="228" w:lineRule="auto"/>
              <w:ind w:left="51"/>
              <w:rPr>
                <w:sz w:val="20"/>
                <w:szCs w:val="20"/>
              </w:rPr>
            </w:pPr>
            <w:r>
              <w:rPr>
                <w:spacing w:val="7"/>
                <w:sz w:val="20"/>
                <w:szCs w:val="20"/>
              </w:rPr>
              <w:t>周边含水层</w:t>
            </w:r>
          </w:p>
        </w:tc>
        <w:tc>
          <w:tcPr>
            <w:tcW w:w="685" w:type="dxa"/>
            <w:tcBorders>
              <w:right w:val="single" w:color="000000" w:sz="6" w:space="0"/>
            </w:tcBorders>
            <w:vAlign w:val="top"/>
          </w:tcPr>
          <w:p w14:paraId="00801A1E">
            <w:pPr>
              <w:pStyle w:val="6"/>
              <w:spacing w:before="260" w:line="229" w:lineRule="auto"/>
              <w:ind w:left="197"/>
              <w:rPr>
                <w:sz w:val="20"/>
                <w:szCs w:val="20"/>
              </w:rPr>
            </w:pPr>
            <w:r>
              <w:rPr>
                <w:sz w:val="20"/>
                <w:szCs w:val="20"/>
              </w:rPr>
              <w:t>弱</w:t>
            </w:r>
          </w:p>
        </w:tc>
      </w:tr>
      <w:tr w14:paraId="45F65D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495" w:type="dxa"/>
            <w:vMerge w:val="continue"/>
            <w:tcBorders>
              <w:top w:val="nil"/>
              <w:left w:val="single" w:color="000000" w:sz="6" w:space="0"/>
              <w:bottom w:val="nil"/>
            </w:tcBorders>
            <w:textDirection w:val="tbRlV"/>
            <w:vAlign w:val="top"/>
          </w:tcPr>
          <w:p w14:paraId="2B718895">
            <w:pPr>
              <w:rPr>
                <w:rFonts w:ascii="Arial"/>
                <w:sz w:val="21"/>
              </w:rPr>
            </w:pPr>
          </w:p>
        </w:tc>
        <w:tc>
          <w:tcPr>
            <w:tcW w:w="661" w:type="dxa"/>
            <w:vMerge w:val="continue"/>
            <w:tcBorders>
              <w:top w:val="nil"/>
              <w:bottom w:val="nil"/>
            </w:tcBorders>
            <w:vAlign w:val="top"/>
          </w:tcPr>
          <w:p w14:paraId="1721B224">
            <w:pPr>
              <w:rPr>
                <w:rFonts w:ascii="Arial"/>
                <w:sz w:val="21"/>
              </w:rPr>
            </w:pPr>
          </w:p>
        </w:tc>
        <w:tc>
          <w:tcPr>
            <w:tcW w:w="478" w:type="dxa"/>
            <w:vMerge w:val="continue"/>
            <w:tcBorders>
              <w:top w:val="nil"/>
            </w:tcBorders>
            <w:vAlign w:val="top"/>
          </w:tcPr>
          <w:p w14:paraId="40E3C791">
            <w:pPr>
              <w:rPr>
                <w:rFonts w:ascii="Arial"/>
                <w:sz w:val="21"/>
              </w:rPr>
            </w:pPr>
          </w:p>
        </w:tc>
        <w:tc>
          <w:tcPr>
            <w:tcW w:w="1190" w:type="dxa"/>
            <w:vAlign w:val="top"/>
          </w:tcPr>
          <w:p w14:paraId="71B30DCB">
            <w:pPr>
              <w:pStyle w:val="6"/>
              <w:spacing w:before="141" w:line="228" w:lineRule="auto"/>
              <w:ind w:left="176"/>
              <w:rPr>
                <w:sz w:val="20"/>
                <w:szCs w:val="20"/>
              </w:rPr>
            </w:pPr>
            <w:r>
              <w:rPr>
                <w:spacing w:val="7"/>
                <w:sz w:val="20"/>
                <w:szCs w:val="20"/>
              </w:rPr>
              <w:t>职工生活</w:t>
            </w:r>
          </w:p>
        </w:tc>
        <w:tc>
          <w:tcPr>
            <w:tcW w:w="578" w:type="dxa"/>
            <w:vAlign w:val="top"/>
          </w:tcPr>
          <w:p w14:paraId="51D2EBE9">
            <w:pPr>
              <w:pStyle w:val="6"/>
              <w:spacing w:before="20" w:line="222" w:lineRule="auto"/>
              <w:ind w:left="82"/>
              <w:rPr>
                <w:sz w:val="20"/>
                <w:szCs w:val="20"/>
              </w:rPr>
            </w:pPr>
            <w:r>
              <w:rPr>
                <w:spacing w:val="4"/>
                <w:sz w:val="20"/>
                <w:szCs w:val="20"/>
              </w:rPr>
              <w:t>盥洗</w:t>
            </w:r>
          </w:p>
          <w:p w14:paraId="3CB173FB">
            <w:pPr>
              <w:pStyle w:val="6"/>
              <w:spacing w:line="197" w:lineRule="auto"/>
              <w:ind w:left="81"/>
              <w:rPr>
                <w:sz w:val="20"/>
                <w:szCs w:val="20"/>
              </w:rPr>
            </w:pPr>
            <w:r>
              <w:rPr>
                <w:spacing w:val="5"/>
                <w:sz w:val="20"/>
                <w:szCs w:val="20"/>
              </w:rPr>
              <w:t>废水</w:t>
            </w:r>
          </w:p>
        </w:tc>
        <w:tc>
          <w:tcPr>
            <w:tcW w:w="1369" w:type="dxa"/>
            <w:vAlign w:val="top"/>
          </w:tcPr>
          <w:p w14:paraId="7A8BA0F0">
            <w:pPr>
              <w:pStyle w:val="6"/>
              <w:spacing w:before="56" w:line="193" w:lineRule="auto"/>
              <w:ind w:left="157" w:right="25" w:hanging="149"/>
              <w:rPr>
                <w:sz w:val="20"/>
                <w:szCs w:val="20"/>
              </w:rPr>
            </w:pPr>
            <w:r>
              <w:rPr>
                <w:rFonts w:ascii="Times New Roman" w:hAnsi="Times New Roman" w:eastAsia="Times New Roman" w:cs="Times New Roman"/>
                <w:spacing w:val="-1"/>
                <w:sz w:val="20"/>
                <w:szCs w:val="20"/>
              </w:rPr>
              <w:t>COD</w:t>
            </w:r>
            <w:r>
              <w:rPr>
                <w:rFonts w:ascii="Times New Roman" w:hAnsi="Times New Roman" w:eastAsia="Times New Roman" w:cs="Times New Roman"/>
                <w:spacing w:val="-21"/>
                <w:sz w:val="20"/>
                <w:szCs w:val="20"/>
              </w:rPr>
              <w:t xml:space="preserve"> </w:t>
            </w:r>
            <w:r>
              <w:rPr>
                <w:spacing w:val="-1"/>
                <w:sz w:val="20"/>
                <w:szCs w:val="20"/>
              </w:rPr>
              <w:t>、</w:t>
            </w:r>
            <w:r>
              <w:rPr>
                <w:rFonts w:ascii="Times New Roman" w:hAnsi="Times New Roman" w:eastAsia="Times New Roman" w:cs="Times New Roman"/>
                <w:spacing w:val="-1"/>
                <w:sz w:val="20"/>
                <w:szCs w:val="20"/>
              </w:rPr>
              <w:t>BOD</w:t>
            </w:r>
            <w:r>
              <w:rPr>
                <w:rFonts w:ascii="Times New Roman" w:hAnsi="Times New Roman" w:eastAsia="Times New Roman" w:cs="Times New Roman"/>
                <w:spacing w:val="-1"/>
                <w:position w:val="-1"/>
                <w:sz w:val="13"/>
                <w:szCs w:val="13"/>
              </w:rPr>
              <w:t>5</w:t>
            </w:r>
            <w:r>
              <w:rPr>
                <w:spacing w:val="-1"/>
                <w:sz w:val="20"/>
                <w:szCs w:val="20"/>
              </w:rPr>
              <w:t>、</w:t>
            </w:r>
            <w:r>
              <w:rPr>
                <w:sz w:val="20"/>
                <w:szCs w:val="20"/>
              </w:rPr>
              <w:t xml:space="preserve"> </w:t>
            </w:r>
            <w:r>
              <w:rPr>
                <w:rFonts w:ascii="Times New Roman" w:hAnsi="Times New Roman" w:eastAsia="Times New Roman" w:cs="Times New Roman"/>
                <w:sz w:val="20"/>
                <w:szCs w:val="20"/>
              </w:rPr>
              <w:t>SS</w:t>
            </w:r>
            <w:r>
              <w:rPr>
                <w:rFonts w:ascii="Times New Roman" w:hAnsi="Times New Roman" w:eastAsia="Times New Roman" w:cs="Times New Roman"/>
                <w:spacing w:val="-25"/>
                <w:sz w:val="20"/>
                <w:szCs w:val="20"/>
              </w:rPr>
              <w:t xml:space="preserve"> </w:t>
            </w:r>
            <w:r>
              <w:rPr>
                <w:spacing w:val="2"/>
                <w:sz w:val="20"/>
                <w:szCs w:val="20"/>
              </w:rPr>
              <w:t>、氨氮等</w:t>
            </w:r>
          </w:p>
        </w:tc>
        <w:tc>
          <w:tcPr>
            <w:tcW w:w="1112" w:type="dxa"/>
            <w:vAlign w:val="top"/>
          </w:tcPr>
          <w:p w14:paraId="042C5736">
            <w:pPr>
              <w:spacing w:before="265" w:line="97" w:lineRule="exact"/>
              <w:ind w:left="49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696" w:type="dxa"/>
            <w:vAlign w:val="top"/>
          </w:tcPr>
          <w:p w14:paraId="5767B260">
            <w:pPr>
              <w:spacing w:before="265" w:line="97" w:lineRule="exact"/>
              <w:ind w:left="28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506" w:type="dxa"/>
            <w:vAlign w:val="top"/>
          </w:tcPr>
          <w:p w14:paraId="7736C498">
            <w:pPr>
              <w:pStyle w:val="6"/>
              <w:spacing w:before="141" w:line="228" w:lineRule="auto"/>
              <w:ind w:left="55"/>
              <w:rPr>
                <w:sz w:val="20"/>
                <w:szCs w:val="20"/>
              </w:rPr>
            </w:pPr>
            <w:r>
              <w:rPr>
                <w:spacing w:val="3"/>
                <w:sz w:val="20"/>
                <w:szCs w:val="20"/>
              </w:rPr>
              <w:t>短期</w:t>
            </w:r>
          </w:p>
        </w:tc>
        <w:tc>
          <w:tcPr>
            <w:tcW w:w="1131" w:type="dxa"/>
            <w:vAlign w:val="top"/>
          </w:tcPr>
          <w:p w14:paraId="226C2761">
            <w:pPr>
              <w:spacing w:before="265" w:line="97" w:lineRule="exact"/>
              <w:ind w:left="50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w:t>
            </w:r>
          </w:p>
        </w:tc>
        <w:tc>
          <w:tcPr>
            <w:tcW w:w="685" w:type="dxa"/>
            <w:tcBorders>
              <w:right w:val="single" w:color="000000" w:sz="6" w:space="0"/>
            </w:tcBorders>
            <w:vAlign w:val="top"/>
          </w:tcPr>
          <w:p w14:paraId="30A05571">
            <w:pPr>
              <w:pStyle w:val="6"/>
              <w:spacing w:before="141" w:line="229" w:lineRule="auto"/>
              <w:ind w:left="197"/>
              <w:rPr>
                <w:sz w:val="20"/>
                <w:szCs w:val="20"/>
              </w:rPr>
            </w:pPr>
            <w:r>
              <w:rPr>
                <w:sz w:val="20"/>
                <w:szCs w:val="20"/>
              </w:rPr>
              <w:t>弱</w:t>
            </w:r>
          </w:p>
        </w:tc>
      </w:tr>
      <w:tr w14:paraId="07FA21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95" w:type="dxa"/>
            <w:vMerge w:val="continue"/>
            <w:tcBorders>
              <w:top w:val="nil"/>
              <w:left w:val="single" w:color="000000" w:sz="6" w:space="0"/>
              <w:bottom w:val="nil"/>
            </w:tcBorders>
            <w:textDirection w:val="tbRlV"/>
            <w:vAlign w:val="top"/>
          </w:tcPr>
          <w:p w14:paraId="50E2404B">
            <w:pPr>
              <w:rPr>
                <w:rFonts w:ascii="Arial"/>
                <w:sz w:val="21"/>
              </w:rPr>
            </w:pPr>
          </w:p>
        </w:tc>
        <w:tc>
          <w:tcPr>
            <w:tcW w:w="661" w:type="dxa"/>
            <w:vMerge w:val="continue"/>
            <w:tcBorders>
              <w:top w:val="nil"/>
              <w:bottom w:val="nil"/>
            </w:tcBorders>
            <w:vAlign w:val="top"/>
          </w:tcPr>
          <w:p w14:paraId="6E41F4E1">
            <w:pPr>
              <w:rPr>
                <w:rFonts w:ascii="Arial"/>
                <w:sz w:val="21"/>
              </w:rPr>
            </w:pPr>
          </w:p>
        </w:tc>
        <w:tc>
          <w:tcPr>
            <w:tcW w:w="478" w:type="dxa"/>
            <w:vAlign w:val="top"/>
          </w:tcPr>
          <w:p w14:paraId="1D464775">
            <w:pPr>
              <w:pStyle w:val="6"/>
              <w:spacing w:before="174" w:line="228" w:lineRule="auto"/>
              <w:ind w:left="37"/>
              <w:rPr>
                <w:sz w:val="20"/>
                <w:szCs w:val="20"/>
              </w:rPr>
            </w:pPr>
            <w:r>
              <w:rPr>
                <w:spacing w:val="-1"/>
                <w:sz w:val="20"/>
                <w:szCs w:val="20"/>
              </w:rPr>
              <w:t>噪声</w:t>
            </w:r>
          </w:p>
        </w:tc>
        <w:tc>
          <w:tcPr>
            <w:tcW w:w="1190" w:type="dxa"/>
            <w:vAlign w:val="top"/>
          </w:tcPr>
          <w:p w14:paraId="26424314">
            <w:pPr>
              <w:pStyle w:val="6"/>
              <w:spacing w:before="40" w:line="230" w:lineRule="auto"/>
              <w:ind w:left="495" w:right="71" w:hanging="423"/>
              <w:rPr>
                <w:sz w:val="20"/>
                <w:szCs w:val="20"/>
              </w:rPr>
            </w:pPr>
            <w:r>
              <w:rPr>
                <w:spacing w:val="8"/>
                <w:sz w:val="20"/>
                <w:szCs w:val="20"/>
              </w:rPr>
              <w:t>钻井设备运</w:t>
            </w:r>
            <w:r>
              <w:rPr>
                <w:sz w:val="20"/>
                <w:szCs w:val="20"/>
              </w:rPr>
              <w:t>行</w:t>
            </w:r>
          </w:p>
        </w:tc>
        <w:tc>
          <w:tcPr>
            <w:tcW w:w="1947" w:type="dxa"/>
            <w:gridSpan w:val="2"/>
            <w:vAlign w:val="top"/>
          </w:tcPr>
          <w:p w14:paraId="37AF9038">
            <w:pPr>
              <w:pStyle w:val="6"/>
              <w:spacing w:before="174" w:line="228" w:lineRule="auto"/>
              <w:ind w:left="346"/>
              <w:rPr>
                <w:sz w:val="20"/>
                <w:szCs w:val="20"/>
              </w:rPr>
            </w:pPr>
            <w:r>
              <w:rPr>
                <w:spacing w:val="8"/>
                <w:sz w:val="20"/>
                <w:szCs w:val="20"/>
              </w:rPr>
              <w:t>钻井设备噪声</w:t>
            </w:r>
          </w:p>
        </w:tc>
        <w:tc>
          <w:tcPr>
            <w:tcW w:w="1112" w:type="dxa"/>
            <w:vAlign w:val="top"/>
          </w:tcPr>
          <w:p w14:paraId="2A8B50F7">
            <w:pPr>
              <w:pStyle w:val="6"/>
              <w:spacing w:before="174" w:line="228" w:lineRule="auto"/>
              <w:ind w:left="251"/>
              <w:rPr>
                <w:sz w:val="20"/>
                <w:szCs w:val="20"/>
              </w:rPr>
            </w:pPr>
            <w:r>
              <w:rPr>
                <w:spacing w:val="5"/>
                <w:sz w:val="20"/>
                <w:szCs w:val="20"/>
              </w:rPr>
              <w:t>声环境</w:t>
            </w:r>
          </w:p>
        </w:tc>
        <w:tc>
          <w:tcPr>
            <w:tcW w:w="696" w:type="dxa"/>
            <w:vAlign w:val="top"/>
          </w:tcPr>
          <w:p w14:paraId="1D7381A1">
            <w:pPr>
              <w:pStyle w:val="6"/>
              <w:spacing w:before="174" w:line="227" w:lineRule="auto"/>
              <w:ind w:left="44"/>
              <w:rPr>
                <w:sz w:val="20"/>
                <w:szCs w:val="20"/>
              </w:rPr>
            </w:pPr>
            <w:r>
              <w:rPr>
                <w:spacing w:val="5"/>
                <w:sz w:val="20"/>
                <w:szCs w:val="20"/>
              </w:rPr>
              <w:t>声传播</w:t>
            </w:r>
          </w:p>
        </w:tc>
        <w:tc>
          <w:tcPr>
            <w:tcW w:w="506" w:type="dxa"/>
            <w:vAlign w:val="top"/>
          </w:tcPr>
          <w:p w14:paraId="4CF8CA64">
            <w:pPr>
              <w:pStyle w:val="6"/>
              <w:spacing w:before="174" w:line="228" w:lineRule="auto"/>
              <w:ind w:left="55"/>
              <w:rPr>
                <w:sz w:val="20"/>
                <w:szCs w:val="20"/>
              </w:rPr>
            </w:pPr>
            <w:r>
              <w:rPr>
                <w:spacing w:val="3"/>
                <w:sz w:val="20"/>
                <w:szCs w:val="20"/>
              </w:rPr>
              <w:t>短期</w:t>
            </w:r>
          </w:p>
        </w:tc>
        <w:tc>
          <w:tcPr>
            <w:tcW w:w="1131" w:type="dxa"/>
            <w:vAlign w:val="top"/>
          </w:tcPr>
          <w:p w14:paraId="787F71B1">
            <w:pPr>
              <w:pStyle w:val="6"/>
              <w:spacing w:before="40" w:line="228" w:lineRule="auto"/>
              <w:ind w:left="50"/>
              <w:rPr>
                <w:sz w:val="20"/>
                <w:szCs w:val="20"/>
              </w:rPr>
            </w:pPr>
            <w:r>
              <w:rPr>
                <w:spacing w:val="8"/>
                <w:sz w:val="20"/>
                <w:szCs w:val="20"/>
              </w:rPr>
              <w:t>井场及周边</w:t>
            </w:r>
          </w:p>
          <w:p w14:paraId="1B2278C5">
            <w:pPr>
              <w:pStyle w:val="6"/>
              <w:spacing w:before="24" w:line="210" w:lineRule="auto"/>
              <w:ind w:left="54"/>
              <w:rPr>
                <w:sz w:val="20"/>
                <w:szCs w:val="20"/>
              </w:rPr>
            </w:pPr>
            <w:r>
              <w:rPr>
                <w:spacing w:val="7"/>
                <w:sz w:val="20"/>
                <w:szCs w:val="20"/>
              </w:rPr>
              <w:t>受影响区域</w:t>
            </w:r>
          </w:p>
        </w:tc>
        <w:tc>
          <w:tcPr>
            <w:tcW w:w="685" w:type="dxa"/>
            <w:tcBorders>
              <w:right w:val="single" w:color="000000" w:sz="6" w:space="0"/>
            </w:tcBorders>
            <w:vAlign w:val="top"/>
          </w:tcPr>
          <w:p w14:paraId="02EDE27B">
            <w:pPr>
              <w:pStyle w:val="6"/>
              <w:spacing w:before="174" w:line="229" w:lineRule="auto"/>
              <w:ind w:left="197"/>
              <w:rPr>
                <w:sz w:val="20"/>
                <w:szCs w:val="20"/>
              </w:rPr>
            </w:pPr>
            <w:r>
              <w:rPr>
                <w:sz w:val="20"/>
                <w:szCs w:val="20"/>
              </w:rPr>
              <w:t>弱</w:t>
            </w:r>
          </w:p>
        </w:tc>
      </w:tr>
      <w:tr w14:paraId="3BEF0C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495" w:type="dxa"/>
            <w:vMerge w:val="continue"/>
            <w:tcBorders>
              <w:top w:val="nil"/>
              <w:left w:val="single" w:color="000000" w:sz="6" w:space="0"/>
              <w:bottom w:val="nil"/>
            </w:tcBorders>
            <w:textDirection w:val="tbRlV"/>
            <w:vAlign w:val="top"/>
          </w:tcPr>
          <w:p w14:paraId="1F5F4EE6">
            <w:pPr>
              <w:rPr>
                <w:rFonts w:ascii="Arial"/>
                <w:sz w:val="21"/>
              </w:rPr>
            </w:pPr>
          </w:p>
        </w:tc>
        <w:tc>
          <w:tcPr>
            <w:tcW w:w="661" w:type="dxa"/>
            <w:vMerge w:val="continue"/>
            <w:tcBorders>
              <w:top w:val="nil"/>
              <w:bottom w:val="nil"/>
            </w:tcBorders>
            <w:vAlign w:val="top"/>
          </w:tcPr>
          <w:p w14:paraId="43F8E34F">
            <w:pPr>
              <w:rPr>
                <w:rFonts w:ascii="Arial"/>
                <w:sz w:val="21"/>
              </w:rPr>
            </w:pPr>
          </w:p>
        </w:tc>
        <w:tc>
          <w:tcPr>
            <w:tcW w:w="478" w:type="dxa"/>
            <w:vMerge w:val="restart"/>
            <w:tcBorders>
              <w:bottom w:val="nil"/>
            </w:tcBorders>
            <w:vAlign w:val="top"/>
          </w:tcPr>
          <w:p w14:paraId="08332D05">
            <w:pPr>
              <w:spacing w:line="414" w:lineRule="auto"/>
              <w:rPr>
                <w:rFonts w:ascii="Arial"/>
                <w:sz w:val="21"/>
              </w:rPr>
            </w:pPr>
          </w:p>
          <w:p w14:paraId="044D2988">
            <w:pPr>
              <w:pStyle w:val="6"/>
              <w:spacing w:before="65" w:line="228" w:lineRule="auto"/>
              <w:ind w:left="45"/>
              <w:rPr>
                <w:sz w:val="20"/>
                <w:szCs w:val="20"/>
              </w:rPr>
            </w:pPr>
            <w:r>
              <w:rPr>
                <w:spacing w:val="-5"/>
                <w:sz w:val="20"/>
                <w:szCs w:val="20"/>
              </w:rPr>
              <w:t>固废</w:t>
            </w:r>
          </w:p>
        </w:tc>
        <w:tc>
          <w:tcPr>
            <w:tcW w:w="1190" w:type="dxa"/>
            <w:vAlign w:val="top"/>
          </w:tcPr>
          <w:p w14:paraId="4A147A6F">
            <w:pPr>
              <w:pStyle w:val="6"/>
              <w:spacing w:before="261" w:line="228" w:lineRule="auto"/>
              <w:ind w:left="175"/>
              <w:rPr>
                <w:sz w:val="20"/>
                <w:szCs w:val="20"/>
              </w:rPr>
            </w:pPr>
            <w:r>
              <w:rPr>
                <w:spacing w:val="7"/>
                <w:sz w:val="20"/>
                <w:szCs w:val="20"/>
              </w:rPr>
              <w:t>钻井过程</w:t>
            </w:r>
          </w:p>
        </w:tc>
        <w:tc>
          <w:tcPr>
            <w:tcW w:w="1947" w:type="dxa"/>
            <w:gridSpan w:val="2"/>
            <w:vAlign w:val="top"/>
          </w:tcPr>
          <w:p w14:paraId="3C099B71">
            <w:pPr>
              <w:pStyle w:val="6"/>
              <w:spacing w:before="20" w:line="222" w:lineRule="auto"/>
              <w:ind w:left="31"/>
              <w:rPr>
                <w:sz w:val="20"/>
                <w:szCs w:val="20"/>
              </w:rPr>
            </w:pPr>
            <w:r>
              <w:rPr>
                <w:spacing w:val="9"/>
                <w:sz w:val="20"/>
                <w:szCs w:val="20"/>
              </w:rPr>
              <w:t>废弃泥浆及岩屑、废</w:t>
            </w:r>
          </w:p>
          <w:p w14:paraId="68E30A1B">
            <w:pPr>
              <w:pStyle w:val="6"/>
              <w:spacing w:line="221" w:lineRule="auto"/>
              <w:ind w:left="34"/>
              <w:rPr>
                <w:sz w:val="20"/>
                <w:szCs w:val="20"/>
              </w:rPr>
            </w:pPr>
            <w:r>
              <w:rPr>
                <w:spacing w:val="8"/>
                <w:sz w:val="20"/>
                <w:szCs w:val="20"/>
              </w:rPr>
              <w:t>润滑油、落地油、废</w:t>
            </w:r>
          </w:p>
          <w:p w14:paraId="469F7915">
            <w:pPr>
              <w:pStyle w:val="6"/>
              <w:spacing w:line="196" w:lineRule="auto"/>
              <w:ind w:left="571"/>
              <w:rPr>
                <w:sz w:val="20"/>
                <w:szCs w:val="20"/>
              </w:rPr>
            </w:pPr>
            <w:r>
              <w:rPr>
                <w:spacing w:val="4"/>
                <w:sz w:val="20"/>
                <w:szCs w:val="20"/>
              </w:rPr>
              <w:t>防渗材料</w:t>
            </w:r>
          </w:p>
        </w:tc>
        <w:tc>
          <w:tcPr>
            <w:tcW w:w="1112" w:type="dxa"/>
            <w:vAlign w:val="top"/>
          </w:tcPr>
          <w:p w14:paraId="3A1EF7FE">
            <w:pPr>
              <w:pStyle w:val="6"/>
              <w:spacing w:before="141" w:line="225" w:lineRule="auto"/>
              <w:ind w:left="247" w:right="29" w:hanging="211"/>
              <w:rPr>
                <w:sz w:val="20"/>
                <w:szCs w:val="20"/>
              </w:rPr>
            </w:pPr>
            <w:r>
              <w:rPr>
                <w:spacing w:val="8"/>
                <w:sz w:val="20"/>
                <w:szCs w:val="20"/>
              </w:rPr>
              <w:t>地下水及土</w:t>
            </w:r>
            <w:r>
              <w:rPr>
                <w:spacing w:val="6"/>
                <w:sz w:val="20"/>
                <w:szCs w:val="20"/>
              </w:rPr>
              <w:t>壤环境</w:t>
            </w:r>
          </w:p>
        </w:tc>
        <w:tc>
          <w:tcPr>
            <w:tcW w:w="696" w:type="dxa"/>
            <w:vAlign w:val="top"/>
          </w:tcPr>
          <w:p w14:paraId="4B086525">
            <w:pPr>
              <w:pStyle w:val="6"/>
              <w:spacing w:before="261" w:line="229" w:lineRule="auto"/>
              <w:ind w:left="149"/>
              <w:rPr>
                <w:sz w:val="20"/>
                <w:szCs w:val="20"/>
              </w:rPr>
            </w:pPr>
            <w:r>
              <w:rPr>
                <w:spacing w:val="3"/>
                <w:sz w:val="20"/>
                <w:szCs w:val="20"/>
              </w:rPr>
              <w:t>泄漏</w:t>
            </w:r>
          </w:p>
        </w:tc>
        <w:tc>
          <w:tcPr>
            <w:tcW w:w="506" w:type="dxa"/>
            <w:vAlign w:val="top"/>
          </w:tcPr>
          <w:p w14:paraId="7F9CE024">
            <w:pPr>
              <w:pStyle w:val="6"/>
              <w:spacing w:before="261" w:line="228" w:lineRule="auto"/>
              <w:ind w:left="55"/>
              <w:rPr>
                <w:sz w:val="20"/>
                <w:szCs w:val="20"/>
              </w:rPr>
            </w:pPr>
            <w:r>
              <w:rPr>
                <w:spacing w:val="3"/>
                <w:sz w:val="20"/>
                <w:szCs w:val="20"/>
              </w:rPr>
              <w:t>短期</w:t>
            </w:r>
          </w:p>
        </w:tc>
        <w:tc>
          <w:tcPr>
            <w:tcW w:w="1131" w:type="dxa"/>
            <w:vAlign w:val="top"/>
          </w:tcPr>
          <w:p w14:paraId="5FEF4089">
            <w:pPr>
              <w:pStyle w:val="6"/>
              <w:spacing w:before="141" w:line="225" w:lineRule="auto"/>
              <w:ind w:left="54" w:right="34" w:hanging="4"/>
              <w:rPr>
                <w:sz w:val="20"/>
                <w:szCs w:val="20"/>
              </w:rPr>
            </w:pPr>
            <w:r>
              <w:rPr>
                <w:spacing w:val="8"/>
                <w:sz w:val="20"/>
                <w:szCs w:val="20"/>
              </w:rPr>
              <w:t>井场及周边</w:t>
            </w:r>
            <w:r>
              <w:rPr>
                <w:spacing w:val="7"/>
                <w:sz w:val="20"/>
                <w:szCs w:val="20"/>
              </w:rPr>
              <w:t>受影响区域</w:t>
            </w:r>
          </w:p>
        </w:tc>
        <w:tc>
          <w:tcPr>
            <w:tcW w:w="685" w:type="dxa"/>
            <w:tcBorders>
              <w:right w:val="single" w:color="000000" w:sz="6" w:space="0"/>
            </w:tcBorders>
            <w:vAlign w:val="top"/>
          </w:tcPr>
          <w:p w14:paraId="416ADEBA">
            <w:pPr>
              <w:pStyle w:val="6"/>
              <w:spacing w:before="261" w:line="229" w:lineRule="auto"/>
              <w:ind w:left="197"/>
              <w:rPr>
                <w:sz w:val="20"/>
                <w:szCs w:val="20"/>
              </w:rPr>
            </w:pPr>
            <w:r>
              <w:rPr>
                <w:sz w:val="20"/>
                <w:szCs w:val="20"/>
              </w:rPr>
              <w:t>弱</w:t>
            </w:r>
          </w:p>
        </w:tc>
      </w:tr>
      <w:tr w14:paraId="5AB188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495" w:type="dxa"/>
            <w:vMerge w:val="continue"/>
            <w:tcBorders>
              <w:top w:val="nil"/>
              <w:left w:val="single" w:color="000000" w:sz="6" w:space="0"/>
              <w:bottom w:val="nil"/>
            </w:tcBorders>
            <w:textDirection w:val="tbRlV"/>
            <w:vAlign w:val="top"/>
          </w:tcPr>
          <w:p w14:paraId="13A79780">
            <w:pPr>
              <w:rPr>
                <w:rFonts w:ascii="Arial"/>
                <w:sz w:val="21"/>
              </w:rPr>
            </w:pPr>
          </w:p>
        </w:tc>
        <w:tc>
          <w:tcPr>
            <w:tcW w:w="661" w:type="dxa"/>
            <w:vMerge w:val="continue"/>
            <w:tcBorders>
              <w:top w:val="nil"/>
            </w:tcBorders>
            <w:vAlign w:val="top"/>
          </w:tcPr>
          <w:p w14:paraId="3F4E5B1A">
            <w:pPr>
              <w:rPr>
                <w:rFonts w:ascii="Arial"/>
                <w:sz w:val="21"/>
              </w:rPr>
            </w:pPr>
          </w:p>
        </w:tc>
        <w:tc>
          <w:tcPr>
            <w:tcW w:w="478" w:type="dxa"/>
            <w:vMerge w:val="continue"/>
            <w:tcBorders>
              <w:top w:val="nil"/>
            </w:tcBorders>
            <w:vAlign w:val="top"/>
          </w:tcPr>
          <w:p w14:paraId="670960E4">
            <w:pPr>
              <w:rPr>
                <w:rFonts w:ascii="Arial"/>
                <w:sz w:val="21"/>
              </w:rPr>
            </w:pPr>
          </w:p>
        </w:tc>
        <w:tc>
          <w:tcPr>
            <w:tcW w:w="1190" w:type="dxa"/>
            <w:vAlign w:val="top"/>
          </w:tcPr>
          <w:p w14:paraId="6EF7C771">
            <w:pPr>
              <w:pStyle w:val="6"/>
              <w:spacing w:before="118" w:line="228" w:lineRule="auto"/>
              <w:ind w:left="176"/>
              <w:rPr>
                <w:sz w:val="20"/>
                <w:szCs w:val="20"/>
              </w:rPr>
            </w:pPr>
            <w:r>
              <w:rPr>
                <w:spacing w:val="7"/>
                <w:sz w:val="20"/>
                <w:szCs w:val="20"/>
              </w:rPr>
              <w:t>职工生活</w:t>
            </w:r>
          </w:p>
        </w:tc>
        <w:tc>
          <w:tcPr>
            <w:tcW w:w="1947" w:type="dxa"/>
            <w:gridSpan w:val="2"/>
            <w:vAlign w:val="top"/>
          </w:tcPr>
          <w:p w14:paraId="6103B5AB">
            <w:pPr>
              <w:pStyle w:val="6"/>
              <w:spacing w:before="118" w:line="228" w:lineRule="auto"/>
              <w:ind w:left="559"/>
              <w:rPr>
                <w:sz w:val="20"/>
                <w:szCs w:val="20"/>
              </w:rPr>
            </w:pPr>
            <w:r>
              <w:rPr>
                <w:spacing w:val="6"/>
                <w:sz w:val="20"/>
                <w:szCs w:val="20"/>
              </w:rPr>
              <w:t>生活垃圾</w:t>
            </w:r>
          </w:p>
        </w:tc>
        <w:tc>
          <w:tcPr>
            <w:tcW w:w="1112" w:type="dxa"/>
            <w:vAlign w:val="top"/>
          </w:tcPr>
          <w:p w14:paraId="79ED1A4E">
            <w:pPr>
              <w:spacing w:before="241" w:line="97" w:lineRule="exact"/>
              <w:ind w:left="49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696" w:type="dxa"/>
            <w:vAlign w:val="top"/>
          </w:tcPr>
          <w:p w14:paraId="02936096">
            <w:pPr>
              <w:spacing w:before="241" w:line="97" w:lineRule="exact"/>
              <w:ind w:left="28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506" w:type="dxa"/>
            <w:vAlign w:val="top"/>
          </w:tcPr>
          <w:p w14:paraId="37C69D1D">
            <w:pPr>
              <w:pStyle w:val="6"/>
              <w:spacing w:before="118" w:line="228" w:lineRule="auto"/>
              <w:ind w:left="55"/>
              <w:rPr>
                <w:sz w:val="20"/>
                <w:szCs w:val="20"/>
              </w:rPr>
            </w:pPr>
            <w:r>
              <w:rPr>
                <w:spacing w:val="3"/>
                <w:sz w:val="20"/>
                <w:szCs w:val="20"/>
              </w:rPr>
              <w:t>短期</w:t>
            </w:r>
          </w:p>
        </w:tc>
        <w:tc>
          <w:tcPr>
            <w:tcW w:w="1131" w:type="dxa"/>
            <w:vAlign w:val="top"/>
          </w:tcPr>
          <w:p w14:paraId="7239D9C0">
            <w:pPr>
              <w:spacing w:before="241" w:line="97" w:lineRule="exact"/>
              <w:ind w:left="50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w:t>
            </w:r>
          </w:p>
        </w:tc>
        <w:tc>
          <w:tcPr>
            <w:tcW w:w="685" w:type="dxa"/>
            <w:tcBorders>
              <w:right w:val="single" w:color="000000" w:sz="6" w:space="0"/>
            </w:tcBorders>
            <w:vAlign w:val="top"/>
          </w:tcPr>
          <w:p w14:paraId="38ED471F">
            <w:pPr>
              <w:pStyle w:val="6"/>
              <w:spacing w:before="117" w:line="229" w:lineRule="auto"/>
              <w:ind w:left="197"/>
              <w:rPr>
                <w:sz w:val="20"/>
                <w:szCs w:val="20"/>
              </w:rPr>
            </w:pPr>
            <w:r>
              <w:rPr>
                <w:sz w:val="20"/>
                <w:szCs w:val="20"/>
              </w:rPr>
              <w:t>弱</w:t>
            </w:r>
          </w:p>
        </w:tc>
      </w:tr>
      <w:tr w14:paraId="19A1C4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495" w:type="dxa"/>
            <w:vMerge w:val="continue"/>
            <w:tcBorders>
              <w:top w:val="nil"/>
              <w:left w:val="single" w:color="000000" w:sz="6" w:space="0"/>
              <w:bottom w:val="nil"/>
            </w:tcBorders>
            <w:textDirection w:val="tbRlV"/>
            <w:vAlign w:val="top"/>
          </w:tcPr>
          <w:p w14:paraId="5A2D3033">
            <w:pPr>
              <w:rPr>
                <w:rFonts w:ascii="Arial"/>
                <w:sz w:val="21"/>
              </w:rPr>
            </w:pPr>
          </w:p>
        </w:tc>
        <w:tc>
          <w:tcPr>
            <w:tcW w:w="661" w:type="dxa"/>
            <w:vMerge w:val="restart"/>
            <w:tcBorders>
              <w:bottom w:val="nil"/>
            </w:tcBorders>
            <w:vAlign w:val="top"/>
          </w:tcPr>
          <w:p w14:paraId="1D66CEB7">
            <w:pPr>
              <w:spacing w:line="250" w:lineRule="auto"/>
              <w:rPr>
                <w:rFonts w:ascii="Arial"/>
                <w:sz w:val="21"/>
              </w:rPr>
            </w:pPr>
          </w:p>
          <w:p w14:paraId="3A0A257C">
            <w:pPr>
              <w:spacing w:line="250" w:lineRule="auto"/>
              <w:rPr>
                <w:rFonts w:ascii="Arial"/>
                <w:sz w:val="21"/>
              </w:rPr>
            </w:pPr>
          </w:p>
          <w:p w14:paraId="0DC44B0C">
            <w:pPr>
              <w:spacing w:line="250" w:lineRule="auto"/>
              <w:rPr>
                <w:rFonts w:ascii="Arial"/>
                <w:sz w:val="21"/>
              </w:rPr>
            </w:pPr>
          </w:p>
          <w:p w14:paraId="118DA25E">
            <w:pPr>
              <w:spacing w:line="250" w:lineRule="auto"/>
              <w:rPr>
                <w:rFonts w:ascii="Arial"/>
                <w:sz w:val="21"/>
              </w:rPr>
            </w:pPr>
          </w:p>
          <w:p w14:paraId="492C7659">
            <w:pPr>
              <w:spacing w:line="250" w:lineRule="auto"/>
              <w:rPr>
                <w:rFonts w:ascii="Arial"/>
                <w:sz w:val="21"/>
              </w:rPr>
            </w:pPr>
          </w:p>
          <w:p w14:paraId="3E36C894">
            <w:pPr>
              <w:spacing w:line="250" w:lineRule="auto"/>
              <w:rPr>
                <w:rFonts w:ascii="Arial"/>
                <w:sz w:val="21"/>
              </w:rPr>
            </w:pPr>
          </w:p>
          <w:p w14:paraId="120C860A">
            <w:pPr>
              <w:spacing w:line="250" w:lineRule="auto"/>
              <w:rPr>
                <w:rFonts w:ascii="Arial"/>
                <w:sz w:val="21"/>
              </w:rPr>
            </w:pPr>
          </w:p>
          <w:p w14:paraId="7D79F7D3">
            <w:pPr>
              <w:pStyle w:val="6"/>
              <w:spacing w:before="65" w:line="252" w:lineRule="auto"/>
              <w:ind w:left="172" w:right="76" w:hanging="2"/>
              <w:rPr>
                <w:sz w:val="20"/>
                <w:szCs w:val="20"/>
              </w:rPr>
            </w:pPr>
            <w:r>
              <w:rPr>
                <w:spacing w:val="4"/>
                <w:sz w:val="20"/>
                <w:szCs w:val="20"/>
              </w:rPr>
              <w:t>试油</w:t>
            </w:r>
            <w:r>
              <w:rPr>
                <w:spacing w:val="3"/>
                <w:sz w:val="20"/>
                <w:szCs w:val="20"/>
              </w:rPr>
              <w:t>工程</w:t>
            </w:r>
          </w:p>
        </w:tc>
        <w:tc>
          <w:tcPr>
            <w:tcW w:w="478" w:type="dxa"/>
            <w:vMerge w:val="restart"/>
            <w:tcBorders>
              <w:bottom w:val="nil"/>
            </w:tcBorders>
            <w:vAlign w:val="top"/>
          </w:tcPr>
          <w:p w14:paraId="4E0C5C52">
            <w:pPr>
              <w:spacing w:line="302" w:lineRule="auto"/>
              <w:rPr>
                <w:rFonts w:ascii="Arial"/>
                <w:sz w:val="21"/>
              </w:rPr>
            </w:pPr>
          </w:p>
          <w:p w14:paraId="292CD3E0">
            <w:pPr>
              <w:spacing w:line="302" w:lineRule="auto"/>
              <w:rPr>
                <w:rFonts w:ascii="Arial"/>
                <w:sz w:val="21"/>
              </w:rPr>
            </w:pPr>
          </w:p>
          <w:p w14:paraId="1F849336">
            <w:pPr>
              <w:spacing w:line="302" w:lineRule="auto"/>
              <w:rPr>
                <w:rFonts w:ascii="Arial"/>
                <w:sz w:val="21"/>
              </w:rPr>
            </w:pPr>
          </w:p>
          <w:p w14:paraId="040F0F4F">
            <w:pPr>
              <w:pStyle w:val="6"/>
              <w:spacing w:before="65" w:line="228" w:lineRule="auto"/>
              <w:ind w:left="26"/>
              <w:rPr>
                <w:sz w:val="20"/>
                <w:szCs w:val="20"/>
              </w:rPr>
            </w:pPr>
            <w:r>
              <w:rPr>
                <w:spacing w:val="5"/>
                <w:sz w:val="20"/>
                <w:szCs w:val="20"/>
              </w:rPr>
              <w:t>废气</w:t>
            </w:r>
          </w:p>
        </w:tc>
        <w:tc>
          <w:tcPr>
            <w:tcW w:w="1190" w:type="dxa"/>
            <w:vAlign w:val="top"/>
          </w:tcPr>
          <w:p w14:paraId="0970E672">
            <w:pPr>
              <w:pStyle w:val="6"/>
              <w:spacing w:before="24" w:line="208" w:lineRule="auto"/>
              <w:ind w:left="494" w:right="71" w:hanging="422"/>
              <w:rPr>
                <w:sz w:val="20"/>
                <w:szCs w:val="20"/>
              </w:rPr>
            </w:pPr>
            <w:r>
              <w:rPr>
                <w:spacing w:val="8"/>
                <w:sz w:val="20"/>
                <w:szCs w:val="20"/>
              </w:rPr>
              <w:t>柴油发电机</w:t>
            </w:r>
            <w:r>
              <w:rPr>
                <w:sz w:val="20"/>
                <w:szCs w:val="20"/>
              </w:rPr>
              <w:t>组</w:t>
            </w:r>
          </w:p>
        </w:tc>
        <w:tc>
          <w:tcPr>
            <w:tcW w:w="578" w:type="dxa"/>
            <w:vAlign w:val="top"/>
          </w:tcPr>
          <w:p w14:paraId="4393E9AB">
            <w:pPr>
              <w:pStyle w:val="6"/>
              <w:spacing w:before="143" w:line="229" w:lineRule="auto"/>
              <w:ind w:left="82"/>
              <w:rPr>
                <w:sz w:val="20"/>
                <w:szCs w:val="20"/>
              </w:rPr>
            </w:pPr>
            <w:r>
              <w:rPr>
                <w:spacing w:val="4"/>
                <w:sz w:val="20"/>
                <w:szCs w:val="20"/>
              </w:rPr>
              <w:t>尾气</w:t>
            </w:r>
          </w:p>
        </w:tc>
        <w:tc>
          <w:tcPr>
            <w:tcW w:w="1369" w:type="dxa"/>
            <w:vAlign w:val="top"/>
          </w:tcPr>
          <w:p w14:paraId="17F22697">
            <w:pPr>
              <w:pStyle w:val="6"/>
              <w:spacing w:before="23" w:line="221" w:lineRule="auto"/>
              <w:ind w:left="477" w:right="13" w:hanging="470"/>
              <w:rPr>
                <w:rFonts w:ascii="Times New Roman" w:hAnsi="Times New Roman" w:eastAsia="Times New Roman" w:cs="Times New Roman"/>
                <w:sz w:val="13"/>
                <w:szCs w:val="13"/>
              </w:rPr>
            </w:pPr>
            <w:r>
              <w:rPr>
                <w:spacing w:val="3"/>
                <w:sz w:val="20"/>
                <w:szCs w:val="20"/>
              </w:rPr>
              <w:t>颗粒物、</w:t>
            </w:r>
            <w:r>
              <w:rPr>
                <w:rFonts w:ascii="Times New Roman" w:hAnsi="Times New Roman" w:eastAsia="Times New Roman" w:cs="Times New Roman"/>
                <w:sz w:val="20"/>
                <w:szCs w:val="20"/>
              </w:rPr>
              <w:t>SO</w:t>
            </w:r>
            <w:r>
              <w:rPr>
                <w:rFonts w:ascii="Times New Roman" w:hAnsi="Times New Roman" w:eastAsia="Times New Roman" w:cs="Times New Roman"/>
                <w:spacing w:val="3"/>
                <w:position w:val="-1"/>
                <w:sz w:val="13"/>
                <w:szCs w:val="13"/>
              </w:rPr>
              <w:t>2</w:t>
            </w:r>
            <w:r>
              <w:rPr>
                <w:spacing w:val="3"/>
                <w:sz w:val="20"/>
                <w:szCs w:val="20"/>
              </w:rPr>
              <w:t xml:space="preserve">、 </w:t>
            </w:r>
            <w:r>
              <w:rPr>
                <w:rFonts w:ascii="Times New Roman" w:hAnsi="Times New Roman" w:eastAsia="Times New Roman" w:cs="Times New Roman"/>
                <w:spacing w:val="7"/>
                <w:sz w:val="20"/>
                <w:szCs w:val="20"/>
              </w:rPr>
              <w:t>NO</w:t>
            </w:r>
            <w:r>
              <w:rPr>
                <w:rFonts w:ascii="Times New Roman" w:hAnsi="Times New Roman" w:eastAsia="Times New Roman" w:cs="Times New Roman"/>
                <w:spacing w:val="7"/>
                <w:position w:val="-1"/>
                <w:sz w:val="13"/>
                <w:szCs w:val="13"/>
              </w:rPr>
              <w:t>X</w:t>
            </w:r>
          </w:p>
        </w:tc>
        <w:tc>
          <w:tcPr>
            <w:tcW w:w="1112" w:type="dxa"/>
            <w:vAlign w:val="top"/>
          </w:tcPr>
          <w:p w14:paraId="0019E41C">
            <w:pPr>
              <w:pStyle w:val="6"/>
              <w:spacing w:before="144" w:line="228" w:lineRule="auto"/>
              <w:ind w:left="144"/>
              <w:rPr>
                <w:sz w:val="20"/>
                <w:szCs w:val="20"/>
              </w:rPr>
            </w:pPr>
            <w:r>
              <w:rPr>
                <w:spacing w:val="6"/>
                <w:sz w:val="20"/>
                <w:szCs w:val="20"/>
              </w:rPr>
              <w:t>大气环境</w:t>
            </w:r>
          </w:p>
        </w:tc>
        <w:tc>
          <w:tcPr>
            <w:tcW w:w="696" w:type="dxa"/>
            <w:vAlign w:val="top"/>
          </w:tcPr>
          <w:p w14:paraId="0540DBC8">
            <w:pPr>
              <w:pStyle w:val="6"/>
              <w:spacing w:before="24" w:line="208" w:lineRule="auto"/>
              <w:ind w:left="145" w:right="29" w:hanging="103"/>
              <w:rPr>
                <w:sz w:val="20"/>
                <w:szCs w:val="20"/>
              </w:rPr>
            </w:pPr>
            <w:r>
              <w:rPr>
                <w:spacing w:val="6"/>
                <w:sz w:val="20"/>
                <w:szCs w:val="20"/>
              </w:rPr>
              <w:t>污染物</w:t>
            </w:r>
            <w:r>
              <w:rPr>
                <w:spacing w:val="4"/>
                <w:sz w:val="20"/>
                <w:szCs w:val="20"/>
              </w:rPr>
              <w:t>扩散</w:t>
            </w:r>
          </w:p>
        </w:tc>
        <w:tc>
          <w:tcPr>
            <w:tcW w:w="506" w:type="dxa"/>
            <w:vAlign w:val="top"/>
          </w:tcPr>
          <w:p w14:paraId="021071CA">
            <w:pPr>
              <w:pStyle w:val="6"/>
              <w:spacing w:before="144" w:line="228" w:lineRule="auto"/>
              <w:ind w:left="55"/>
              <w:rPr>
                <w:sz w:val="20"/>
                <w:szCs w:val="20"/>
              </w:rPr>
            </w:pPr>
            <w:r>
              <w:rPr>
                <w:spacing w:val="3"/>
                <w:sz w:val="20"/>
                <w:szCs w:val="20"/>
              </w:rPr>
              <w:t>短期</w:t>
            </w:r>
          </w:p>
        </w:tc>
        <w:tc>
          <w:tcPr>
            <w:tcW w:w="1131" w:type="dxa"/>
            <w:vMerge w:val="restart"/>
            <w:tcBorders>
              <w:bottom w:val="nil"/>
            </w:tcBorders>
            <w:vAlign w:val="top"/>
          </w:tcPr>
          <w:p w14:paraId="152B550E">
            <w:pPr>
              <w:spacing w:line="257" w:lineRule="auto"/>
              <w:rPr>
                <w:rFonts w:ascii="Arial"/>
                <w:sz w:val="21"/>
              </w:rPr>
            </w:pPr>
          </w:p>
          <w:p w14:paraId="0A919468">
            <w:pPr>
              <w:spacing w:line="257" w:lineRule="auto"/>
              <w:rPr>
                <w:rFonts w:ascii="Arial"/>
                <w:sz w:val="21"/>
              </w:rPr>
            </w:pPr>
          </w:p>
          <w:p w14:paraId="7264D3CA">
            <w:pPr>
              <w:spacing w:line="258" w:lineRule="auto"/>
              <w:rPr>
                <w:rFonts w:ascii="Arial"/>
                <w:sz w:val="21"/>
              </w:rPr>
            </w:pPr>
          </w:p>
          <w:p w14:paraId="5C6CD98D">
            <w:pPr>
              <w:pStyle w:val="6"/>
              <w:spacing w:before="65" w:line="252" w:lineRule="auto"/>
              <w:ind w:left="54" w:right="34" w:hanging="4"/>
              <w:rPr>
                <w:sz w:val="20"/>
                <w:szCs w:val="20"/>
              </w:rPr>
            </w:pPr>
            <w:r>
              <w:rPr>
                <w:spacing w:val="8"/>
                <w:sz w:val="20"/>
                <w:szCs w:val="20"/>
              </w:rPr>
              <w:t>井场及周边</w:t>
            </w:r>
            <w:r>
              <w:rPr>
                <w:spacing w:val="7"/>
                <w:sz w:val="20"/>
                <w:szCs w:val="20"/>
              </w:rPr>
              <w:t>受影响区域</w:t>
            </w:r>
          </w:p>
        </w:tc>
        <w:tc>
          <w:tcPr>
            <w:tcW w:w="685" w:type="dxa"/>
            <w:tcBorders>
              <w:right w:val="single" w:color="000000" w:sz="6" w:space="0"/>
            </w:tcBorders>
            <w:vAlign w:val="top"/>
          </w:tcPr>
          <w:p w14:paraId="491BF423">
            <w:pPr>
              <w:pStyle w:val="6"/>
              <w:spacing w:before="146" w:line="229" w:lineRule="auto"/>
              <w:ind w:left="197"/>
              <w:rPr>
                <w:sz w:val="20"/>
                <w:szCs w:val="20"/>
              </w:rPr>
            </w:pPr>
            <w:r>
              <w:rPr>
                <w:sz w:val="20"/>
                <w:szCs w:val="20"/>
              </w:rPr>
              <w:t>弱</w:t>
            </w:r>
          </w:p>
        </w:tc>
      </w:tr>
      <w:tr w14:paraId="4D2403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95" w:type="dxa"/>
            <w:vMerge w:val="continue"/>
            <w:tcBorders>
              <w:top w:val="nil"/>
              <w:left w:val="single" w:color="000000" w:sz="6" w:space="0"/>
              <w:bottom w:val="nil"/>
            </w:tcBorders>
            <w:textDirection w:val="tbRlV"/>
            <w:vAlign w:val="top"/>
          </w:tcPr>
          <w:p w14:paraId="037F4F4D">
            <w:pPr>
              <w:rPr>
                <w:rFonts w:ascii="Arial"/>
                <w:sz w:val="21"/>
              </w:rPr>
            </w:pPr>
          </w:p>
        </w:tc>
        <w:tc>
          <w:tcPr>
            <w:tcW w:w="661" w:type="dxa"/>
            <w:vMerge w:val="continue"/>
            <w:tcBorders>
              <w:top w:val="nil"/>
              <w:bottom w:val="nil"/>
            </w:tcBorders>
            <w:vAlign w:val="top"/>
          </w:tcPr>
          <w:p w14:paraId="66151976">
            <w:pPr>
              <w:rPr>
                <w:rFonts w:ascii="Arial"/>
                <w:sz w:val="21"/>
              </w:rPr>
            </w:pPr>
          </w:p>
        </w:tc>
        <w:tc>
          <w:tcPr>
            <w:tcW w:w="478" w:type="dxa"/>
            <w:vMerge w:val="continue"/>
            <w:tcBorders>
              <w:top w:val="nil"/>
              <w:bottom w:val="nil"/>
            </w:tcBorders>
            <w:vAlign w:val="top"/>
          </w:tcPr>
          <w:p w14:paraId="42C338EA">
            <w:pPr>
              <w:rPr>
                <w:rFonts w:ascii="Arial"/>
                <w:sz w:val="21"/>
              </w:rPr>
            </w:pPr>
          </w:p>
        </w:tc>
        <w:tc>
          <w:tcPr>
            <w:tcW w:w="1190" w:type="dxa"/>
            <w:vAlign w:val="top"/>
          </w:tcPr>
          <w:p w14:paraId="11ABB3FE">
            <w:pPr>
              <w:pStyle w:val="6"/>
              <w:spacing w:before="53" w:line="224" w:lineRule="auto"/>
              <w:ind w:left="386" w:right="71" w:hanging="314"/>
              <w:rPr>
                <w:sz w:val="20"/>
                <w:szCs w:val="20"/>
              </w:rPr>
            </w:pPr>
            <w:r>
              <w:rPr>
                <w:spacing w:val="8"/>
                <w:sz w:val="20"/>
                <w:szCs w:val="20"/>
              </w:rPr>
              <w:t>柴油罐暂存</w:t>
            </w:r>
            <w:r>
              <w:rPr>
                <w:spacing w:val="4"/>
                <w:sz w:val="20"/>
                <w:szCs w:val="20"/>
              </w:rPr>
              <w:t>柴油</w:t>
            </w:r>
          </w:p>
        </w:tc>
        <w:tc>
          <w:tcPr>
            <w:tcW w:w="578" w:type="dxa"/>
            <w:vAlign w:val="top"/>
          </w:tcPr>
          <w:p w14:paraId="43B0723F">
            <w:pPr>
              <w:pStyle w:val="6"/>
              <w:spacing w:before="53" w:line="222" w:lineRule="auto"/>
              <w:ind w:left="81"/>
              <w:rPr>
                <w:sz w:val="20"/>
                <w:szCs w:val="20"/>
              </w:rPr>
            </w:pPr>
            <w:r>
              <w:rPr>
                <w:spacing w:val="5"/>
                <w:sz w:val="20"/>
                <w:szCs w:val="20"/>
              </w:rPr>
              <w:t>挥发</w:t>
            </w:r>
          </w:p>
          <w:p w14:paraId="4A678F91">
            <w:pPr>
              <w:pStyle w:val="6"/>
              <w:spacing w:line="225" w:lineRule="auto"/>
              <w:ind w:left="81"/>
              <w:rPr>
                <w:sz w:val="20"/>
                <w:szCs w:val="20"/>
              </w:rPr>
            </w:pPr>
            <w:r>
              <w:rPr>
                <w:spacing w:val="5"/>
                <w:sz w:val="20"/>
                <w:szCs w:val="20"/>
              </w:rPr>
              <w:t>废气</w:t>
            </w:r>
          </w:p>
        </w:tc>
        <w:tc>
          <w:tcPr>
            <w:tcW w:w="1369" w:type="dxa"/>
            <w:vAlign w:val="top"/>
          </w:tcPr>
          <w:p w14:paraId="12C007B1">
            <w:pPr>
              <w:pStyle w:val="6"/>
              <w:spacing w:before="177" w:line="228" w:lineRule="auto"/>
              <w:ind w:left="168"/>
              <w:rPr>
                <w:sz w:val="20"/>
                <w:szCs w:val="20"/>
              </w:rPr>
            </w:pPr>
            <w:r>
              <w:rPr>
                <w:spacing w:val="7"/>
                <w:sz w:val="20"/>
                <w:szCs w:val="20"/>
              </w:rPr>
              <w:t>非甲烷总烃</w:t>
            </w:r>
          </w:p>
        </w:tc>
        <w:tc>
          <w:tcPr>
            <w:tcW w:w="1112" w:type="dxa"/>
            <w:vAlign w:val="top"/>
          </w:tcPr>
          <w:p w14:paraId="701E1FF5">
            <w:pPr>
              <w:pStyle w:val="6"/>
              <w:spacing w:before="177" w:line="228" w:lineRule="auto"/>
              <w:ind w:left="144"/>
              <w:rPr>
                <w:sz w:val="20"/>
                <w:szCs w:val="20"/>
              </w:rPr>
            </w:pPr>
            <w:r>
              <w:rPr>
                <w:spacing w:val="6"/>
                <w:sz w:val="20"/>
                <w:szCs w:val="20"/>
              </w:rPr>
              <w:t>大气环境</w:t>
            </w:r>
          </w:p>
        </w:tc>
        <w:tc>
          <w:tcPr>
            <w:tcW w:w="696" w:type="dxa"/>
            <w:vAlign w:val="top"/>
          </w:tcPr>
          <w:p w14:paraId="60A48AC9">
            <w:pPr>
              <w:pStyle w:val="6"/>
              <w:spacing w:before="42" w:line="229" w:lineRule="auto"/>
              <w:ind w:left="145" w:right="29" w:hanging="103"/>
              <w:rPr>
                <w:sz w:val="20"/>
                <w:szCs w:val="20"/>
              </w:rPr>
            </w:pPr>
            <w:r>
              <w:rPr>
                <w:spacing w:val="6"/>
                <w:sz w:val="20"/>
                <w:szCs w:val="20"/>
              </w:rPr>
              <w:t>污染物</w:t>
            </w:r>
            <w:r>
              <w:rPr>
                <w:spacing w:val="4"/>
                <w:sz w:val="20"/>
                <w:szCs w:val="20"/>
              </w:rPr>
              <w:t>扩散</w:t>
            </w:r>
          </w:p>
        </w:tc>
        <w:tc>
          <w:tcPr>
            <w:tcW w:w="506" w:type="dxa"/>
            <w:vAlign w:val="top"/>
          </w:tcPr>
          <w:p w14:paraId="1187A930">
            <w:pPr>
              <w:pStyle w:val="6"/>
              <w:spacing w:before="177" w:line="228" w:lineRule="auto"/>
              <w:ind w:left="55"/>
              <w:rPr>
                <w:sz w:val="20"/>
                <w:szCs w:val="20"/>
              </w:rPr>
            </w:pPr>
            <w:r>
              <w:rPr>
                <w:spacing w:val="3"/>
                <w:sz w:val="20"/>
                <w:szCs w:val="20"/>
              </w:rPr>
              <w:t>短期</w:t>
            </w:r>
          </w:p>
        </w:tc>
        <w:tc>
          <w:tcPr>
            <w:tcW w:w="1131" w:type="dxa"/>
            <w:vMerge w:val="continue"/>
            <w:tcBorders>
              <w:top w:val="nil"/>
              <w:bottom w:val="nil"/>
            </w:tcBorders>
            <w:vAlign w:val="top"/>
          </w:tcPr>
          <w:p w14:paraId="756534FF">
            <w:pPr>
              <w:rPr>
                <w:rFonts w:ascii="Arial"/>
                <w:sz w:val="21"/>
              </w:rPr>
            </w:pPr>
          </w:p>
        </w:tc>
        <w:tc>
          <w:tcPr>
            <w:tcW w:w="685" w:type="dxa"/>
            <w:tcBorders>
              <w:right w:val="single" w:color="000000" w:sz="6" w:space="0"/>
            </w:tcBorders>
            <w:vAlign w:val="top"/>
          </w:tcPr>
          <w:p w14:paraId="463C01D2">
            <w:pPr>
              <w:pStyle w:val="6"/>
              <w:spacing w:before="176" w:line="229" w:lineRule="auto"/>
              <w:ind w:left="197"/>
              <w:rPr>
                <w:sz w:val="20"/>
                <w:szCs w:val="20"/>
              </w:rPr>
            </w:pPr>
            <w:r>
              <w:rPr>
                <w:sz w:val="20"/>
                <w:szCs w:val="20"/>
              </w:rPr>
              <w:t>弱</w:t>
            </w:r>
          </w:p>
        </w:tc>
      </w:tr>
      <w:tr w14:paraId="10B0FC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95" w:type="dxa"/>
            <w:vMerge w:val="continue"/>
            <w:tcBorders>
              <w:top w:val="nil"/>
              <w:left w:val="single" w:color="000000" w:sz="6" w:space="0"/>
              <w:bottom w:val="nil"/>
            </w:tcBorders>
            <w:textDirection w:val="tbRlV"/>
            <w:vAlign w:val="top"/>
          </w:tcPr>
          <w:p w14:paraId="5DA5D2F4">
            <w:pPr>
              <w:rPr>
                <w:rFonts w:ascii="Arial"/>
                <w:sz w:val="21"/>
              </w:rPr>
            </w:pPr>
          </w:p>
        </w:tc>
        <w:tc>
          <w:tcPr>
            <w:tcW w:w="661" w:type="dxa"/>
            <w:vMerge w:val="continue"/>
            <w:tcBorders>
              <w:top w:val="nil"/>
              <w:bottom w:val="nil"/>
            </w:tcBorders>
            <w:vAlign w:val="top"/>
          </w:tcPr>
          <w:p w14:paraId="00D95073">
            <w:pPr>
              <w:rPr>
                <w:rFonts w:ascii="Arial"/>
                <w:sz w:val="21"/>
              </w:rPr>
            </w:pPr>
          </w:p>
        </w:tc>
        <w:tc>
          <w:tcPr>
            <w:tcW w:w="478" w:type="dxa"/>
            <w:vMerge w:val="continue"/>
            <w:tcBorders>
              <w:top w:val="nil"/>
              <w:bottom w:val="nil"/>
            </w:tcBorders>
            <w:vAlign w:val="top"/>
          </w:tcPr>
          <w:p w14:paraId="4B6AEBA1">
            <w:pPr>
              <w:rPr>
                <w:rFonts w:ascii="Arial"/>
                <w:sz w:val="21"/>
              </w:rPr>
            </w:pPr>
          </w:p>
        </w:tc>
        <w:tc>
          <w:tcPr>
            <w:tcW w:w="1190" w:type="dxa"/>
            <w:vAlign w:val="top"/>
          </w:tcPr>
          <w:p w14:paraId="40FE0C7D">
            <w:pPr>
              <w:pStyle w:val="6"/>
              <w:spacing w:before="42" w:line="229" w:lineRule="auto"/>
              <w:ind w:left="279" w:right="71" w:hanging="208"/>
              <w:rPr>
                <w:sz w:val="20"/>
                <w:szCs w:val="20"/>
              </w:rPr>
            </w:pPr>
            <w:r>
              <w:rPr>
                <w:spacing w:val="8"/>
                <w:sz w:val="20"/>
                <w:szCs w:val="20"/>
              </w:rPr>
              <w:t>储液罐暂存</w:t>
            </w:r>
            <w:r>
              <w:rPr>
                <w:spacing w:val="7"/>
                <w:sz w:val="20"/>
                <w:szCs w:val="20"/>
              </w:rPr>
              <w:t>采出液</w:t>
            </w:r>
          </w:p>
        </w:tc>
        <w:tc>
          <w:tcPr>
            <w:tcW w:w="578" w:type="dxa"/>
            <w:vAlign w:val="top"/>
          </w:tcPr>
          <w:p w14:paraId="117EACF3">
            <w:pPr>
              <w:pStyle w:val="6"/>
              <w:spacing w:before="43" w:line="228" w:lineRule="auto"/>
              <w:ind w:left="81"/>
              <w:rPr>
                <w:sz w:val="20"/>
                <w:szCs w:val="20"/>
              </w:rPr>
            </w:pPr>
            <w:r>
              <w:rPr>
                <w:spacing w:val="5"/>
                <w:sz w:val="20"/>
                <w:szCs w:val="20"/>
              </w:rPr>
              <w:t>挥发</w:t>
            </w:r>
          </w:p>
          <w:p w14:paraId="7B3468AB">
            <w:pPr>
              <w:pStyle w:val="6"/>
              <w:spacing w:before="23" w:line="208" w:lineRule="auto"/>
              <w:ind w:left="81"/>
              <w:rPr>
                <w:sz w:val="20"/>
                <w:szCs w:val="20"/>
              </w:rPr>
            </w:pPr>
            <w:r>
              <w:rPr>
                <w:spacing w:val="5"/>
                <w:sz w:val="20"/>
                <w:szCs w:val="20"/>
              </w:rPr>
              <w:t>废气</w:t>
            </w:r>
          </w:p>
        </w:tc>
        <w:tc>
          <w:tcPr>
            <w:tcW w:w="1369" w:type="dxa"/>
            <w:vAlign w:val="top"/>
          </w:tcPr>
          <w:p w14:paraId="5D737D45">
            <w:pPr>
              <w:pStyle w:val="6"/>
              <w:spacing w:before="177" w:line="228" w:lineRule="auto"/>
              <w:ind w:left="168"/>
              <w:rPr>
                <w:sz w:val="20"/>
                <w:szCs w:val="20"/>
              </w:rPr>
            </w:pPr>
            <w:r>
              <w:rPr>
                <w:spacing w:val="7"/>
                <w:sz w:val="20"/>
                <w:szCs w:val="20"/>
              </w:rPr>
              <w:t>非甲烷总烃</w:t>
            </w:r>
          </w:p>
        </w:tc>
        <w:tc>
          <w:tcPr>
            <w:tcW w:w="1112" w:type="dxa"/>
            <w:vAlign w:val="top"/>
          </w:tcPr>
          <w:p w14:paraId="000AE405">
            <w:pPr>
              <w:pStyle w:val="6"/>
              <w:spacing w:before="177" w:line="228" w:lineRule="auto"/>
              <w:ind w:left="144"/>
              <w:rPr>
                <w:sz w:val="20"/>
                <w:szCs w:val="20"/>
              </w:rPr>
            </w:pPr>
            <w:r>
              <w:rPr>
                <w:spacing w:val="6"/>
                <w:sz w:val="20"/>
                <w:szCs w:val="20"/>
              </w:rPr>
              <w:t>大气环境</w:t>
            </w:r>
          </w:p>
        </w:tc>
        <w:tc>
          <w:tcPr>
            <w:tcW w:w="696" w:type="dxa"/>
            <w:vAlign w:val="top"/>
          </w:tcPr>
          <w:p w14:paraId="3220A146">
            <w:pPr>
              <w:pStyle w:val="6"/>
              <w:spacing w:before="42" w:line="229" w:lineRule="auto"/>
              <w:ind w:left="145" w:right="29" w:hanging="103"/>
              <w:rPr>
                <w:sz w:val="20"/>
                <w:szCs w:val="20"/>
              </w:rPr>
            </w:pPr>
            <w:r>
              <w:rPr>
                <w:spacing w:val="6"/>
                <w:sz w:val="20"/>
                <w:szCs w:val="20"/>
              </w:rPr>
              <w:t>污染物</w:t>
            </w:r>
            <w:r>
              <w:rPr>
                <w:spacing w:val="4"/>
                <w:sz w:val="20"/>
                <w:szCs w:val="20"/>
              </w:rPr>
              <w:t>扩散</w:t>
            </w:r>
          </w:p>
        </w:tc>
        <w:tc>
          <w:tcPr>
            <w:tcW w:w="506" w:type="dxa"/>
            <w:vAlign w:val="top"/>
          </w:tcPr>
          <w:p w14:paraId="77D2CB98">
            <w:pPr>
              <w:pStyle w:val="6"/>
              <w:spacing w:before="177" w:line="228" w:lineRule="auto"/>
              <w:ind w:left="55"/>
              <w:rPr>
                <w:sz w:val="20"/>
                <w:szCs w:val="20"/>
              </w:rPr>
            </w:pPr>
            <w:r>
              <w:rPr>
                <w:spacing w:val="3"/>
                <w:sz w:val="20"/>
                <w:szCs w:val="20"/>
              </w:rPr>
              <w:t>短期</w:t>
            </w:r>
          </w:p>
        </w:tc>
        <w:tc>
          <w:tcPr>
            <w:tcW w:w="1131" w:type="dxa"/>
            <w:vMerge w:val="continue"/>
            <w:tcBorders>
              <w:top w:val="nil"/>
              <w:bottom w:val="nil"/>
            </w:tcBorders>
            <w:vAlign w:val="top"/>
          </w:tcPr>
          <w:p w14:paraId="17A90F65">
            <w:pPr>
              <w:rPr>
                <w:rFonts w:ascii="Arial"/>
                <w:sz w:val="21"/>
              </w:rPr>
            </w:pPr>
          </w:p>
        </w:tc>
        <w:tc>
          <w:tcPr>
            <w:tcW w:w="685" w:type="dxa"/>
            <w:tcBorders>
              <w:right w:val="single" w:color="000000" w:sz="6" w:space="0"/>
            </w:tcBorders>
            <w:vAlign w:val="top"/>
          </w:tcPr>
          <w:p w14:paraId="621D648F">
            <w:pPr>
              <w:pStyle w:val="6"/>
              <w:spacing w:before="177" w:line="229" w:lineRule="auto"/>
              <w:ind w:left="197"/>
              <w:rPr>
                <w:sz w:val="20"/>
                <w:szCs w:val="20"/>
              </w:rPr>
            </w:pPr>
            <w:r>
              <w:rPr>
                <w:sz w:val="20"/>
                <w:szCs w:val="20"/>
              </w:rPr>
              <w:t>弱</w:t>
            </w:r>
          </w:p>
        </w:tc>
      </w:tr>
      <w:tr w14:paraId="52087C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495" w:type="dxa"/>
            <w:vMerge w:val="continue"/>
            <w:tcBorders>
              <w:top w:val="nil"/>
              <w:left w:val="single" w:color="000000" w:sz="6" w:space="0"/>
              <w:bottom w:val="nil"/>
            </w:tcBorders>
            <w:textDirection w:val="tbRlV"/>
            <w:vAlign w:val="top"/>
          </w:tcPr>
          <w:p w14:paraId="48A082B8">
            <w:pPr>
              <w:rPr>
                <w:rFonts w:ascii="Arial"/>
                <w:sz w:val="21"/>
              </w:rPr>
            </w:pPr>
          </w:p>
        </w:tc>
        <w:tc>
          <w:tcPr>
            <w:tcW w:w="661" w:type="dxa"/>
            <w:vMerge w:val="continue"/>
            <w:tcBorders>
              <w:top w:val="nil"/>
              <w:bottom w:val="nil"/>
            </w:tcBorders>
            <w:vAlign w:val="top"/>
          </w:tcPr>
          <w:p w14:paraId="12646098">
            <w:pPr>
              <w:rPr>
                <w:rFonts w:ascii="Arial"/>
                <w:sz w:val="21"/>
              </w:rPr>
            </w:pPr>
          </w:p>
        </w:tc>
        <w:tc>
          <w:tcPr>
            <w:tcW w:w="478" w:type="dxa"/>
            <w:vMerge w:val="continue"/>
            <w:tcBorders>
              <w:top w:val="nil"/>
            </w:tcBorders>
            <w:vAlign w:val="top"/>
          </w:tcPr>
          <w:p w14:paraId="13F1B653">
            <w:pPr>
              <w:rPr>
                <w:rFonts w:ascii="Arial"/>
                <w:sz w:val="21"/>
              </w:rPr>
            </w:pPr>
          </w:p>
        </w:tc>
        <w:tc>
          <w:tcPr>
            <w:tcW w:w="1768" w:type="dxa"/>
            <w:gridSpan w:val="2"/>
            <w:vAlign w:val="top"/>
          </w:tcPr>
          <w:p w14:paraId="79176047">
            <w:pPr>
              <w:pStyle w:val="6"/>
              <w:spacing w:before="174" w:line="228" w:lineRule="auto"/>
              <w:ind w:left="151"/>
              <w:rPr>
                <w:sz w:val="20"/>
                <w:szCs w:val="20"/>
              </w:rPr>
            </w:pPr>
            <w:r>
              <w:rPr>
                <w:spacing w:val="8"/>
                <w:sz w:val="20"/>
                <w:szCs w:val="20"/>
              </w:rPr>
              <w:t>伴生气放喷废气</w:t>
            </w:r>
          </w:p>
        </w:tc>
        <w:tc>
          <w:tcPr>
            <w:tcW w:w="1369" w:type="dxa"/>
            <w:vAlign w:val="top"/>
          </w:tcPr>
          <w:p w14:paraId="3C0552BB">
            <w:pPr>
              <w:pStyle w:val="6"/>
              <w:spacing w:before="175" w:line="228" w:lineRule="auto"/>
              <w:ind w:left="168"/>
              <w:rPr>
                <w:sz w:val="20"/>
                <w:szCs w:val="20"/>
              </w:rPr>
            </w:pPr>
            <w:r>
              <w:rPr>
                <w:spacing w:val="7"/>
                <w:sz w:val="20"/>
                <w:szCs w:val="20"/>
              </w:rPr>
              <w:t>非甲烷总烃</w:t>
            </w:r>
          </w:p>
        </w:tc>
        <w:tc>
          <w:tcPr>
            <w:tcW w:w="1112" w:type="dxa"/>
            <w:vAlign w:val="top"/>
          </w:tcPr>
          <w:p w14:paraId="7D58EF99">
            <w:pPr>
              <w:pStyle w:val="6"/>
              <w:spacing w:before="178" w:line="228" w:lineRule="auto"/>
              <w:ind w:left="144"/>
              <w:rPr>
                <w:sz w:val="20"/>
                <w:szCs w:val="20"/>
              </w:rPr>
            </w:pPr>
            <w:r>
              <w:rPr>
                <w:spacing w:val="6"/>
                <w:sz w:val="20"/>
                <w:szCs w:val="20"/>
              </w:rPr>
              <w:t>大气环境</w:t>
            </w:r>
          </w:p>
        </w:tc>
        <w:tc>
          <w:tcPr>
            <w:tcW w:w="696" w:type="dxa"/>
            <w:vAlign w:val="top"/>
          </w:tcPr>
          <w:p w14:paraId="0B0C7E14">
            <w:pPr>
              <w:pStyle w:val="6"/>
              <w:spacing w:before="43" w:line="228" w:lineRule="auto"/>
              <w:ind w:left="145" w:right="29" w:hanging="103"/>
              <w:rPr>
                <w:sz w:val="20"/>
                <w:szCs w:val="20"/>
              </w:rPr>
            </w:pPr>
            <w:r>
              <w:rPr>
                <w:spacing w:val="6"/>
                <w:sz w:val="20"/>
                <w:szCs w:val="20"/>
              </w:rPr>
              <w:t>污染物</w:t>
            </w:r>
            <w:r>
              <w:rPr>
                <w:spacing w:val="4"/>
                <w:sz w:val="20"/>
                <w:szCs w:val="20"/>
              </w:rPr>
              <w:t>扩散</w:t>
            </w:r>
          </w:p>
        </w:tc>
        <w:tc>
          <w:tcPr>
            <w:tcW w:w="506" w:type="dxa"/>
            <w:vAlign w:val="top"/>
          </w:tcPr>
          <w:p w14:paraId="6AC45878">
            <w:pPr>
              <w:pStyle w:val="6"/>
              <w:spacing w:before="178" w:line="228" w:lineRule="auto"/>
              <w:ind w:left="55"/>
              <w:rPr>
                <w:sz w:val="20"/>
                <w:szCs w:val="20"/>
              </w:rPr>
            </w:pPr>
            <w:r>
              <w:rPr>
                <w:spacing w:val="3"/>
                <w:sz w:val="20"/>
                <w:szCs w:val="20"/>
              </w:rPr>
              <w:t>短期</w:t>
            </w:r>
          </w:p>
        </w:tc>
        <w:tc>
          <w:tcPr>
            <w:tcW w:w="1131" w:type="dxa"/>
            <w:vMerge w:val="continue"/>
            <w:tcBorders>
              <w:top w:val="nil"/>
            </w:tcBorders>
            <w:vAlign w:val="top"/>
          </w:tcPr>
          <w:p w14:paraId="30EF5A70">
            <w:pPr>
              <w:rPr>
                <w:rFonts w:ascii="Arial"/>
                <w:sz w:val="21"/>
              </w:rPr>
            </w:pPr>
          </w:p>
        </w:tc>
        <w:tc>
          <w:tcPr>
            <w:tcW w:w="685" w:type="dxa"/>
            <w:tcBorders>
              <w:right w:val="single" w:color="000000" w:sz="6" w:space="0"/>
            </w:tcBorders>
            <w:vAlign w:val="top"/>
          </w:tcPr>
          <w:p w14:paraId="69F85BBD">
            <w:pPr>
              <w:pStyle w:val="6"/>
              <w:spacing w:before="177" w:line="229" w:lineRule="auto"/>
              <w:ind w:left="197"/>
              <w:rPr>
                <w:sz w:val="20"/>
                <w:szCs w:val="20"/>
              </w:rPr>
            </w:pPr>
            <w:r>
              <w:rPr>
                <w:sz w:val="20"/>
                <w:szCs w:val="20"/>
              </w:rPr>
              <w:t>弱</w:t>
            </w:r>
          </w:p>
        </w:tc>
      </w:tr>
      <w:tr w14:paraId="084A69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95" w:type="dxa"/>
            <w:vMerge w:val="continue"/>
            <w:tcBorders>
              <w:top w:val="nil"/>
              <w:left w:val="single" w:color="000000" w:sz="6" w:space="0"/>
              <w:bottom w:val="nil"/>
            </w:tcBorders>
            <w:textDirection w:val="tbRlV"/>
            <w:vAlign w:val="top"/>
          </w:tcPr>
          <w:p w14:paraId="2D04E0B9">
            <w:pPr>
              <w:rPr>
                <w:rFonts w:ascii="Arial"/>
                <w:sz w:val="21"/>
              </w:rPr>
            </w:pPr>
          </w:p>
        </w:tc>
        <w:tc>
          <w:tcPr>
            <w:tcW w:w="661" w:type="dxa"/>
            <w:vMerge w:val="continue"/>
            <w:tcBorders>
              <w:top w:val="nil"/>
              <w:bottom w:val="nil"/>
            </w:tcBorders>
            <w:vAlign w:val="top"/>
          </w:tcPr>
          <w:p w14:paraId="33755F71">
            <w:pPr>
              <w:rPr>
                <w:rFonts w:ascii="Arial"/>
                <w:sz w:val="21"/>
              </w:rPr>
            </w:pPr>
          </w:p>
        </w:tc>
        <w:tc>
          <w:tcPr>
            <w:tcW w:w="478" w:type="dxa"/>
            <w:vAlign w:val="top"/>
          </w:tcPr>
          <w:p w14:paraId="201A1818">
            <w:pPr>
              <w:pStyle w:val="6"/>
              <w:spacing w:before="181" w:line="228" w:lineRule="auto"/>
              <w:ind w:left="26"/>
              <w:rPr>
                <w:sz w:val="20"/>
                <w:szCs w:val="20"/>
              </w:rPr>
            </w:pPr>
            <w:r>
              <w:rPr>
                <w:spacing w:val="5"/>
                <w:sz w:val="20"/>
                <w:szCs w:val="20"/>
              </w:rPr>
              <w:t>废水</w:t>
            </w:r>
          </w:p>
        </w:tc>
        <w:tc>
          <w:tcPr>
            <w:tcW w:w="1190" w:type="dxa"/>
            <w:vAlign w:val="top"/>
          </w:tcPr>
          <w:p w14:paraId="3472AEDE">
            <w:pPr>
              <w:pStyle w:val="6"/>
              <w:spacing w:before="181" w:line="228" w:lineRule="auto"/>
              <w:ind w:left="176"/>
              <w:rPr>
                <w:sz w:val="20"/>
                <w:szCs w:val="20"/>
              </w:rPr>
            </w:pPr>
            <w:r>
              <w:rPr>
                <w:spacing w:val="7"/>
                <w:sz w:val="20"/>
                <w:szCs w:val="20"/>
              </w:rPr>
              <w:t>职工生活</w:t>
            </w:r>
          </w:p>
        </w:tc>
        <w:tc>
          <w:tcPr>
            <w:tcW w:w="578" w:type="dxa"/>
            <w:vAlign w:val="top"/>
          </w:tcPr>
          <w:p w14:paraId="4A6A2996">
            <w:pPr>
              <w:pStyle w:val="6"/>
              <w:spacing w:before="44" w:line="229" w:lineRule="auto"/>
              <w:ind w:left="82"/>
              <w:rPr>
                <w:sz w:val="20"/>
                <w:szCs w:val="20"/>
              </w:rPr>
            </w:pPr>
            <w:r>
              <w:rPr>
                <w:spacing w:val="4"/>
                <w:sz w:val="20"/>
                <w:szCs w:val="20"/>
              </w:rPr>
              <w:t>盥洗</w:t>
            </w:r>
          </w:p>
          <w:p w14:paraId="3A653A73">
            <w:pPr>
              <w:pStyle w:val="6"/>
              <w:spacing w:before="25" w:line="204" w:lineRule="auto"/>
              <w:ind w:left="81"/>
              <w:rPr>
                <w:sz w:val="20"/>
                <w:szCs w:val="20"/>
              </w:rPr>
            </w:pPr>
            <w:r>
              <w:rPr>
                <w:spacing w:val="5"/>
                <w:sz w:val="20"/>
                <w:szCs w:val="20"/>
              </w:rPr>
              <w:t>废水</w:t>
            </w:r>
          </w:p>
        </w:tc>
        <w:tc>
          <w:tcPr>
            <w:tcW w:w="1369" w:type="dxa"/>
            <w:vAlign w:val="top"/>
          </w:tcPr>
          <w:p w14:paraId="42C4CFCF">
            <w:pPr>
              <w:pStyle w:val="6"/>
              <w:spacing w:before="79" w:line="212" w:lineRule="auto"/>
              <w:ind w:left="157" w:right="25" w:hanging="149"/>
              <w:rPr>
                <w:sz w:val="20"/>
                <w:szCs w:val="20"/>
              </w:rPr>
            </w:pPr>
            <w:r>
              <w:rPr>
                <w:rFonts w:ascii="Times New Roman" w:hAnsi="Times New Roman" w:eastAsia="Times New Roman" w:cs="Times New Roman"/>
                <w:spacing w:val="-1"/>
                <w:sz w:val="20"/>
                <w:szCs w:val="20"/>
              </w:rPr>
              <w:t>COD</w:t>
            </w:r>
            <w:r>
              <w:rPr>
                <w:rFonts w:ascii="Times New Roman" w:hAnsi="Times New Roman" w:eastAsia="Times New Roman" w:cs="Times New Roman"/>
                <w:spacing w:val="-21"/>
                <w:sz w:val="20"/>
                <w:szCs w:val="20"/>
              </w:rPr>
              <w:t xml:space="preserve"> </w:t>
            </w:r>
            <w:r>
              <w:rPr>
                <w:spacing w:val="-1"/>
                <w:sz w:val="20"/>
                <w:szCs w:val="20"/>
              </w:rPr>
              <w:t>、</w:t>
            </w:r>
            <w:r>
              <w:rPr>
                <w:rFonts w:ascii="Times New Roman" w:hAnsi="Times New Roman" w:eastAsia="Times New Roman" w:cs="Times New Roman"/>
                <w:spacing w:val="-1"/>
                <w:sz w:val="20"/>
                <w:szCs w:val="20"/>
              </w:rPr>
              <w:t>BOD</w:t>
            </w:r>
            <w:r>
              <w:rPr>
                <w:rFonts w:ascii="Times New Roman" w:hAnsi="Times New Roman" w:eastAsia="Times New Roman" w:cs="Times New Roman"/>
                <w:spacing w:val="-1"/>
                <w:position w:val="-1"/>
                <w:sz w:val="13"/>
                <w:szCs w:val="13"/>
              </w:rPr>
              <w:t>5</w:t>
            </w:r>
            <w:r>
              <w:rPr>
                <w:spacing w:val="-1"/>
                <w:sz w:val="20"/>
                <w:szCs w:val="20"/>
              </w:rPr>
              <w:t>、</w:t>
            </w:r>
            <w:r>
              <w:rPr>
                <w:sz w:val="20"/>
                <w:szCs w:val="20"/>
              </w:rPr>
              <w:t xml:space="preserve"> </w:t>
            </w:r>
            <w:r>
              <w:rPr>
                <w:rFonts w:ascii="Times New Roman" w:hAnsi="Times New Roman" w:eastAsia="Times New Roman" w:cs="Times New Roman"/>
                <w:sz w:val="20"/>
                <w:szCs w:val="20"/>
              </w:rPr>
              <w:t>SS</w:t>
            </w:r>
            <w:r>
              <w:rPr>
                <w:rFonts w:ascii="Times New Roman" w:hAnsi="Times New Roman" w:eastAsia="Times New Roman" w:cs="Times New Roman"/>
                <w:spacing w:val="-25"/>
                <w:sz w:val="20"/>
                <w:szCs w:val="20"/>
              </w:rPr>
              <w:t xml:space="preserve"> </w:t>
            </w:r>
            <w:r>
              <w:rPr>
                <w:spacing w:val="2"/>
                <w:sz w:val="20"/>
                <w:szCs w:val="20"/>
              </w:rPr>
              <w:t>、氨氮等</w:t>
            </w:r>
          </w:p>
        </w:tc>
        <w:tc>
          <w:tcPr>
            <w:tcW w:w="1112" w:type="dxa"/>
            <w:vAlign w:val="top"/>
          </w:tcPr>
          <w:p w14:paraId="4A376BE6">
            <w:pPr>
              <w:spacing w:line="246" w:lineRule="auto"/>
              <w:rPr>
                <w:rFonts w:ascii="Arial"/>
                <w:sz w:val="21"/>
              </w:rPr>
            </w:pPr>
          </w:p>
          <w:p w14:paraId="060318A4">
            <w:pPr>
              <w:spacing w:before="58" w:line="96" w:lineRule="exact"/>
              <w:ind w:left="49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696" w:type="dxa"/>
            <w:vAlign w:val="top"/>
          </w:tcPr>
          <w:p w14:paraId="0C2B32A1">
            <w:pPr>
              <w:spacing w:line="246" w:lineRule="auto"/>
              <w:rPr>
                <w:rFonts w:ascii="Arial"/>
                <w:sz w:val="21"/>
              </w:rPr>
            </w:pPr>
          </w:p>
          <w:p w14:paraId="28F78504">
            <w:pPr>
              <w:spacing w:before="58" w:line="96" w:lineRule="exact"/>
              <w:ind w:left="28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506" w:type="dxa"/>
            <w:vAlign w:val="top"/>
          </w:tcPr>
          <w:p w14:paraId="3901DED0">
            <w:pPr>
              <w:pStyle w:val="6"/>
              <w:spacing w:before="181" w:line="228" w:lineRule="auto"/>
              <w:ind w:left="55"/>
              <w:rPr>
                <w:sz w:val="20"/>
                <w:szCs w:val="20"/>
              </w:rPr>
            </w:pPr>
            <w:r>
              <w:rPr>
                <w:spacing w:val="3"/>
                <w:sz w:val="20"/>
                <w:szCs w:val="20"/>
              </w:rPr>
              <w:t>短期</w:t>
            </w:r>
          </w:p>
        </w:tc>
        <w:tc>
          <w:tcPr>
            <w:tcW w:w="1131" w:type="dxa"/>
            <w:vAlign w:val="top"/>
          </w:tcPr>
          <w:p w14:paraId="0B09F1EA">
            <w:pPr>
              <w:spacing w:line="246" w:lineRule="auto"/>
              <w:rPr>
                <w:rFonts w:ascii="Arial"/>
                <w:sz w:val="21"/>
              </w:rPr>
            </w:pPr>
          </w:p>
          <w:p w14:paraId="5EEF3A4D">
            <w:pPr>
              <w:spacing w:before="58" w:line="96" w:lineRule="exact"/>
              <w:ind w:left="50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w:t>
            </w:r>
          </w:p>
        </w:tc>
        <w:tc>
          <w:tcPr>
            <w:tcW w:w="685" w:type="dxa"/>
            <w:tcBorders>
              <w:right w:val="single" w:color="000000" w:sz="6" w:space="0"/>
            </w:tcBorders>
            <w:vAlign w:val="top"/>
          </w:tcPr>
          <w:p w14:paraId="015D9A57">
            <w:pPr>
              <w:pStyle w:val="6"/>
              <w:spacing w:before="181" w:line="229" w:lineRule="auto"/>
              <w:ind w:left="197"/>
              <w:rPr>
                <w:sz w:val="20"/>
                <w:szCs w:val="20"/>
              </w:rPr>
            </w:pPr>
            <w:r>
              <w:rPr>
                <w:sz w:val="20"/>
                <w:szCs w:val="20"/>
              </w:rPr>
              <w:t>弱</w:t>
            </w:r>
          </w:p>
        </w:tc>
      </w:tr>
      <w:tr w14:paraId="1D9C2D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495" w:type="dxa"/>
            <w:vMerge w:val="continue"/>
            <w:tcBorders>
              <w:top w:val="nil"/>
              <w:left w:val="single" w:color="000000" w:sz="6" w:space="0"/>
              <w:bottom w:val="nil"/>
            </w:tcBorders>
            <w:textDirection w:val="tbRlV"/>
            <w:vAlign w:val="top"/>
          </w:tcPr>
          <w:p w14:paraId="483D2686">
            <w:pPr>
              <w:rPr>
                <w:rFonts w:ascii="Arial"/>
                <w:sz w:val="21"/>
              </w:rPr>
            </w:pPr>
          </w:p>
        </w:tc>
        <w:tc>
          <w:tcPr>
            <w:tcW w:w="661" w:type="dxa"/>
            <w:vMerge w:val="continue"/>
            <w:tcBorders>
              <w:top w:val="nil"/>
              <w:bottom w:val="nil"/>
            </w:tcBorders>
            <w:vAlign w:val="top"/>
          </w:tcPr>
          <w:p w14:paraId="34853D68">
            <w:pPr>
              <w:rPr>
                <w:rFonts w:ascii="Arial"/>
                <w:sz w:val="21"/>
              </w:rPr>
            </w:pPr>
          </w:p>
        </w:tc>
        <w:tc>
          <w:tcPr>
            <w:tcW w:w="478" w:type="dxa"/>
            <w:vAlign w:val="top"/>
          </w:tcPr>
          <w:p w14:paraId="10E1F71F">
            <w:pPr>
              <w:pStyle w:val="6"/>
              <w:spacing w:before="146" w:line="228" w:lineRule="auto"/>
              <w:ind w:left="37"/>
              <w:rPr>
                <w:sz w:val="20"/>
                <w:szCs w:val="20"/>
              </w:rPr>
            </w:pPr>
            <w:r>
              <w:rPr>
                <w:spacing w:val="-1"/>
                <w:sz w:val="20"/>
                <w:szCs w:val="20"/>
              </w:rPr>
              <w:t>噪声</w:t>
            </w:r>
          </w:p>
        </w:tc>
        <w:tc>
          <w:tcPr>
            <w:tcW w:w="1190" w:type="dxa"/>
            <w:vAlign w:val="top"/>
          </w:tcPr>
          <w:p w14:paraId="4D28B1A7">
            <w:pPr>
              <w:pStyle w:val="6"/>
              <w:spacing w:before="26" w:line="207" w:lineRule="auto"/>
              <w:ind w:left="495" w:right="71" w:hanging="423"/>
              <w:rPr>
                <w:sz w:val="20"/>
                <w:szCs w:val="20"/>
              </w:rPr>
            </w:pPr>
            <w:r>
              <w:rPr>
                <w:spacing w:val="8"/>
                <w:sz w:val="20"/>
                <w:szCs w:val="20"/>
              </w:rPr>
              <w:t>试油设备运</w:t>
            </w:r>
            <w:r>
              <w:rPr>
                <w:sz w:val="20"/>
                <w:szCs w:val="20"/>
              </w:rPr>
              <w:t>行</w:t>
            </w:r>
          </w:p>
        </w:tc>
        <w:tc>
          <w:tcPr>
            <w:tcW w:w="1947" w:type="dxa"/>
            <w:gridSpan w:val="2"/>
            <w:vAlign w:val="top"/>
          </w:tcPr>
          <w:p w14:paraId="021767F3">
            <w:pPr>
              <w:pStyle w:val="6"/>
              <w:spacing w:before="146" w:line="228" w:lineRule="auto"/>
              <w:ind w:left="346"/>
              <w:rPr>
                <w:sz w:val="20"/>
                <w:szCs w:val="20"/>
              </w:rPr>
            </w:pPr>
            <w:r>
              <w:rPr>
                <w:spacing w:val="8"/>
                <w:sz w:val="20"/>
                <w:szCs w:val="20"/>
              </w:rPr>
              <w:t>试油设备噪声</w:t>
            </w:r>
          </w:p>
        </w:tc>
        <w:tc>
          <w:tcPr>
            <w:tcW w:w="1112" w:type="dxa"/>
            <w:vAlign w:val="top"/>
          </w:tcPr>
          <w:p w14:paraId="4B5BF8DA">
            <w:pPr>
              <w:pStyle w:val="6"/>
              <w:spacing w:before="146" w:line="228" w:lineRule="auto"/>
              <w:ind w:left="251"/>
              <w:rPr>
                <w:sz w:val="20"/>
                <w:szCs w:val="20"/>
              </w:rPr>
            </w:pPr>
            <w:r>
              <w:rPr>
                <w:spacing w:val="5"/>
                <w:sz w:val="20"/>
                <w:szCs w:val="20"/>
              </w:rPr>
              <w:t>声环境</w:t>
            </w:r>
          </w:p>
        </w:tc>
        <w:tc>
          <w:tcPr>
            <w:tcW w:w="696" w:type="dxa"/>
            <w:vAlign w:val="top"/>
          </w:tcPr>
          <w:p w14:paraId="4EF9A60F">
            <w:pPr>
              <w:pStyle w:val="6"/>
              <w:spacing w:before="145" w:line="227" w:lineRule="auto"/>
              <w:ind w:left="44"/>
              <w:rPr>
                <w:sz w:val="20"/>
                <w:szCs w:val="20"/>
              </w:rPr>
            </w:pPr>
            <w:r>
              <w:rPr>
                <w:spacing w:val="5"/>
                <w:sz w:val="20"/>
                <w:szCs w:val="20"/>
              </w:rPr>
              <w:t>声传播</w:t>
            </w:r>
          </w:p>
        </w:tc>
        <w:tc>
          <w:tcPr>
            <w:tcW w:w="506" w:type="dxa"/>
            <w:vAlign w:val="top"/>
          </w:tcPr>
          <w:p w14:paraId="5E5B7C6D">
            <w:pPr>
              <w:pStyle w:val="6"/>
              <w:spacing w:before="146" w:line="228" w:lineRule="auto"/>
              <w:ind w:left="55"/>
              <w:rPr>
                <w:sz w:val="20"/>
                <w:szCs w:val="20"/>
              </w:rPr>
            </w:pPr>
            <w:r>
              <w:rPr>
                <w:spacing w:val="3"/>
                <w:sz w:val="20"/>
                <w:szCs w:val="20"/>
              </w:rPr>
              <w:t>短期</w:t>
            </w:r>
          </w:p>
        </w:tc>
        <w:tc>
          <w:tcPr>
            <w:tcW w:w="1131" w:type="dxa"/>
            <w:vAlign w:val="top"/>
          </w:tcPr>
          <w:p w14:paraId="76E4B73B">
            <w:pPr>
              <w:pStyle w:val="6"/>
              <w:spacing w:before="25" w:line="222" w:lineRule="auto"/>
              <w:ind w:left="50"/>
              <w:rPr>
                <w:sz w:val="20"/>
                <w:szCs w:val="20"/>
              </w:rPr>
            </w:pPr>
            <w:r>
              <w:rPr>
                <w:spacing w:val="8"/>
                <w:sz w:val="20"/>
                <w:szCs w:val="20"/>
              </w:rPr>
              <w:t>井场及周边</w:t>
            </w:r>
          </w:p>
          <w:p w14:paraId="78D5159E">
            <w:pPr>
              <w:pStyle w:val="6"/>
              <w:spacing w:line="193" w:lineRule="auto"/>
              <w:ind w:left="54"/>
              <w:rPr>
                <w:sz w:val="20"/>
                <w:szCs w:val="20"/>
              </w:rPr>
            </w:pPr>
            <w:r>
              <w:rPr>
                <w:spacing w:val="7"/>
                <w:sz w:val="20"/>
                <w:szCs w:val="20"/>
              </w:rPr>
              <w:t>受影响区域</w:t>
            </w:r>
          </w:p>
        </w:tc>
        <w:tc>
          <w:tcPr>
            <w:tcW w:w="685" w:type="dxa"/>
            <w:tcBorders>
              <w:right w:val="single" w:color="000000" w:sz="6" w:space="0"/>
            </w:tcBorders>
            <w:vAlign w:val="top"/>
          </w:tcPr>
          <w:p w14:paraId="1EEF593D">
            <w:pPr>
              <w:pStyle w:val="6"/>
              <w:spacing w:before="145" w:line="229" w:lineRule="auto"/>
              <w:ind w:left="197"/>
              <w:rPr>
                <w:sz w:val="20"/>
                <w:szCs w:val="20"/>
              </w:rPr>
            </w:pPr>
            <w:r>
              <w:rPr>
                <w:sz w:val="20"/>
                <w:szCs w:val="20"/>
              </w:rPr>
              <w:t>弱</w:t>
            </w:r>
          </w:p>
        </w:tc>
      </w:tr>
      <w:tr w14:paraId="7A97DD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495" w:type="dxa"/>
            <w:vMerge w:val="continue"/>
            <w:tcBorders>
              <w:top w:val="nil"/>
              <w:left w:val="single" w:color="000000" w:sz="6" w:space="0"/>
              <w:bottom w:val="nil"/>
            </w:tcBorders>
            <w:textDirection w:val="tbRlV"/>
            <w:vAlign w:val="top"/>
          </w:tcPr>
          <w:p w14:paraId="7F2F8B5A">
            <w:pPr>
              <w:rPr>
                <w:rFonts w:ascii="Arial"/>
                <w:sz w:val="21"/>
              </w:rPr>
            </w:pPr>
          </w:p>
        </w:tc>
        <w:tc>
          <w:tcPr>
            <w:tcW w:w="661" w:type="dxa"/>
            <w:vMerge w:val="continue"/>
            <w:tcBorders>
              <w:top w:val="nil"/>
              <w:bottom w:val="nil"/>
            </w:tcBorders>
            <w:vAlign w:val="top"/>
          </w:tcPr>
          <w:p w14:paraId="31869CA3">
            <w:pPr>
              <w:rPr>
                <w:rFonts w:ascii="Arial"/>
                <w:sz w:val="21"/>
              </w:rPr>
            </w:pPr>
          </w:p>
        </w:tc>
        <w:tc>
          <w:tcPr>
            <w:tcW w:w="478" w:type="dxa"/>
            <w:vMerge w:val="restart"/>
            <w:tcBorders>
              <w:bottom w:val="nil"/>
            </w:tcBorders>
            <w:vAlign w:val="top"/>
          </w:tcPr>
          <w:p w14:paraId="1CD27347">
            <w:pPr>
              <w:spacing w:line="297" w:lineRule="auto"/>
              <w:rPr>
                <w:rFonts w:ascii="Arial"/>
                <w:sz w:val="21"/>
              </w:rPr>
            </w:pPr>
          </w:p>
          <w:p w14:paraId="3FD6E78C">
            <w:pPr>
              <w:pStyle w:val="6"/>
              <w:spacing w:before="65" w:line="228" w:lineRule="auto"/>
              <w:ind w:left="45"/>
              <w:rPr>
                <w:sz w:val="20"/>
                <w:szCs w:val="20"/>
              </w:rPr>
            </w:pPr>
            <w:r>
              <w:rPr>
                <w:spacing w:val="-5"/>
                <w:sz w:val="20"/>
                <w:szCs w:val="20"/>
              </w:rPr>
              <w:t>固废</w:t>
            </w:r>
          </w:p>
        </w:tc>
        <w:tc>
          <w:tcPr>
            <w:tcW w:w="1190" w:type="dxa"/>
            <w:vAlign w:val="top"/>
          </w:tcPr>
          <w:p w14:paraId="0272FD5F">
            <w:pPr>
              <w:pStyle w:val="6"/>
              <w:spacing w:before="145" w:line="228" w:lineRule="auto"/>
              <w:ind w:left="175"/>
              <w:rPr>
                <w:sz w:val="20"/>
                <w:szCs w:val="20"/>
              </w:rPr>
            </w:pPr>
            <w:r>
              <w:rPr>
                <w:spacing w:val="7"/>
                <w:sz w:val="20"/>
                <w:szCs w:val="20"/>
              </w:rPr>
              <w:t>试油过程</w:t>
            </w:r>
          </w:p>
        </w:tc>
        <w:tc>
          <w:tcPr>
            <w:tcW w:w="1947" w:type="dxa"/>
            <w:gridSpan w:val="2"/>
            <w:vAlign w:val="top"/>
          </w:tcPr>
          <w:p w14:paraId="1C4570D7">
            <w:pPr>
              <w:pStyle w:val="6"/>
              <w:spacing w:before="26" w:line="207" w:lineRule="auto"/>
              <w:ind w:left="451" w:right="63" w:hanging="420"/>
              <w:rPr>
                <w:sz w:val="20"/>
                <w:szCs w:val="20"/>
              </w:rPr>
            </w:pPr>
            <w:r>
              <w:rPr>
                <w:spacing w:val="5"/>
                <w:sz w:val="20"/>
                <w:szCs w:val="20"/>
              </w:rPr>
              <w:t>废润滑油、落地油、</w:t>
            </w:r>
            <w:r>
              <w:rPr>
                <w:spacing w:val="8"/>
                <w:sz w:val="20"/>
                <w:szCs w:val="20"/>
              </w:rPr>
              <w:t>废防渗材料</w:t>
            </w:r>
          </w:p>
        </w:tc>
        <w:tc>
          <w:tcPr>
            <w:tcW w:w="1112" w:type="dxa"/>
            <w:vAlign w:val="top"/>
          </w:tcPr>
          <w:p w14:paraId="3F59A791">
            <w:pPr>
              <w:pStyle w:val="6"/>
              <w:spacing w:before="26" w:line="207" w:lineRule="auto"/>
              <w:ind w:left="247" w:right="29" w:hanging="211"/>
              <w:rPr>
                <w:sz w:val="20"/>
                <w:szCs w:val="20"/>
              </w:rPr>
            </w:pPr>
            <w:r>
              <w:rPr>
                <w:spacing w:val="8"/>
                <w:sz w:val="20"/>
                <w:szCs w:val="20"/>
              </w:rPr>
              <w:t>地下水及土</w:t>
            </w:r>
            <w:r>
              <w:rPr>
                <w:spacing w:val="6"/>
                <w:sz w:val="20"/>
                <w:szCs w:val="20"/>
              </w:rPr>
              <w:t>壤环境</w:t>
            </w:r>
          </w:p>
        </w:tc>
        <w:tc>
          <w:tcPr>
            <w:tcW w:w="696" w:type="dxa"/>
            <w:vAlign w:val="top"/>
          </w:tcPr>
          <w:p w14:paraId="095C57C5">
            <w:pPr>
              <w:pStyle w:val="6"/>
              <w:spacing w:before="145" w:line="229" w:lineRule="auto"/>
              <w:ind w:left="149"/>
              <w:rPr>
                <w:sz w:val="20"/>
                <w:szCs w:val="20"/>
              </w:rPr>
            </w:pPr>
            <w:r>
              <w:rPr>
                <w:spacing w:val="3"/>
                <w:sz w:val="20"/>
                <w:szCs w:val="20"/>
              </w:rPr>
              <w:t>泄漏</w:t>
            </w:r>
          </w:p>
        </w:tc>
        <w:tc>
          <w:tcPr>
            <w:tcW w:w="506" w:type="dxa"/>
            <w:vAlign w:val="top"/>
          </w:tcPr>
          <w:p w14:paraId="0FF63C06">
            <w:pPr>
              <w:pStyle w:val="6"/>
              <w:spacing w:before="145" w:line="228" w:lineRule="auto"/>
              <w:ind w:left="55"/>
              <w:rPr>
                <w:sz w:val="20"/>
                <w:szCs w:val="20"/>
              </w:rPr>
            </w:pPr>
            <w:r>
              <w:rPr>
                <w:spacing w:val="3"/>
                <w:sz w:val="20"/>
                <w:szCs w:val="20"/>
              </w:rPr>
              <w:t>短期</w:t>
            </w:r>
          </w:p>
        </w:tc>
        <w:tc>
          <w:tcPr>
            <w:tcW w:w="1131" w:type="dxa"/>
            <w:vAlign w:val="top"/>
          </w:tcPr>
          <w:p w14:paraId="4A9BD8BE">
            <w:pPr>
              <w:pStyle w:val="6"/>
              <w:spacing w:before="24" w:line="222" w:lineRule="auto"/>
              <w:ind w:left="50"/>
              <w:rPr>
                <w:sz w:val="20"/>
                <w:szCs w:val="20"/>
              </w:rPr>
            </w:pPr>
            <w:r>
              <w:rPr>
                <w:spacing w:val="8"/>
                <w:sz w:val="20"/>
                <w:szCs w:val="20"/>
              </w:rPr>
              <w:t>井场及周边</w:t>
            </w:r>
          </w:p>
          <w:p w14:paraId="6CE9EC98">
            <w:pPr>
              <w:pStyle w:val="6"/>
              <w:spacing w:line="193" w:lineRule="auto"/>
              <w:ind w:left="54"/>
              <w:rPr>
                <w:sz w:val="20"/>
                <w:szCs w:val="20"/>
              </w:rPr>
            </w:pPr>
            <w:r>
              <w:rPr>
                <w:spacing w:val="7"/>
                <w:sz w:val="20"/>
                <w:szCs w:val="20"/>
              </w:rPr>
              <w:t>受影响区域</w:t>
            </w:r>
          </w:p>
        </w:tc>
        <w:tc>
          <w:tcPr>
            <w:tcW w:w="685" w:type="dxa"/>
            <w:tcBorders>
              <w:right w:val="single" w:color="000000" w:sz="6" w:space="0"/>
            </w:tcBorders>
            <w:vAlign w:val="top"/>
          </w:tcPr>
          <w:p w14:paraId="7E6EF010">
            <w:pPr>
              <w:pStyle w:val="6"/>
              <w:spacing w:before="145" w:line="229" w:lineRule="auto"/>
              <w:ind w:left="197"/>
              <w:rPr>
                <w:sz w:val="20"/>
                <w:szCs w:val="20"/>
              </w:rPr>
            </w:pPr>
            <w:r>
              <w:rPr>
                <w:sz w:val="20"/>
                <w:szCs w:val="20"/>
              </w:rPr>
              <w:t>弱</w:t>
            </w:r>
          </w:p>
        </w:tc>
      </w:tr>
      <w:tr w14:paraId="63A57F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495" w:type="dxa"/>
            <w:vMerge w:val="continue"/>
            <w:tcBorders>
              <w:top w:val="nil"/>
              <w:left w:val="single" w:color="000000" w:sz="6" w:space="0"/>
              <w:bottom w:val="nil"/>
            </w:tcBorders>
            <w:textDirection w:val="tbRlV"/>
            <w:vAlign w:val="top"/>
          </w:tcPr>
          <w:p w14:paraId="6ECCF5C8">
            <w:pPr>
              <w:rPr>
                <w:rFonts w:ascii="Arial"/>
                <w:sz w:val="21"/>
              </w:rPr>
            </w:pPr>
          </w:p>
        </w:tc>
        <w:tc>
          <w:tcPr>
            <w:tcW w:w="661" w:type="dxa"/>
            <w:vMerge w:val="continue"/>
            <w:tcBorders>
              <w:top w:val="nil"/>
            </w:tcBorders>
            <w:vAlign w:val="top"/>
          </w:tcPr>
          <w:p w14:paraId="3E422B2C">
            <w:pPr>
              <w:rPr>
                <w:rFonts w:ascii="Arial"/>
                <w:sz w:val="21"/>
              </w:rPr>
            </w:pPr>
          </w:p>
        </w:tc>
        <w:tc>
          <w:tcPr>
            <w:tcW w:w="478" w:type="dxa"/>
            <w:vMerge w:val="continue"/>
            <w:tcBorders>
              <w:top w:val="nil"/>
            </w:tcBorders>
            <w:vAlign w:val="top"/>
          </w:tcPr>
          <w:p w14:paraId="6E6D101B">
            <w:pPr>
              <w:rPr>
                <w:rFonts w:ascii="Arial"/>
                <w:sz w:val="21"/>
              </w:rPr>
            </w:pPr>
          </w:p>
        </w:tc>
        <w:tc>
          <w:tcPr>
            <w:tcW w:w="1190" w:type="dxa"/>
            <w:vAlign w:val="top"/>
          </w:tcPr>
          <w:p w14:paraId="59CC3BAE">
            <w:pPr>
              <w:pStyle w:val="6"/>
              <w:spacing w:before="121" w:line="228" w:lineRule="auto"/>
              <w:ind w:left="176"/>
              <w:rPr>
                <w:sz w:val="20"/>
                <w:szCs w:val="20"/>
              </w:rPr>
            </w:pPr>
            <w:r>
              <w:rPr>
                <w:spacing w:val="7"/>
                <w:sz w:val="20"/>
                <w:szCs w:val="20"/>
              </w:rPr>
              <w:t>职工生活</w:t>
            </w:r>
          </w:p>
        </w:tc>
        <w:tc>
          <w:tcPr>
            <w:tcW w:w="1947" w:type="dxa"/>
            <w:gridSpan w:val="2"/>
            <w:vAlign w:val="top"/>
          </w:tcPr>
          <w:p w14:paraId="650669C7">
            <w:pPr>
              <w:pStyle w:val="6"/>
              <w:spacing w:before="121" w:line="228" w:lineRule="auto"/>
              <w:ind w:left="559"/>
              <w:rPr>
                <w:sz w:val="20"/>
                <w:szCs w:val="20"/>
              </w:rPr>
            </w:pPr>
            <w:r>
              <w:rPr>
                <w:spacing w:val="6"/>
                <w:sz w:val="20"/>
                <w:szCs w:val="20"/>
              </w:rPr>
              <w:t>生活垃圾</w:t>
            </w:r>
          </w:p>
        </w:tc>
        <w:tc>
          <w:tcPr>
            <w:tcW w:w="1112" w:type="dxa"/>
            <w:vAlign w:val="top"/>
          </w:tcPr>
          <w:p w14:paraId="7EEF3131">
            <w:pPr>
              <w:spacing w:before="245" w:line="97" w:lineRule="exact"/>
              <w:ind w:left="49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696" w:type="dxa"/>
            <w:vAlign w:val="top"/>
          </w:tcPr>
          <w:p w14:paraId="44E2260A">
            <w:pPr>
              <w:spacing w:before="245" w:line="97" w:lineRule="exact"/>
              <w:ind w:left="28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506" w:type="dxa"/>
            <w:vAlign w:val="top"/>
          </w:tcPr>
          <w:p w14:paraId="0F04202C">
            <w:pPr>
              <w:pStyle w:val="6"/>
              <w:spacing w:before="121" w:line="228" w:lineRule="auto"/>
              <w:ind w:left="55"/>
              <w:rPr>
                <w:sz w:val="20"/>
                <w:szCs w:val="20"/>
              </w:rPr>
            </w:pPr>
            <w:r>
              <w:rPr>
                <w:spacing w:val="3"/>
                <w:sz w:val="20"/>
                <w:szCs w:val="20"/>
              </w:rPr>
              <w:t>短期</w:t>
            </w:r>
          </w:p>
        </w:tc>
        <w:tc>
          <w:tcPr>
            <w:tcW w:w="1131" w:type="dxa"/>
            <w:vAlign w:val="top"/>
          </w:tcPr>
          <w:p w14:paraId="04DDDDA3">
            <w:pPr>
              <w:spacing w:before="245" w:line="97" w:lineRule="exact"/>
              <w:ind w:left="50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w:t>
            </w:r>
          </w:p>
        </w:tc>
        <w:tc>
          <w:tcPr>
            <w:tcW w:w="685" w:type="dxa"/>
            <w:tcBorders>
              <w:right w:val="single" w:color="000000" w:sz="6" w:space="0"/>
            </w:tcBorders>
            <w:vAlign w:val="top"/>
          </w:tcPr>
          <w:p w14:paraId="1746C31D">
            <w:pPr>
              <w:pStyle w:val="6"/>
              <w:spacing w:before="121" w:line="229" w:lineRule="auto"/>
              <w:ind w:left="197"/>
              <w:rPr>
                <w:sz w:val="20"/>
                <w:szCs w:val="20"/>
              </w:rPr>
            </w:pPr>
            <w:r>
              <w:rPr>
                <w:sz w:val="20"/>
                <w:szCs w:val="20"/>
              </w:rPr>
              <w:t>弱</w:t>
            </w:r>
          </w:p>
        </w:tc>
      </w:tr>
      <w:tr w14:paraId="728F4E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495" w:type="dxa"/>
            <w:vMerge w:val="continue"/>
            <w:tcBorders>
              <w:top w:val="nil"/>
              <w:left w:val="single" w:color="000000" w:sz="6" w:space="0"/>
              <w:bottom w:val="single" w:color="000000" w:sz="6" w:space="0"/>
            </w:tcBorders>
            <w:textDirection w:val="tbRlV"/>
            <w:vAlign w:val="top"/>
          </w:tcPr>
          <w:p w14:paraId="48EB88CC">
            <w:pPr>
              <w:rPr>
                <w:rFonts w:ascii="Arial"/>
                <w:sz w:val="21"/>
              </w:rPr>
            </w:pPr>
          </w:p>
        </w:tc>
        <w:tc>
          <w:tcPr>
            <w:tcW w:w="661" w:type="dxa"/>
            <w:tcBorders>
              <w:bottom w:val="single" w:color="000000" w:sz="6" w:space="0"/>
            </w:tcBorders>
            <w:vAlign w:val="top"/>
          </w:tcPr>
          <w:p w14:paraId="605B8594">
            <w:pPr>
              <w:pStyle w:val="6"/>
              <w:spacing w:before="46" w:line="228" w:lineRule="auto"/>
              <w:ind w:left="169"/>
              <w:rPr>
                <w:sz w:val="20"/>
                <w:szCs w:val="20"/>
              </w:rPr>
            </w:pPr>
            <w:r>
              <w:rPr>
                <w:spacing w:val="5"/>
                <w:sz w:val="20"/>
                <w:szCs w:val="20"/>
              </w:rPr>
              <w:t>封井</w:t>
            </w:r>
          </w:p>
          <w:p w14:paraId="0F4F295C">
            <w:pPr>
              <w:pStyle w:val="6"/>
              <w:spacing w:before="24" w:line="228" w:lineRule="auto"/>
              <w:ind w:left="172"/>
              <w:rPr>
                <w:sz w:val="20"/>
                <w:szCs w:val="20"/>
              </w:rPr>
            </w:pPr>
            <w:r>
              <w:rPr>
                <w:spacing w:val="3"/>
                <w:sz w:val="20"/>
                <w:szCs w:val="20"/>
              </w:rPr>
              <w:t>工程</w:t>
            </w:r>
          </w:p>
        </w:tc>
        <w:tc>
          <w:tcPr>
            <w:tcW w:w="478" w:type="dxa"/>
            <w:tcBorders>
              <w:bottom w:val="single" w:color="000000" w:sz="6" w:space="0"/>
            </w:tcBorders>
            <w:vAlign w:val="top"/>
          </w:tcPr>
          <w:p w14:paraId="0E13341E">
            <w:pPr>
              <w:pStyle w:val="6"/>
              <w:spacing w:before="45" w:line="233" w:lineRule="auto"/>
              <w:ind w:left="29"/>
              <w:rPr>
                <w:sz w:val="20"/>
                <w:szCs w:val="20"/>
              </w:rPr>
            </w:pPr>
            <w:r>
              <w:rPr>
                <w:spacing w:val="3"/>
                <w:sz w:val="20"/>
                <w:szCs w:val="20"/>
              </w:rPr>
              <w:t>生态</w:t>
            </w:r>
          </w:p>
          <w:p w14:paraId="646F6907">
            <w:pPr>
              <w:pStyle w:val="6"/>
              <w:spacing w:before="19" w:line="228" w:lineRule="auto"/>
              <w:ind w:left="27"/>
              <w:rPr>
                <w:sz w:val="20"/>
                <w:szCs w:val="20"/>
              </w:rPr>
            </w:pPr>
            <w:r>
              <w:rPr>
                <w:spacing w:val="4"/>
                <w:sz w:val="20"/>
                <w:szCs w:val="20"/>
              </w:rPr>
              <w:t>环境</w:t>
            </w:r>
          </w:p>
        </w:tc>
        <w:tc>
          <w:tcPr>
            <w:tcW w:w="1190" w:type="dxa"/>
            <w:tcBorders>
              <w:bottom w:val="single" w:color="000000" w:sz="6" w:space="0"/>
            </w:tcBorders>
            <w:vAlign w:val="top"/>
          </w:tcPr>
          <w:p w14:paraId="11CDFAF0">
            <w:pPr>
              <w:pStyle w:val="6"/>
              <w:spacing w:before="46" w:line="247" w:lineRule="auto"/>
              <w:ind w:left="386" w:right="71" w:hanging="302"/>
              <w:rPr>
                <w:sz w:val="20"/>
                <w:szCs w:val="20"/>
              </w:rPr>
            </w:pPr>
            <w:r>
              <w:rPr>
                <w:spacing w:val="5"/>
                <w:sz w:val="20"/>
                <w:szCs w:val="20"/>
              </w:rPr>
              <w:t>临时或永久封井</w:t>
            </w:r>
          </w:p>
        </w:tc>
        <w:tc>
          <w:tcPr>
            <w:tcW w:w="1947" w:type="dxa"/>
            <w:gridSpan w:val="2"/>
            <w:tcBorders>
              <w:bottom w:val="single" w:color="000000" w:sz="6" w:space="0"/>
            </w:tcBorders>
            <w:vAlign w:val="top"/>
          </w:tcPr>
          <w:p w14:paraId="6BD96982">
            <w:pPr>
              <w:pStyle w:val="6"/>
              <w:spacing w:before="180" w:line="228" w:lineRule="auto"/>
              <w:ind w:left="452"/>
              <w:rPr>
                <w:sz w:val="20"/>
                <w:szCs w:val="20"/>
              </w:rPr>
            </w:pPr>
            <w:r>
              <w:rPr>
                <w:spacing w:val="8"/>
                <w:sz w:val="20"/>
                <w:szCs w:val="20"/>
              </w:rPr>
              <w:t>地表扰动等</w:t>
            </w:r>
          </w:p>
        </w:tc>
        <w:tc>
          <w:tcPr>
            <w:tcW w:w="1112" w:type="dxa"/>
            <w:tcBorders>
              <w:bottom w:val="single" w:color="000000" w:sz="6" w:space="0"/>
            </w:tcBorders>
            <w:vAlign w:val="top"/>
          </w:tcPr>
          <w:p w14:paraId="1F4EBCB2">
            <w:pPr>
              <w:pStyle w:val="6"/>
              <w:spacing w:before="180" w:line="228" w:lineRule="auto"/>
              <w:ind w:left="143"/>
              <w:rPr>
                <w:sz w:val="20"/>
                <w:szCs w:val="20"/>
              </w:rPr>
            </w:pPr>
            <w:r>
              <w:rPr>
                <w:spacing w:val="6"/>
                <w:sz w:val="20"/>
                <w:szCs w:val="20"/>
              </w:rPr>
              <w:t>生态环境</w:t>
            </w:r>
          </w:p>
        </w:tc>
        <w:tc>
          <w:tcPr>
            <w:tcW w:w="696" w:type="dxa"/>
            <w:tcBorders>
              <w:bottom w:val="single" w:color="000000" w:sz="6" w:space="0"/>
            </w:tcBorders>
            <w:vAlign w:val="top"/>
          </w:tcPr>
          <w:p w14:paraId="570C8D7F">
            <w:pPr>
              <w:spacing w:line="245" w:lineRule="auto"/>
              <w:rPr>
                <w:rFonts w:ascii="Arial"/>
                <w:sz w:val="21"/>
              </w:rPr>
            </w:pPr>
          </w:p>
          <w:p w14:paraId="6FB49C7F">
            <w:pPr>
              <w:spacing w:before="58" w:line="96" w:lineRule="exact"/>
              <w:ind w:left="28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506" w:type="dxa"/>
            <w:tcBorders>
              <w:bottom w:val="single" w:color="000000" w:sz="6" w:space="0"/>
            </w:tcBorders>
            <w:vAlign w:val="top"/>
          </w:tcPr>
          <w:p w14:paraId="07F2BFDF">
            <w:pPr>
              <w:pStyle w:val="6"/>
              <w:spacing w:before="46" w:line="228" w:lineRule="auto"/>
              <w:ind w:left="55"/>
              <w:rPr>
                <w:sz w:val="20"/>
                <w:szCs w:val="20"/>
              </w:rPr>
            </w:pPr>
            <w:r>
              <w:rPr>
                <w:spacing w:val="3"/>
                <w:sz w:val="20"/>
                <w:szCs w:val="20"/>
              </w:rPr>
              <w:t>短期</w:t>
            </w:r>
          </w:p>
          <w:p w14:paraId="3932531B">
            <w:pPr>
              <w:pStyle w:val="6"/>
              <w:spacing w:before="24" w:line="231" w:lineRule="auto"/>
              <w:ind w:left="54"/>
              <w:rPr>
                <w:sz w:val="20"/>
                <w:szCs w:val="20"/>
              </w:rPr>
            </w:pPr>
            <w:r>
              <w:rPr>
                <w:spacing w:val="3"/>
                <w:sz w:val="20"/>
                <w:szCs w:val="20"/>
              </w:rPr>
              <w:t>可逆</w:t>
            </w:r>
          </w:p>
        </w:tc>
        <w:tc>
          <w:tcPr>
            <w:tcW w:w="1131" w:type="dxa"/>
            <w:tcBorders>
              <w:bottom w:val="single" w:color="000000" w:sz="6" w:space="0"/>
            </w:tcBorders>
            <w:vAlign w:val="top"/>
          </w:tcPr>
          <w:p w14:paraId="18705B00">
            <w:pPr>
              <w:pStyle w:val="6"/>
              <w:spacing w:before="180" w:line="228" w:lineRule="auto"/>
              <w:ind w:left="156"/>
              <w:rPr>
                <w:sz w:val="20"/>
                <w:szCs w:val="20"/>
              </w:rPr>
            </w:pPr>
            <w:r>
              <w:rPr>
                <w:spacing w:val="7"/>
                <w:sz w:val="20"/>
                <w:szCs w:val="20"/>
              </w:rPr>
              <w:t>井场范围</w:t>
            </w:r>
          </w:p>
        </w:tc>
        <w:tc>
          <w:tcPr>
            <w:tcW w:w="685" w:type="dxa"/>
            <w:tcBorders>
              <w:bottom w:val="single" w:color="000000" w:sz="6" w:space="0"/>
              <w:right w:val="single" w:color="000000" w:sz="6" w:space="0"/>
            </w:tcBorders>
            <w:vAlign w:val="top"/>
          </w:tcPr>
          <w:p w14:paraId="0919B7FC">
            <w:pPr>
              <w:pStyle w:val="6"/>
              <w:spacing w:before="180" w:line="229" w:lineRule="auto"/>
              <w:ind w:left="197"/>
              <w:rPr>
                <w:sz w:val="20"/>
                <w:szCs w:val="20"/>
              </w:rPr>
            </w:pPr>
            <w:r>
              <w:rPr>
                <w:sz w:val="20"/>
                <w:szCs w:val="20"/>
              </w:rPr>
              <w:t>弱</w:t>
            </w:r>
          </w:p>
        </w:tc>
      </w:tr>
    </w:tbl>
    <w:p w14:paraId="60B30182">
      <w:pPr>
        <w:spacing w:line="231" w:lineRule="exact"/>
        <w:rPr>
          <w:rFonts w:ascii="Arial"/>
          <w:sz w:val="20"/>
        </w:rPr>
      </w:pPr>
    </w:p>
    <w:p w14:paraId="0261993B">
      <w:pPr>
        <w:spacing w:line="231" w:lineRule="exact"/>
        <w:rPr>
          <w:rFonts w:ascii="Arial" w:hAnsi="Arial" w:eastAsia="Arial" w:cs="Arial"/>
          <w:sz w:val="20"/>
          <w:szCs w:val="20"/>
        </w:rPr>
        <w:sectPr>
          <w:footerReference r:id="rId62" w:type="default"/>
          <w:pgSz w:w="11906" w:h="16839"/>
          <w:pgMar w:top="400" w:right="1410" w:bottom="1240" w:left="1579" w:header="0" w:footer="1078" w:gutter="0"/>
          <w:cols w:space="720" w:num="1"/>
        </w:sectPr>
      </w:pPr>
    </w:p>
    <w:p w14:paraId="365E475F">
      <w:pPr>
        <w:spacing w:before="56"/>
      </w:pPr>
    </w:p>
    <w:p w14:paraId="399A867C">
      <w:pPr>
        <w:spacing w:before="56"/>
      </w:pPr>
    </w:p>
    <w:p w14:paraId="1B844E66">
      <w:pPr>
        <w:spacing w:before="55"/>
      </w:pPr>
    </w:p>
    <w:p w14:paraId="08B0A821">
      <w:pPr>
        <w:spacing w:before="55"/>
      </w:pPr>
    </w:p>
    <w:tbl>
      <w:tblPr>
        <w:tblStyle w:val="5"/>
        <w:tblW w:w="890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95"/>
        <w:gridCol w:w="8406"/>
      </w:tblGrid>
      <w:tr w14:paraId="3FE555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60" w:hRule="atLeast"/>
        </w:trPr>
        <w:tc>
          <w:tcPr>
            <w:tcW w:w="495" w:type="dxa"/>
            <w:tcBorders>
              <w:right w:val="single" w:color="000000" w:sz="2" w:space="0"/>
            </w:tcBorders>
            <w:vAlign w:val="top"/>
          </w:tcPr>
          <w:p w14:paraId="59B4DC24">
            <w:pPr>
              <w:rPr>
                <w:rFonts w:ascii="Arial"/>
                <w:sz w:val="21"/>
              </w:rPr>
            </w:pPr>
          </w:p>
        </w:tc>
        <w:tc>
          <w:tcPr>
            <w:tcW w:w="8406" w:type="dxa"/>
            <w:tcBorders>
              <w:left w:val="single" w:color="000000" w:sz="2" w:space="0"/>
            </w:tcBorders>
            <w:vAlign w:val="top"/>
          </w:tcPr>
          <w:p w14:paraId="326610EB">
            <w:pPr>
              <w:pStyle w:val="6"/>
              <w:spacing w:before="39" w:line="220" w:lineRule="auto"/>
              <w:ind w:left="592"/>
            </w:pPr>
            <w:r>
              <w:rPr>
                <w:b/>
                <w:bCs/>
                <w:spacing w:val="-3"/>
              </w:rPr>
              <w:t>一、施工期废气影响分析</w:t>
            </w:r>
          </w:p>
          <w:p w14:paraId="412A1DD3">
            <w:pPr>
              <w:pStyle w:val="6"/>
              <w:spacing w:before="182" w:line="221" w:lineRule="auto"/>
              <w:ind w:left="607"/>
            </w:pPr>
            <w:r>
              <w:rPr>
                <w:rFonts w:ascii="Times New Roman" w:hAnsi="Times New Roman" w:eastAsia="Times New Roman" w:cs="Times New Roman"/>
                <w:spacing w:val="-10"/>
              </w:rPr>
              <w:t>1</w:t>
            </w:r>
            <w:r>
              <w:rPr>
                <w:rFonts w:ascii="Times New Roman" w:hAnsi="Times New Roman" w:eastAsia="Times New Roman" w:cs="Times New Roman"/>
                <w:spacing w:val="-30"/>
              </w:rPr>
              <w:t xml:space="preserve"> </w:t>
            </w:r>
            <w:r>
              <w:rPr>
                <w:spacing w:val="-10"/>
              </w:rPr>
              <w:t>、施工扬尘</w:t>
            </w:r>
          </w:p>
          <w:p w14:paraId="6DB3D57E">
            <w:pPr>
              <w:pStyle w:val="6"/>
              <w:spacing w:before="178" w:line="359" w:lineRule="auto"/>
              <w:ind w:left="108" w:right="100" w:firstLine="479"/>
            </w:pPr>
            <w:r>
              <w:rPr>
                <w:spacing w:val="1"/>
              </w:rPr>
              <w:t>在钻前准备过程中，首先要对施工场地进行表土剥离和平整</w:t>
            </w:r>
            <w:r>
              <w:t>、运输和堆放</w:t>
            </w:r>
            <w:r>
              <w:rPr>
                <w:spacing w:val="1"/>
              </w:rPr>
              <w:t>钻井设备、原材料等。项目施工期的扬尘污染主要取决于</w:t>
            </w:r>
            <w:r>
              <w:t>施工作业方式、设备</w:t>
            </w:r>
            <w:r>
              <w:rPr>
                <w:spacing w:val="1"/>
              </w:rPr>
              <w:t>材料的堆放以及风力等因素，其中受风力因素影响最大，</w:t>
            </w:r>
            <w:r>
              <w:t>随着风速的增大，施</w:t>
            </w:r>
            <w:r>
              <w:rPr>
                <w:spacing w:val="1"/>
              </w:rPr>
              <w:t>工扬尘的污染程度和超标范围也将随之增大。车辆运输产</w:t>
            </w:r>
            <w:r>
              <w:t>生的扬尘量、粒径大</w:t>
            </w:r>
            <w:r>
              <w:rPr>
                <w:spacing w:val="1"/>
              </w:rPr>
              <w:t>小等与多种因素（如路面状况、车辆行驶速度、车辆载重</w:t>
            </w:r>
            <w:r>
              <w:t>量和天气情况等）相</w:t>
            </w:r>
            <w:r>
              <w:rPr>
                <w:spacing w:val="-4"/>
              </w:rPr>
              <w:t>关。其中风速、风向直接影响扬尘的传输方向和距离。这些扬尘粒径在</w:t>
            </w:r>
            <w:r>
              <w:rPr>
                <w:spacing w:val="-35"/>
              </w:rPr>
              <w:t xml:space="preserve"> </w:t>
            </w:r>
            <w:r>
              <w:rPr>
                <w:rFonts w:ascii="Times New Roman" w:hAnsi="Times New Roman" w:eastAsia="Times New Roman" w:cs="Times New Roman"/>
                <w:spacing w:val="-4"/>
              </w:rPr>
              <w:t>3~80μm</w:t>
            </w:r>
            <w:r>
              <w:rPr>
                <w:spacing w:val="-4"/>
              </w:rPr>
              <w:t>之间，比重在</w:t>
            </w:r>
            <w:r>
              <w:rPr>
                <w:spacing w:val="-16"/>
              </w:rPr>
              <w:t xml:space="preserve"> </w:t>
            </w:r>
            <w:r>
              <w:rPr>
                <w:rFonts w:ascii="Times New Roman" w:hAnsi="Times New Roman" w:eastAsia="Times New Roman" w:cs="Times New Roman"/>
                <w:spacing w:val="-4"/>
              </w:rPr>
              <w:t>1.2~</w:t>
            </w:r>
            <w:r>
              <w:rPr>
                <w:rFonts w:ascii="Times New Roman" w:hAnsi="Times New Roman" w:eastAsia="Times New Roman" w:cs="Times New Roman"/>
                <w:spacing w:val="-32"/>
              </w:rPr>
              <w:t xml:space="preserve"> </w:t>
            </w:r>
            <w:r>
              <w:rPr>
                <w:rFonts w:ascii="Times New Roman" w:hAnsi="Times New Roman" w:eastAsia="Times New Roman" w:cs="Times New Roman"/>
                <w:spacing w:val="-4"/>
              </w:rPr>
              <w:t>1.3</w:t>
            </w:r>
            <w:r>
              <w:rPr>
                <w:rFonts w:ascii="Times New Roman" w:hAnsi="Times New Roman" w:eastAsia="Times New Roman" w:cs="Times New Roman"/>
                <w:spacing w:val="-27"/>
              </w:rPr>
              <w:t xml:space="preserve"> </w:t>
            </w:r>
            <w:r>
              <w:rPr>
                <w:spacing w:val="-4"/>
              </w:rPr>
              <w:t>。从粒径分析，施工扬尘易于沉降，在当地平均风速较小</w:t>
            </w:r>
            <w:r>
              <w:rPr>
                <w:spacing w:val="-1"/>
              </w:rPr>
              <w:t>的情况下，扬尘飞扬距离较小。</w:t>
            </w:r>
          </w:p>
          <w:p w14:paraId="57CE803F">
            <w:pPr>
              <w:pStyle w:val="6"/>
              <w:spacing w:before="1" w:line="359" w:lineRule="auto"/>
              <w:ind w:left="107" w:right="41" w:firstLine="480"/>
              <w:jc w:val="both"/>
            </w:pPr>
            <w:r>
              <w:rPr>
                <w:spacing w:val="1"/>
              </w:rPr>
              <w:t>针对施工扬尘污染问题，勘探期间采取洒水抑尘，表</w:t>
            </w:r>
            <w:r>
              <w:t>土堆存区、原材料堆</w:t>
            </w:r>
            <w:r>
              <w:rPr>
                <w:spacing w:val="-4"/>
              </w:rPr>
              <w:t>存区等遮盖密目网，以抑制无组织扬尘的产生</w:t>
            </w:r>
            <w:r>
              <w:rPr>
                <w:spacing w:val="-5"/>
              </w:rPr>
              <w:t>。本项目井场距离敏感点均较近，</w:t>
            </w:r>
            <w:r>
              <w:rPr>
                <w:spacing w:val="1"/>
              </w:rPr>
              <w:t>项目主要施工设备尽量远离敏感点布置，降低对敏感点</w:t>
            </w:r>
            <w:r>
              <w:t>影响。通过上述措施后</w:t>
            </w:r>
            <w:r>
              <w:rPr>
                <w:spacing w:val="-1"/>
              </w:rPr>
              <w:t>污染物排放情况满足《大气污染物综合排放标</w:t>
            </w:r>
            <w:r>
              <w:rPr>
                <w:spacing w:val="-2"/>
              </w:rPr>
              <w:t>准》（</w:t>
            </w:r>
            <w:r>
              <w:rPr>
                <w:rFonts w:ascii="Times New Roman" w:hAnsi="Times New Roman" w:eastAsia="Times New Roman" w:cs="Times New Roman"/>
                <w:spacing w:val="-2"/>
              </w:rPr>
              <w:t>GB16297-</w:t>
            </w:r>
            <w:r>
              <w:rPr>
                <w:rFonts w:ascii="Times New Roman" w:hAnsi="Times New Roman" w:eastAsia="Times New Roman" w:cs="Times New Roman"/>
                <w:spacing w:val="-33"/>
              </w:rPr>
              <w:t xml:space="preserve"> </w:t>
            </w:r>
            <w:r>
              <w:rPr>
                <w:rFonts w:ascii="Times New Roman" w:hAnsi="Times New Roman" w:eastAsia="Times New Roman" w:cs="Times New Roman"/>
                <w:spacing w:val="-2"/>
              </w:rPr>
              <w:t>1996</w:t>
            </w:r>
            <w:r>
              <w:rPr>
                <w:spacing w:val="-2"/>
              </w:rPr>
              <w:t>）中表</w:t>
            </w:r>
            <w:r>
              <w:rPr>
                <w:spacing w:val="-55"/>
              </w:rPr>
              <w:t xml:space="preserve"> </w:t>
            </w:r>
            <w:r>
              <w:rPr>
                <w:rFonts w:ascii="Times New Roman" w:hAnsi="Times New Roman" w:eastAsia="Times New Roman" w:cs="Times New Roman"/>
                <w:spacing w:val="-2"/>
              </w:rPr>
              <w:t xml:space="preserve">2 </w:t>
            </w:r>
            <w:r>
              <w:rPr>
                <w:spacing w:val="-2"/>
              </w:rPr>
              <w:t>新</w:t>
            </w:r>
            <w:r>
              <w:t>污染源大气污染物排放限值中的颗粒物无组</w:t>
            </w:r>
            <w:r>
              <w:rPr>
                <w:spacing w:val="-1"/>
              </w:rPr>
              <w:t>织排放监控浓度限值。</w:t>
            </w:r>
          </w:p>
          <w:p w14:paraId="54A11026">
            <w:pPr>
              <w:pStyle w:val="6"/>
              <w:spacing w:before="1" w:line="218" w:lineRule="auto"/>
              <w:ind w:left="584"/>
            </w:pPr>
            <w:r>
              <w:rPr>
                <w:rFonts w:ascii="Times New Roman" w:hAnsi="Times New Roman" w:eastAsia="Times New Roman" w:cs="Times New Roman"/>
                <w:spacing w:val="-4"/>
              </w:rPr>
              <w:t>2</w:t>
            </w:r>
            <w:r>
              <w:rPr>
                <w:rFonts w:ascii="Times New Roman" w:hAnsi="Times New Roman" w:eastAsia="Times New Roman" w:cs="Times New Roman"/>
                <w:spacing w:val="-27"/>
              </w:rPr>
              <w:t xml:space="preserve"> </w:t>
            </w:r>
            <w:r>
              <w:rPr>
                <w:spacing w:val="-4"/>
              </w:rPr>
              <w:t>、柴油发电机组尾气</w:t>
            </w:r>
          </w:p>
          <w:p w14:paraId="7B3AD990">
            <w:pPr>
              <w:pStyle w:val="6"/>
              <w:spacing w:before="184" w:line="359" w:lineRule="auto"/>
              <w:ind w:left="109" w:right="102" w:firstLine="478"/>
            </w:pPr>
            <w:r>
              <w:rPr>
                <w:spacing w:val="2"/>
              </w:rPr>
              <w:t>施工过程中由柴油发电机组提供动力和电力，使用符合国标的</w:t>
            </w:r>
            <w:r>
              <w:rPr>
                <w:rFonts w:ascii="Times New Roman" w:hAnsi="Times New Roman" w:eastAsia="Times New Roman" w:cs="Times New Roman"/>
                <w:spacing w:val="2"/>
              </w:rPr>
              <w:t>0#</w:t>
            </w:r>
            <w:r>
              <w:rPr>
                <w:spacing w:val="1"/>
              </w:rPr>
              <w:t>或</w:t>
            </w:r>
            <w:r>
              <w:rPr>
                <w:rFonts w:ascii="Times New Roman" w:hAnsi="Times New Roman" w:eastAsia="Times New Roman" w:cs="Times New Roman"/>
                <w:spacing w:val="1"/>
              </w:rPr>
              <w:t>-35#</w:t>
            </w:r>
            <w:r>
              <w:rPr>
                <w:spacing w:val="1"/>
              </w:rPr>
              <w:t>轻</w:t>
            </w:r>
            <w:r>
              <w:rPr>
                <w:spacing w:val="-2"/>
              </w:rPr>
              <w:t>质柴油，使用过程产生燃烧废气，污染因子为</w:t>
            </w:r>
            <w:r>
              <w:rPr>
                <w:spacing w:val="-45"/>
              </w:rPr>
              <w:t xml:space="preserve"> </w:t>
            </w:r>
            <w:r>
              <w:rPr>
                <w:rFonts w:ascii="Times New Roman" w:hAnsi="Times New Roman" w:eastAsia="Times New Roman" w:cs="Times New Roman"/>
                <w:spacing w:val="-2"/>
              </w:rPr>
              <w:t>SO</w:t>
            </w:r>
            <w:r>
              <w:rPr>
                <w:rFonts w:ascii="Times New Roman" w:hAnsi="Times New Roman" w:eastAsia="Times New Roman" w:cs="Times New Roman"/>
                <w:spacing w:val="-2"/>
                <w:position w:val="-1"/>
                <w:sz w:val="15"/>
                <w:szCs w:val="15"/>
              </w:rPr>
              <w:t>2</w:t>
            </w:r>
            <w:r>
              <w:rPr>
                <w:rFonts w:ascii="Times New Roman" w:hAnsi="Times New Roman" w:eastAsia="Times New Roman" w:cs="Times New Roman"/>
                <w:spacing w:val="-10"/>
                <w:position w:val="-1"/>
                <w:sz w:val="15"/>
                <w:szCs w:val="15"/>
              </w:rPr>
              <w:t xml:space="preserve"> </w:t>
            </w:r>
            <w:r>
              <w:rPr>
                <w:spacing w:val="-2"/>
              </w:rPr>
              <w:t>、</w:t>
            </w:r>
            <w:r>
              <w:rPr>
                <w:rFonts w:ascii="Times New Roman" w:hAnsi="Times New Roman" w:eastAsia="Times New Roman" w:cs="Times New Roman"/>
                <w:spacing w:val="-2"/>
              </w:rPr>
              <w:t>NO</w:t>
            </w:r>
            <w:r>
              <w:rPr>
                <w:rFonts w:ascii="Times New Roman" w:hAnsi="Times New Roman" w:eastAsia="Times New Roman" w:cs="Times New Roman"/>
                <w:spacing w:val="-2"/>
                <w:position w:val="-1"/>
                <w:sz w:val="15"/>
                <w:szCs w:val="15"/>
              </w:rPr>
              <w:t>x</w:t>
            </w:r>
            <w:r>
              <w:rPr>
                <w:rFonts w:ascii="Times New Roman" w:hAnsi="Times New Roman" w:eastAsia="Times New Roman" w:cs="Times New Roman"/>
                <w:spacing w:val="-13"/>
                <w:position w:val="-1"/>
                <w:sz w:val="15"/>
                <w:szCs w:val="15"/>
              </w:rPr>
              <w:t xml:space="preserve"> </w:t>
            </w:r>
            <w:r>
              <w:rPr>
                <w:spacing w:val="-2"/>
              </w:rPr>
              <w:t>、烟尘（</w:t>
            </w:r>
            <w:r>
              <w:rPr>
                <w:rFonts w:ascii="Times New Roman" w:hAnsi="Times New Roman" w:eastAsia="Times New Roman" w:cs="Times New Roman"/>
                <w:spacing w:val="-2"/>
              </w:rPr>
              <w:t>PM</w:t>
            </w:r>
            <w:r>
              <w:rPr>
                <w:spacing w:val="-3"/>
              </w:rPr>
              <w:t>）等。</w:t>
            </w:r>
          </w:p>
          <w:p w14:paraId="65F0A0CF">
            <w:pPr>
              <w:pStyle w:val="6"/>
              <w:spacing w:before="4" w:line="358" w:lineRule="auto"/>
              <w:ind w:left="107" w:right="100" w:firstLine="482"/>
            </w:pPr>
            <w:r>
              <w:rPr>
                <w:spacing w:val="1"/>
              </w:rPr>
              <w:t>依据华北油田生产统计资料，正常钻进时，平均每天消耗柴油量为</w:t>
            </w:r>
            <w:r>
              <w:rPr>
                <w:spacing w:val="-53"/>
              </w:rPr>
              <w:t xml:space="preserve"> </w:t>
            </w:r>
            <w:r>
              <w:rPr>
                <w:rFonts w:ascii="Times New Roman" w:hAnsi="Times New Roman" w:eastAsia="Times New Roman" w:cs="Times New Roman"/>
                <w:spacing w:val="1"/>
              </w:rPr>
              <w:t>4t/</w:t>
            </w:r>
            <w:r>
              <w:rPr>
                <w:rFonts w:ascii="Times New Roman" w:hAnsi="Times New Roman" w:eastAsia="Times New Roman" w:cs="Times New Roman"/>
              </w:rPr>
              <w:t>d</w:t>
            </w:r>
            <w:r>
              <w:rPr>
                <w:rFonts w:ascii="Times New Roman" w:hAnsi="Times New Roman" w:eastAsia="Times New Roman" w:cs="Times New Roman"/>
                <w:spacing w:val="-29"/>
              </w:rPr>
              <w:t xml:space="preserve"> </w:t>
            </w:r>
            <w:r>
              <w:t>，</w:t>
            </w:r>
            <w:r>
              <w:rPr>
                <w:spacing w:val="-1"/>
              </w:rPr>
              <w:t>柴油密度约</w:t>
            </w:r>
            <w:r>
              <w:rPr>
                <w:spacing w:val="-51"/>
              </w:rPr>
              <w:t xml:space="preserve"> </w:t>
            </w:r>
            <w:r>
              <w:rPr>
                <w:rFonts w:ascii="Times New Roman" w:hAnsi="Times New Roman" w:eastAsia="Times New Roman" w:cs="Times New Roman"/>
                <w:spacing w:val="-1"/>
              </w:rPr>
              <w:t>0.85t/m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0"/>
                <w:position w:val="8"/>
                <w:sz w:val="15"/>
                <w:szCs w:val="15"/>
              </w:rPr>
              <w:t xml:space="preserve"> </w:t>
            </w:r>
            <w:r>
              <w:rPr>
                <w:spacing w:val="-1"/>
              </w:rPr>
              <w:t>，项目勘探期</w:t>
            </w:r>
            <w:r>
              <w:rPr>
                <w:spacing w:val="-48"/>
              </w:rPr>
              <w:t xml:space="preserve"> </w:t>
            </w:r>
            <w:r>
              <w:rPr>
                <w:rFonts w:ascii="Times New Roman" w:hAnsi="Times New Roman" w:eastAsia="Times New Roman" w:cs="Times New Roman"/>
                <w:spacing w:val="-1"/>
              </w:rPr>
              <w:t>90</w:t>
            </w:r>
            <w:r>
              <w:rPr>
                <w:rFonts w:ascii="Times New Roman" w:hAnsi="Times New Roman" w:eastAsia="Times New Roman" w:cs="Times New Roman"/>
                <w:spacing w:val="17"/>
              </w:rPr>
              <w:t xml:space="preserve"> </w:t>
            </w:r>
            <w:r>
              <w:rPr>
                <w:spacing w:val="-1"/>
              </w:rPr>
              <w:t>天，则消耗柴油量为</w:t>
            </w:r>
            <w:r>
              <w:rPr>
                <w:spacing w:val="-48"/>
              </w:rPr>
              <w:t xml:space="preserve"> </w:t>
            </w:r>
            <w:r>
              <w:rPr>
                <w:rFonts w:ascii="Times New Roman" w:hAnsi="Times New Roman" w:eastAsia="Times New Roman" w:cs="Times New Roman"/>
                <w:spacing w:val="-1"/>
              </w:rPr>
              <w:t>360t</w:t>
            </w:r>
            <w:r>
              <w:rPr>
                <w:spacing w:val="-1"/>
              </w:rPr>
              <w:t>（</w:t>
            </w:r>
            <w:r>
              <w:rPr>
                <w:rFonts w:ascii="Times New Roman" w:hAnsi="Times New Roman" w:eastAsia="Times New Roman" w:cs="Times New Roman"/>
                <w:spacing w:val="-2"/>
              </w:rPr>
              <w:t>423.53m</w:t>
            </w:r>
            <w:r>
              <w:rPr>
                <w:rFonts w:ascii="Times New Roman" w:hAnsi="Times New Roman" w:eastAsia="Times New Roman" w:cs="Times New Roman"/>
                <w:spacing w:val="-2"/>
                <w:position w:val="1"/>
                <w:sz w:val="15"/>
                <w:szCs w:val="15"/>
              </w:rPr>
              <w:t>3</w:t>
            </w:r>
            <w:r>
              <w:rPr>
                <w:spacing w:val="-2"/>
                <w:position w:val="1"/>
              </w:rPr>
              <w:t>）</w:t>
            </w:r>
            <w:r>
              <w:rPr>
                <w:spacing w:val="-2"/>
              </w:rPr>
              <w:t>。</w:t>
            </w:r>
            <w:r>
              <w:rPr>
                <w:spacing w:val="1"/>
              </w:rPr>
              <w:t>根据环评工程师注册培训教材《社会区域》给出的计算参数</w:t>
            </w:r>
            <w:r>
              <w:t>：发电机运行污染</w:t>
            </w:r>
            <w:r>
              <w:rPr>
                <w:spacing w:val="-1"/>
              </w:rPr>
              <w:t>物排放系数为：</w:t>
            </w:r>
            <w:r>
              <w:rPr>
                <w:rFonts w:ascii="Times New Roman" w:hAnsi="Times New Roman" w:eastAsia="Times New Roman" w:cs="Times New Roman"/>
                <w:spacing w:val="-1"/>
              </w:rPr>
              <w:t>SO</w:t>
            </w:r>
            <w:r>
              <w:rPr>
                <w:rFonts w:ascii="Times New Roman" w:hAnsi="Times New Roman" w:eastAsia="Times New Roman" w:cs="Times New Roman"/>
                <w:spacing w:val="-1"/>
                <w:position w:val="-1"/>
                <w:sz w:val="15"/>
                <w:szCs w:val="15"/>
              </w:rPr>
              <w:t xml:space="preserve">2 </w:t>
            </w:r>
            <w:r>
              <w:rPr>
                <w:rFonts w:ascii="Times New Roman" w:hAnsi="Times New Roman" w:eastAsia="Times New Roman" w:cs="Times New Roman"/>
                <w:spacing w:val="-1"/>
              </w:rPr>
              <w:t>4g/L</w:t>
            </w:r>
            <w:r>
              <w:rPr>
                <w:rFonts w:ascii="Times New Roman" w:hAnsi="Times New Roman" w:eastAsia="Times New Roman" w:cs="Times New Roman"/>
                <w:spacing w:val="-7"/>
              </w:rPr>
              <w:t xml:space="preserve"> </w:t>
            </w:r>
            <w:r>
              <w:rPr>
                <w:spacing w:val="-1"/>
              </w:rPr>
              <w:t>，</w:t>
            </w:r>
            <w:r>
              <w:rPr>
                <w:rFonts w:ascii="Times New Roman" w:hAnsi="Times New Roman" w:eastAsia="Times New Roman" w:cs="Times New Roman"/>
                <w:spacing w:val="-1"/>
              </w:rPr>
              <w:t>NO</w:t>
            </w:r>
            <w:r>
              <w:rPr>
                <w:rFonts w:ascii="Times New Roman" w:hAnsi="Times New Roman" w:eastAsia="Times New Roman" w:cs="Times New Roman"/>
                <w:spacing w:val="-1"/>
                <w:position w:val="-1"/>
                <w:sz w:val="15"/>
                <w:szCs w:val="15"/>
              </w:rPr>
              <w:t xml:space="preserve">X  </w:t>
            </w:r>
            <w:r>
              <w:rPr>
                <w:rFonts w:ascii="Times New Roman" w:hAnsi="Times New Roman" w:eastAsia="Times New Roman" w:cs="Times New Roman"/>
                <w:spacing w:val="-1"/>
              </w:rPr>
              <w:t>2.56g/L</w:t>
            </w:r>
            <w:r>
              <w:rPr>
                <w:rFonts w:ascii="Times New Roman" w:hAnsi="Times New Roman" w:eastAsia="Times New Roman" w:cs="Times New Roman"/>
                <w:spacing w:val="-24"/>
              </w:rPr>
              <w:t xml:space="preserve"> </w:t>
            </w:r>
            <w:r>
              <w:rPr>
                <w:spacing w:val="-1"/>
              </w:rPr>
              <w:t xml:space="preserve">，烟尘 </w:t>
            </w:r>
            <w:r>
              <w:rPr>
                <w:rFonts w:ascii="Times New Roman" w:hAnsi="Times New Roman" w:eastAsia="Times New Roman" w:cs="Times New Roman"/>
                <w:spacing w:val="-1"/>
              </w:rPr>
              <w:t>0.714g/L</w:t>
            </w:r>
            <w:r>
              <w:rPr>
                <w:rFonts w:ascii="Times New Roman" w:hAnsi="Times New Roman" w:eastAsia="Times New Roman" w:cs="Times New Roman"/>
                <w:spacing w:val="-20"/>
              </w:rPr>
              <w:t xml:space="preserve"> </w:t>
            </w:r>
            <w:r>
              <w:rPr>
                <w:spacing w:val="-1"/>
              </w:rPr>
              <w:t>。烟气量可按</w:t>
            </w:r>
            <w:r>
              <w:rPr>
                <w:spacing w:val="-50"/>
              </w:rPr>
              <w:t xml:space="preserve"> </w:t>
            </w:r>
            <w:r>
              <w:rPr>
                <w:rFonts w:ascii="Times New Roman" w:hAnsi="Times New Roman" w:eastAsia="Times New Roman" w:cs="Times New Roman"/>
                <w:spacing w:val="-1"/>
              </w:rPr>
              <w:t>20m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rPr>
              <w:t>/kg</w:t>
            </w:r>
            <w:r>
              <w:rPr>
                <w:spacing w:val="-1"/>
              </w:rPr>
              <w:t>计。排气筒高度</w:t>
            </w:r>
            <w:r>
              <w:rPr>
                <w:spacing w:val="-48"/>
              </w:rPr>
              <w:t xml:space="preserve"> </w:t>
            </w:r>
            <w:r>
              <w:rPr>
                <w:rFonts w:ascii="Times New Roman" w:hAnsi="Times New Roman" w:eastAsia="Times New Roman" w:cs="Times New Roman"/>
                <w:spacing w:val="-1"/>
              </w:rPr>
              <w:t>5m</w:t>
            </w:r>
            <w:r>
              <w:rPr>
                <w:rFonts w:ascii="Times New Roman" w:hAnsi="Times New Roman" w:eastAsia="Times New Roman" w:cs="Times New Roman"/>
                <w:spacing w:val="-28"/>
              </w:rPr>
              <w:t xml:space="preserve"> </w:t>
            </w:r>
            <w:r>
              <w:rPr>
                <w:spacing w:val="-1"/>
              </w:rPr>
              <w:t>，根据原环保部部长信箱中《关于</w:t>
            </w:r>
            <w:r>
              <w:rPr>
                <w:spacing w:val="-52"/>
              </w:rPr>
              <w:t xml:space="preserve"> </w:t>
            </w:r>
            <w:r>
              <w:rPr>
                <w:rFonts w:ascii="Times New Roman" w:hAnsi="Times New Roman" w:eastAsia="Times New Roman" w:cs="Times New Roman"/>
                <w:spacing w:val="-2"/>
              </w:rPr>
              <w:t>GB16297-</w:t>
            </w:r>
            <w:r>
              <w:rPr>
                <w:rFonts w:ascii="Times New Roman" w:hAnsi="Times New Roman" w:eastAsia="Times New Roman" w:cs="Times New Roman"/>
                <w:spacing w:val="-32"/>
              </w:rPr>
              <w:t xml:space="preserve"> </w:t>
            </w:r>
            <w:r>
              <w:rPr>
                <w:rFonts w:ascii="Times New Roman" w:hAnsi="Times New Roman" w:eastAsia="Times New Roman" w:cs="Times New Roman"/>
                <w:spacing w:val="-2"/>
              </w:rPr>
              <w:t>1996</w:t>
            </w:r>
            <w:r>
              <w:rPr>
                <w:spacing w:val="-2"/>
              </w:rPr>
              <w:t>〈大气污</w:t>
            </w:r>
            <w:r>
              <w:rPr>
                <w:spacing w:val="1"/>
              </w:rPr>
              <w:t>染物综合排放标准〉的适用范围的回复》，对于固定式</w:t>
            </w:r>
            <w:r>
              <w:t>柴油发电机污染物排放</w:t>
            </w:r>
            <w:r>
              <w:rPr>
                <w:spacing w:val="-1"/>
              </w:rPr>
              <w:t>浓度按照《大气污染物综合排放标准》（</w:t>
            </w:r>
            <w:r>
              <w:rPr>
                <w:rFonts w:ascii="Times New Roman" w:hAnsi="Times New Roman" w:eastAsia="Times New Roman" w:cs="Times New Roman"/>
                <w:spacing w:val="-1"/>
              </w:rPr>
              <w:t>GB162</w:t>
            </w:r>
            <w:r>
              <w:rPr>
                <w:rFonts w:ascii="Times New Roman" w:hAnsi="Times New Roman" w:eastAsia="Times New Roman" w:cs="Times New Roman"/>
                <w:spacing w:val="-2"/>
              </w:rPr>
              <w:t>97-</w:t>
            </w:r>
            <w:r>
              <w:rPr>
                <w:rFonts w:ascii="Times New Roman" w:hAnsi="Times New Roman" w:eastAsia="Times New Roman" w:cs="Times New Roman"/>
                <w:spacing w:val="-33"/>
              </w:rPr>
              <w:t xml:space="preserve"> </w:t>
            </w:r>
            <w:r>
              <w:rPr>
                <w:rFonts w:ascii="Times New Roman" w:hAnsi="Times New Roman" w:eastAsia="Times New Roman" w:cs="Times New Roman"/>
                <w:spacing w:val="-2"/>
              </w:rPr>
              <w:t>1996</w:t>
            </w:r>
            <w:r>
              <w:rPr>
                <w:spacing w:val="-2"/>
              </w:rPr>
              <w:t>）中的最高允许排放浓</w:t>
            </w:r>
            <w:r>
              <w:rPr>
                <w:spacing w:val="1"/>
              </w:rPr>
              <w:t>度指标进行控制，对排气筒高度和排放速率暂不作要求。则</w:t>
            </w:r>
            <w:r>
              <w:t>主要污染物排放情</w:t>
            </w:r>
            <w:r>
              <w:rPr>
                <w:spacing w:val="-2"/>
              </w:rPr>
              <w:t>况见下表。</w:t>
            </w:r>
          </w:p>
          <w:p w14:paraId="33CE51F6">
            <w:pPr>
              <w:spacing w:before="15" w:line="207" w:lineRule="auto"/>
              <w:ind w:left="2517"/>
              <w:rPr>
                <w:rFonts w:ascii="黑体" w:hAnsi="黑体" w:eastAsia="黑体" w:cs="黑体"/>
                <w:sz w:val="24"/>
                <w:szCs w:val="24"/>
              </w:rPr>
            </w:pPr>
            <w:r>
              <w:rPr>
                <w:rFonts w:ascii="黑体" w:hAnsi="黑体" w:eastAsia="黑体" w:cs="黑体"/>
                <w:spacing w:val="-2"/>
                <w:sz w:val="24"/>
                <w:szCs w:val="24"/>
              </w:rPr>
              <w:t>表</w:t>
            </w:r>
            <w:r>
              <w:rPr>
                <w:rFonts w:ascii="黑体" w:hAnsi="黑体" w:eastAsia="黑体" w:cs="黑体"/>
                <w:spacing w:val="-41"/>
                <w:sz w:val="24"/>
                <w:szCs w:val="24"/>
              </w:rPr>
              <w:t xml:space="preserve"> </w:t>
            </w:r>
            <w:r>
              <w:rPr>
                <w:rFonts w:ascii="Times New Roman" w:hAnsi="Times New Roman" w:eastAsia="Times New Roman" w:cs="Times New Roman"/>
                <w:spacing w:val="-2"/>
                <w:sz w:val="24"/>
                <w:szCs w:val="24"/>
              </w:rPr>
              <w:t xml:space="preserve">4-2  </w:t>
            </w:r>
            <w:r>
              <w:rPr>
                <w:rFonts w:ascii="黑体" w:hAnsi="黑体" w:eastAsia="黑体" w:cs="黑体"/>
                <w:spacing w:val="-2"/>
                <w:sz w:val="24"/>
                <w:szCs w:val="24"/>
              </w:rPr>
              <w:t>燃油废气污染物排放情况</w:t>
            </w:r>
          </w:p>
          <w:tbl>
            <w:tblPr>
              <w:tblStyle w:val="5"/>
              <w:tblW w:w="8195" w:type="dxa"/>
              <w:tblInd w:w="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93"/>
              <w:gridCol w:w="1047"/>
              <w:gridCol w:w="1741"/>
              <w:gridCol w:w="1442"/>
              <w:gridCol w:w="2372"/>
            </w:tblGrid>
            <w:tr w14:paraId="116CA2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trPr>
              <w:tc>
                <w:tcPr>
                  <w:tcW w:w="1593" w:type="dxa"/>
                  <w:tcBorders>
                    <w:top w:val="single" w:color="000000" w:sz="10" w:space="0"/>
                    <w:left w:val="nil"/>
                    <w:bottom w:val="nil"/>
                  </w:tcBorders>
                  <w:vAlign w:val="top"/>
                </w:tcPr>
                <w:p w14:paraId="01E3CF1A">
                  <w:pPr>
                    <w:pStyle w:val="6"/>
                    <w:spacing w:before="94" w:line="225" w:lineRule="auto"/>
                    <w:ind w:left="490"/>
                    <w:rPr>
                      <w:sz w:val="20"/>
                      <w:szCs w:val="20"/>
                    </w:rPr>
                  </w:pPr>
                  <w:r>
                    <w:rPr>
                      <w:spacing w:val="6"/>
                      <w:sz w:val="20"/>
                      <w:szCs w:val="20"/>
                    </w:rPr>
                    <w:t>污染源</w:t>
                  </w:r>
                </w:p>
              </w:tc>
              <w:tc>
                <w:tcPr>
                  <w:tcW w:w="1047" w:type="dxa"/>
                  <w:tcBorders>
                    <w:top w:val="single" w:color="000000" w:sz="10" w:space="0"/>
                    <w:bottom w:val="nil"/>
                  </w:tcBorders>
                  <w:vAlign w:val="top"/>
                </w:tcPr>
                <w:p w14:paraId="1C2A4DFE">
                  <w:pPr>
                    <w:pStyle w:val="6"/>
                    <w:spacing w:before="95" w:line="217" w:lineRule="auto"/>
                    <w:ind w:left="113"/>
                    <w:rPr>
                      <w:rFonts w:ascii="Times New Roman" w:hAnsi="Times New Roman" w:eastAsia="Times New Roman" w:cs="Times New Roman"/>
                      <w:sz w:val="20"/>
                      <w:szCs w:val="20"/>
                    </w:rPr>
                  </w:pPr>
                  <w:r>
                    <w:rPr>
                      <w:spacing w:val="15"/>
                      <w:sz w:val="20"/>
                      <w:szCs w:val="20"/>
                    </w:rPr>
                    <w:t>油耗</w:t>
                  </w:r>
                  <w:r>
                    <w:rPr>
                      <w:rFonts w:ascii="Times New Roman" w:hAnsi="Times New Roman" w:eastAsia="Times New Roman" w:cs="Times New Roman"/>
                      <w:sz w:val="20"/>
                      <w:szCs w:val="20"/>
                    </w:rPr>
                    <w:t>kg</w:t>
                  </w:r>
                  <w:r>
                    <w:rPr>
                      <w:rFonts w:ascii="Times New Roman" w:hAnsi="Times New Roman" w:eastAsia="Times New Roman" w:cs="Times New Roman"/>
                      <w:spacing w:val="15"/>
                      <w:sz w:val="20"/>
                      <w:szCs w:val="20"/>
                    </w:rPr>
                    <w:t>/h</w:t>
                  </w:r>
                </w:p>
              </w:tc>
              <w:tc>
                <w:tcPr>
                  <w:tcW w:w="1741" w:type="dxa"/>
                  <w:tcBorders>
                    <w:top w:val="single" w:color="000000" w:sz="10" w:space="0"/>
                    <w:bottom w:val="nil"/>
                  </w:tcBorders>
                  <w:vAlign w:val="top"/>
                </w:tcPr>
                <w:p w14:paraId="015C51E7">
                  <w:pPr>
                    <w:pStyle w:val="6"/>
                    <w:spacing w:before="94" w:line="226" w:lineRule="auto"/>
                    <w:ind w:left="336"/>
                    <w:rPr>
                      <w:rFonts w:ascii="Times New Roman" w:hAnsi="Times New Roman" w:eastAsia="Times New Roman" w:cs="Times New Roman"/>
                      <w:sz w:val="20"/>
                      <w:szCs w:val="20"/>
                    </w:rPr>
                  </w:pPr>
                  <w:r>
                    <w:rPr>
                      <w:spacing w:val="4"/>
                      <w:sz w:val="20"/>
                      <w:szCs w:val="20"/>
                    </w:rPr>
                    <w:t>烟气量</w:t>
                  </w:r>
                  <w:r>
                    <w:rPr>
                      <w:spacing w:val="-41"/>
                      <w:sz w:val="20"/>
                      <w:szCs w:val="20"/>
                    </w:rPr>
                    <w:t xml:space="preserve"> </w:t>
                  </w: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3</w:t>
                  </w:r>
                  <w:r>
                    <w:rPr>
                      <w:rFonts w:ascii="Times New Roman" w:hAnsi="Times New Roman" w:eastAsia="Times New Roman" w:cs="Times New Roman"/>
                      <w:spacing w:val="4"/>
                      <w:sz w:val="20"/>
                      <w:szCs w:val="20"/>
                    </w:rPr>
                    <w:t>/h</w:t>
                  </w:r>
                </w:p>
              </w:tc>
              <w:tc>
                <w:tcPr>
                  <w:tcW w:w="1442" w:type="dxa"/>
                  <w:tcBorders>
                    <w:top w:val="single" w:color="000000" w:sz="10" w:space="0"/>
                    <w:bottom w:val="nil"/>
                  </w:tcBorders>
                  <w:vAlign w:val="top"/>
                </w:tcPr>
                <w:p w14:paraId="3EE2ABAE">
                  <w:pPr>
                    <w:pStyle w:val="6"/>
                    <w:spacing w:before="94" w:line="225" w:lineRule="auto"/>
                    <w:ind w:left="201"/>
                    <w:rPr>
                      <w:sz w:val="20"/>
                      <w:szCs w:val="20"/>
                    </w:rPr>
                  </w:pPr>
                  <w:r>
                    <w:rPr>
                      <w:spacing w:val="7"/>
                      <w:sz w:val="20"/>
                      <w:szCs w:val="20"/>
                    </w:rPr>
                    <w:t>污染物名称</w:t>
                  </w:r>
                </w:p>
              </w:tc>
              <w:tc>
                <w:tcPr>
                  <w:tcW w:w="2372" w:type="dxa"/>
                  <w:tcBorders>
                    <w:top w:val="single" w:color="000000" w:sz="10" w:space="0"/>
                    <w:bottom w:val="nil"/>
                    <w:right w:val="nil"/>
                  </w:tcBorders>
                  <w:vAlign w:val="top"/>
                </w:tcPr>
                <w:p w14:paraId="375302AB">
                  <w:pPr>
                    <w:pStyle w:val="6"/>
                    <w:spacing w:before="95" w:line="217" w:lineRule="auto"/>
                    <w:ind w:left="461"/>
                    <w:rPr>
                      <w:rFonts w:ascii="Times New Roman" w:hAnsi="Times New Roman" w:eastAsia="Times New Roman" w:cs="Times New Roman"/>
                      <w:sz w:val="13"/>
                      <w:szCs w:val="13"/>
                    </w:rPr>
                  </w:pPr>
                  <w:r>
                    <w:rPr>
                      <w:spacing w:val="15"/>
                      <w:sz w:val="20"/>
                      <w:szCs w:val="20"/>
                    </w:rPr>
                    <w:t>排放浓度</w:t>
                  </w:r>
                  <w:r>
                    <w:rPr>
                      <w:rFonts w:ascii="Times New Roman" w:hAnsi="Times New Roman" w:eastAsia="Times New Roman" w:cs="Times New Roman"/>
                      <w:sz w:val="20"/>
                      <w:szCs w:val="20"/>
                    </w:rPr>
                    <w:t>mg</w:t>
                  </w:r>
                  <w:r>
                    <w:rPr>
                      <w:rFonts w:ascii="Times New Roman" w:hAnsi="Times New Roman" w:eastAsia="Times New Roman" w:cs="Times New Roman"/>
                      <w:spacing w:val="15"/>
                      <w:sz w:val="20"/>
                      <w:szCs w:val="20"/>
                    </w:rPr>
                    <w:t>/m</w:t>
                  </w:r>
                  <w:r>
                    <w:rPr>
                      <w:rFonts w:ascii="Times New Roman" w:hAnsi="Times New Roman" w:eastAsia="Times New Roman" w:cs="Times New Roman"/>
                      <w:spacing w:val="15"/>
                      <w:position w:val="6"/>
                      <w:sz w:val="13"/>
                      <w:szCs w:val="13"/>
                    </w:rPr>
                    <w:t>3</w:t>
                  </w:r>
                </w:p>
              </w:tc>
            </w:tr>
          </w:tbl>
          <w:p w14:paraId="5EF9E79D">
            <w:pPr>
              <w:spacing w:line="14" w:lineRule="auto"/>
              <w:rPr>
                <w:rFonts w:ascii="Arial"/>
                <w:sz w:val="2"/>
              </w:rPr>
            </w:pPr>
          </w:p>
        </w:tc>
      </w:tr>
    </w:tbl>
    <w:p w14:paraId="6CB28F40">
      <w:pPr>
        <w:rPr>
          <w:rFonts w:ascii="Arial"/>
          <w:sz w:val="21"/>
        </w:rPr>
      </w:pPr>
    </w:p>
    <w:p w14:paraId="029C2B03">
      <w:pPr>
        <w:rPr>
          <w:rFonts w:ascii="Arial" w:hAnsi="Arial" w:eastAsia="Arial" w:cs="Arial"/>
          <w:sz w:val="21"/>
          <w:szCs w:val="21"/>
        </w:rPr>
        <w:sectPr>
          <w:footerReference r:id="rId63" w:type="default"/>
          <w:pgSz w:w="11906" w:h="16839"/>
          <w:pgMar w:top="400" w:right="1410" w:bottom="1237" w:left="1579" w:header="0" w:footer="1078" w:gutter="0"/>
          <w:cols w:space="720" w:num="1"/>
        </w:sectPr>
      </w:pPr>
    </w:p>
    <w:p w14:paraId="14EDCDFD">
      <w:pPr>
        <w:spacing w:before="56"/>
      </w:pPr>
    </w:p>
    <w:p w14:paraId="06B8E085">
      <w:pPr>
        <w:spacing w:before="56"/>
      </w:pPr>
    </w:p>
    <w:p w14:paraId="57EE1067">
      <w:pPr>
        <w:spacing w:before="55"/>
      </w:pPr>
    </w:p>
    <w:p w14:paraId="3BB6CCF7">
      <w:pPr>
        <w:spacing w:before="55"/>
      </w:pPr>
    </w:p>
    <w:tbl>
      <w:tblPr>
        <w:tblStyle w:val="5"/>
        <w:tblW w:w="890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95"/>
        <w:gridCol w:w="8406"/>
      </w:tblGrid>
      <w:tr w14:paraId="472AD4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427" w:hRule="atLeast"/>
        </w:trPr>
        <w:tc>
          <w:tcPr>
            <w:tcW w:w="495" w:type="dxa"/>
            <w:tcBorders>
              <w:right w:val="single" w:color="000000" w:sz="2" w:space="0"/>
            </w:tcBorders>
            <w:vAlign w:val="top"/>
          </w:tcPr>
          <w:p w14:paraId="3A0E27E4">
            <w:pPr>
              <w:rPr>
                <w:rFonts w:ascii="Arial"/>
                <w:sz w:val="21"/>
              </w:rPr>
            </w:pPr>
          </w:p>
        </w:tc>
        <w:tc>
          <w:tcPr>
            <w:tcW w:w="8406" w:type="dxa"/>
            <w:tcBorders>
              <w:left w:val="single" w:color="000000" w:sz="2" w:space="0"/>
            </w:tcBorders>
            <w:vAlign w:val="top"/>
          </w:tcPr>
          <w:p w14:paraId="17418B1B">
            <w:pPr>
              <w:spacing w:line="33" w:lineRule="exact"/>
            </w:pPr>
          </w:p>
          <w:tbl>
            <w:tblPr>
              <w:tblStyle w:val="5"/>
              <w:tblW w:w="8195" w:type="dxa"/>
              <w:tblInd w:w="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93"/>
              <w:gridCol w:w="1047"/>
              <w:gridCol w:w="1741"/>
              <w:gridCol w:w="1442"/>
              <w:gridCol w:w="2372"/>
            </w:tblGrid>
            <w:tr w14:paraId="3822AA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593" w:type="dxa"/>
                  <w:vMerge w:val="restart"/>
                  <w:tcBorders>
                    <w:top w:val="nil"/>
                    <w:left w:val="nil"/>
                    <w:bottom w:val="nil"/>
                  </w:tcBorders>
                  <w:vAlign w:val="top"/>
                </w:tcPr>
                <w:p w14:paraId="6073F215">
                  <w:pPr>
                    <w:spacing w:line="437" w:lineRule="auto"/>
                    <w:rPr>
                      <w:rFonts w:ascii="Arial"/>
                      <w:sz w:val="21"/>
                    </w:rPr>
                  </w:pPr>
                </w:p>
                <w:p w14:paraId="6F7B3EC7">
                  <w:pPr>
                    <w:pStyle w:val="6"/>
                    <w:spacing w:before="65" w:line="227" w:lineRule="auto"/>
                    <w:ind w:left="174"/>
                    <w:rPr>
                      <w:sz w:val="20"/>
                      <w:szCs w:val="20"/>
                    </w:rPr>
                  </w:pPr>
                  <w:r>
                    <w:rPr>
                      <w:spacing w:val="8"/>
                      <w:sz w:val="20"/>
                      <w:szCs w:val="20"/>
                    </w:rPr>
                    <w:t>柴油发电机组</w:t>
                  </w:r>
                </w:p>
              </w:tc>
              <w:tc>
                <w:tcPr>
                  <w:tcW w:w="1047" w:type="dxa"/>
                  <w:vMerge w:val="restart"/>
                  <w:tcBorders>
                    <w:top w:val="nil"/>
                    <w:bottom w:val="nil"/>
                  </w:tcBorders>
                  <w:vAlign w:val="top"/>
                </w:tcPr>
                <w:p w14:paraId="4ACF9E81">
                  <w:pPr>
                    <w:rPr>
                      <w:rFonts w:ascii="Arial"/>
                      <w:sz w:val="21"/>
                    </w:rPr>
                  </w:pPr>
                </w:p>
                <w:p w14:paraId="1DDD1E39">
                  <w:pPr>
                    <w:rPr>
                      <w:rFonts w:ascii="Arial"/>
                      <w:sz w:val="21"/>
                    </w:rPr>
                  </w:pPr>
                </w:p>
                <w:p w14:paraId="2FFCD5D7">
                  <w:pPr>
                    <w:spacing w:before="58" w:line="195" w:lineRule="auto"/>
                    <w:ind w:left="253"/>
                    <w:rPr>
                      <w:rFonts w:ascii="Times New Roman" w:hAnsi="Times New Roman" w:eastAsia="Times New Roman" w:cs="Times New Roman"/>
                      <w:sz w:val="20"/>
                      <w:szCs w:val="20"/>
                    </w:rPr>
                  </w:pPr>
                  <w:r>
                    <w:rPr>
                      <w:rFonts w:ascii="Times New Roman" w:hAnsi="Times New Roman" w:eastAsia="Times New Roman" w:cs="Times New Roman"/>
                      <w:sz w:val="20"/>
                      <w:szCs w:val="20"/>
                    </w:rPr>
                    <w:t>166.67</w:t>
                  </w:r>
                </w:p>
              </w:tc>
              <w:tc>
                <w:tcPr>
                  <w:tcW w:w="1741" w:type="dxa"/>
                  <w:vMerge w:val="restart"/>
                  <w:tcBorders>
                    <w:top w:val="nil"/>
                    <w:bottom w:val="nil"/>
                  </w:tcBorders>
                  <w:vAlign w:val="top"/>
                </w:tcPr>
                <w:p w14:paraId="3A7D1E38">
                  <w:pPr>
                    <w:rPr>
                      <w:rFonts w:ascii="Arial"/>
                      <w:sz w:val="21"/>
                    </w:rPr>
                  </w:pPr>
                </w:p>
                <w:p w14:paraId="5BD36EAC">
                  <w:pPr>
                    <w:rPr>
                      <w:rFonts w:ascii="Arial"/>
                      <w:sz w:val="21"/>
                    </w:rPr>
                  </w:pPr>
                </w:p>
                <w:p w14:paraId="1CEA06E8">
                  <w:pPr>
                    <w:spacing w:before="58" w:line="195" w:lineRule="auto"/>
                    <w:ind w:left="5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3333.33</w:t>
                  </w:r>
                </w:p>
              </w:tc>
              <w:tc>
                <w:tcPr>
                  <w:tcW w:w="1442" w:type="dxa"/>
                  <w:tcBorders>
                    <w:top w:val="nil"/>
                  </w:tcBorders>
                  <w:vAlign w:val="top"/>
                </w:tcPr>
                <w:p w14:paraId="1307F075">
                  <w:pPr>
                    <w:spacing w:before="131" w:line="202" w:lineRule="auto"/>
                    <w:ind w:left="560"/>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pacing w:val="3"/>
                      <w:position w:val="-1"/>
                      <w:sz w:val="13"/>
                      <w:szCs w:val="13"/>
                    </w:rPr>
                    <w:t>2</w:t>
                  </w:r>
                </w:p>
              </w:tc>
              <w:tc>
                <w:tcPr>
                  <w:tcW w:w="2372" w:type="dxa"/>
                  <w:tcBorders>
                    <w:top w:val="nil"/>
                    <w:right w:val="nil"/>
                  </w:tcBorders>
                  <w:vAlign w:val="top"/>
                </w:tcPr>
                <w:p w14:paraId="2A257C11">
                  <w:pPr>
                    <w:spacing w:before="130" w:line="195" w:lineRule="auto"/>
                    <w:ind w:left="102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235</w:t>
                  </w:r>
                </w:p>
              </w:tc>
            </w:tr>
            <w:tr w14:paraId="2D063E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1593" w:type="dxa"/>
                  <w:vMerge w:val="continue"/>
                  <w:tcBorders>
                    <w:top w:val="nil"/>
                    <w:left w:val="nil"/>
                    <w:bottom w:val="nil"/>
                  </w:tcBorders>
                  <w:vAlign w:val="top"/>
                </w:tcPr>
                <w:p w14:paraId="4DFBD405">
                  <w:pPr>
                    <w:rPr>
                      <w:rFonts w:ascii="Arial"/>
                      <w:sz w:val="21"/>
                    </w:rPr>
                  </w:pPr>
                </w:p>
              </w:tc>
              <w:tc>
                <w:tcPr>
                  <w:tcW w:w="1047" w:type="dxa"/>
                  <w:vMerge w:val="continue"/>
                  <w:tcBorders>
                    <w:top w:val="nil"/>
                    <w:bottom w:val="nil"/>
                  </w:tcBorders>
                  <w:vAlign w:val="top"/>
                </w:tcPr>
                <w:p w14:paraId="0C4FD039">
                  <w:pPr>
                    <w:rPr>
                      <w:rFonts w:ascii="Arial"/>
                      <w:sz w:val="21"/>
                    </w:rPr>
                  </w:pPr>
                </w:p>
              </w:tc>
              <w:tc>
                <w:tcPr>
                  <w:tcW w:w="1741" w:type="dxa"/>
                  <w:vMerge w:val="continue"/>
                  <w:tcBorders>
                    <w:top w:val="nil"/>
                    <w:bottom w:val="nil"/>
                  </w:tcBorders>
                  <w:vAlign w:val="top"/>
                </w:tcPr>
                <w:p w14:paraId="5AC20E7C">
                  <w:pPr>
                    <w:rPr>
                      <w:rFonts w:ascii="Arial"/>
                      <w:sz w:val="21"/>
                    </w:rPr>
                  </w:pPr>
                </w:p>
              </w:tc>
              <w:tc>
                <w:tcPr>
                  <w:tcW w:w="1442" w:type="dxa"/>
                  <w:vAlign w:val="top"/>
                </w:tcPr>
                <w:p w14:paraId="3D0C4A4D">
                  <w:pPr>
                    <w:spacing w:before="134" w:line="195" w:lineRule="auto"/>
                    <w:ind w:left="508"/>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NOx</w:t>
                  </w:r>
                </w:p>
              </w:tc>
              <w:tc>
                <w:tcPr>
                  <w:tcW w:w="2372" w:type="dxa"/>
                  <w:tcBorders>
                    <w:right w:val="nil"/>
                  </w:tcBorders>
                  <w:vAlign w:val="top"/>
                </w:tcPr>
                <w:p w14:paraId="4A70AF39">
                  <w:pPr>
                    <w:spacing w:before="134" w:line="195" w:lineRule="auto"/>
                    <w:ind w:left="10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151</w:t>
                  </w:r>
                </w:p>
              </w:tc>
            </w:tr>
            <w:tr w14:paraId="379864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1593" w:type="dxa"/>
                  <w:vMerge w:val="continue"/>
                  <w:tcBorders>
                    <w:top w:val="nil"/>
                    <w:left w:val="nil"/>
                    <w:bottom w:val="single" w:color="000000" w:sz="10" w:space="0"/>
                  </w:tcBorders>
                  <w:vAlign w:val="top"/>
                </w:tcPr>
                <w:p w14:paraId="549F495E">
                  <w:pPr>
                    <w:rPr>
                      <w:rFonts w:ascii="Arial"/>
                      <w:sz w:val="21"/>
                    </w:rPr>
                  </w:pPr>
                </w:p>
              </w:tc>
              <w:tc>
                <w:tcPr>
                  <w:tcW w:w="1047" w:type="dxa"/>
                  <w:vMerge w:val="continue"/>
                  <w:tcBorders>
                    <w:top w:val="nil"/>
                    <w:bottom w:val="single" w:color="000000" w:sz="10" w:space="0"/>
                  </w:tcBorders>
                  <w:vAlign w:val="top"/>
                </w:tcPr>
                <w:p w14:paraId="15125315">
                  <w:pPr>
                    <w:rPr>
                      <w:rFonts w:ascii="Arial"/>
                      <w:sz w:val="21"/>
                    </w:rPr>
                  </w:pPr>
                </w:p>
              </w:tc>
              <w:tc>
                <w:tcPr>
                  <w:tcW w:w="1741" w:type="dxa"/>
                  <w:vMerge w:val="continue"/>
                  <w:tcBorders>
                    <w:top w:val="nil"/>
                    <w:bottom w:val="single" w:color="000000" w:sz="10" w:space="0"/>
                  </w:tcBorders>
                  <w:vAlign w:val="top"/>
                </w:tcPr>
                <w:p w14:paraId="0A4AC3B0">
                  <w:pPr>
                    <w:rPr>
                      <w:rFonts w:ascii="Arial"/>
                      <w:sz w:val="21"/>
                    </w:rPr>
                  </w:pPr>
                </w:p>
              </w:tc>
              <w:tc>
                <w:tcPr>
                  <w:tcW w:w="1442" w:type="dxa"/>
                  <w:tcBorders>
                    <w:bottom w:val="single" w:color="000000" w:sz="10" w:space="0"/>
                  </w:tcBorders>
                  <w:vAlign w:val="top"/>
                </w:tcPr>
                <w:p w14:paraId="0D843AC2">
                  <w:pPr>
                    <w:pStyle w:val="6"/>
                    <w:spacing w:before="108" w:line="229" w:lineRule="auto"/>
                    <w:ind w:left="515"/>
                    <w:rPr>
                      <w:sz w:val="20"/>
                      <w:szCs w:val="20"/>
                    </w:rPr>
                  </w:pPr>
                  <w:r>
                    <w:rPr>
                      <w:spacing w:val="4"/>
                      <w:sz w:val="20"/>
                      <w:szCs w:val="20"/>
                    </w:rPr>
                    <w:t>烟尘</w:t>
                  </w:r>
                </w:p>
              </w:tc>
              <w:tc>
                <w:tcPr>
                  <w:tcW w:w="2372" w:type="dxa"/>
                  <w:tcBorders>
                    <w:bottom w:val="single" w:color="000000" w:sz="10" w:space="0"/>
                    <w:right w:val="nil"/>
                  </w:tcBorders>
                  <w:vAlign w:val="top"/>
                </w:tcPr>
                <w:p w14:paraId="15E6C04F">
                  <w:pPr>
                    <w:spacing w:before="144" w:line="195" w:lineRule="auto"/>
                    <w:ind w:left="10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r>
          </w:tbl>
          <w:p w14:paraId="4D645F89">
            <w:pPr>
              <w:pStyle w:val="6"/>
              <w:spacing w:before="36" w:line="356" w:lineRule="auto"/>
              <w:ind w:left="107" w:firstLine="484"/>
              <w:jc w:val="both"/>
            </w:pPr>
            <w:r>
              <w:rPr>
                <w:spacing w:val="-2"/>
              </w:rPr>
              <w:t>项目勘探期污染物总排放量</w:t>
            </w:r>
            <w:r>
              <w:rPr>
                <w:spacing w:val="-44"/>
              </w:rPr>
              <w:t xml:space="preserve"> </w:t>
            </w:r>
            <w:r>
              <w:rPr>
                <w:rFonts w:ascii="Times New Roman" w:hAnsi="Times New Roman" w:eastAsia="Times New Roman" w:cs="Times New Roman"/>
                <w:spacing w:val="-2"/>
              </w:rPr>
              <w:t>SO</w:t>
            </w:r>
            <w:r>
              <w:rPr>
                <w:rFonts w:ascii="Times New Roman" w:hAnsi="Times New Roman" w:eastAsia="Times New Roman" w:cs="Times New Roman"/>
                <w:spacing w:val="-2"/>
                <w:position w:val="-1"/>
                <w:sz w:val="15"/>
                <w:szCs w:val="15"/>
              </w:rPr>
              <w:t>2</w:t>
            </w:r>
            <w:r>
              <w:rPr>
                <w:rFonts w:ascii="Times New Roman" w:hAnsi="Times New Roman" w:eastAsia="Times New Roman" w:cs="Times New Roman"/>
                <w:spacing w:val="14"/>
                <w:position w:val="-1"/>
                <w:sz w:val="15"/>
                <w:szCs w:val="15"/>
              </w:rPr>
              <w:t xml:space="preserve"> </w:t>
            </w:r>
            <w:r>
              <w:rPr>
                <w:spacing w:val="-2"/>
              </w:rPr>
              <w:t>为</w:t>
            </w:r>
            <w:r>
              <w:rPr>
                <w:spacing w:val="-32"/>
              </w:rPr>
              <w:t xml:space="preserve"> </w:t>
            </w:r>
            <w:r>
              <w:rPr>
                <w:rFonts w:ascii="Times New Roman" w:hAnsi="Times New Roman" w:eastAsia="Times New Roman" w:cs="Times New Roman"/>
                <w:spacing w:val="-2"/>
              </w:rPr>
              <w:t>1.694t/</w:t>
            </w:r>
            <w:r>
              <w:rPr>
                <w:spacing w:val="-2"/>
              </w:rPr>
              <w:t>勘探期、</w:t>
            </w:r>
            <w:r>
              <w:rPr>
                <w:rFonts w:ascii="Times New Roman" w:hAnsi="Times New Roman" w:eastAsia="Times New Roman" w:cs="Times New Roman"/>
                <w:spacing w:val="-2"/>
              </w:rPr>
              <w:t>NOx</w:t>
            </w:r>
            <w:r>
              <w:rPr>
                <w:rFonts w:ascii="Times New Roman" w:hAnsi="Times New Roman" w:eastAsia="Times New Roman" w:cs="Times New Roman"/>
                <w:spacing w:val="15"/>
              </w:rPr>
              <w:t xml:space="preserve"> </w:t>
            </w:r>
            <w:r>
              <w:rPr>
                <w:spacing w:val="-2"/>
              </w:rPr>
              <w:t>为</w:t>
            </w:r>
            <w:r>
              <w:rPr>
                <w:spacing w:val="-32"/>
              </w:rPr>
              <w:t xml:space="preserve"> </w:t>
            </w:r>
            <w:r>
              <w:rPr>
                <w:rFonts w:ascii="Times New Roman" w:hAnsi="Times New Roman" w:eastAsia="Times New Roman" w:cs="Times New Roman"/>
                <w:spacing w:val="-2"/>
              </w:rPr>
              <w:t>1.084</w:t>
            </w:r>
            <w:r>
              <w:rPr>
                <w:rFonts w:ascii="Times New Roman" w:hAnsi="Times New Roman" w:eastAsia="Times New Roman" w:cs="Times New Roman"/>
                <w:spacing w:val="-3"/>
              </w:rPr>
              <w:t>t/</w:t>
            </w:r>
            <w:r>
              <w:rPr>
                <w:spacing w:val="-3"/>
              </w:rPr>
              <w:t>勘探期、</w:t>
            </w:r>
            <w:r>
              <w:rPr>
                <w:spacing w:val="-12"/>
              </w:rPr>
              <w:t>颗粒物（烟尘）为</w:t>
            </w:r>
            <w:r>
              <w:rPr>
                <w:spacing w:val="-52"/>
              </w:rPr>
              <w:t xml:space="preserve"> </w:t>
            </w:r>
            <w:r>
              <w:rPr>
                <w:rFonts w:ascii="Times New Roman" w:hAnsi="Times New Roman" w:eastAsia="Times New Roman" w:cs="Times New Roman"/>
                <w:spacing w:val="-12"/>
              </w:rPr>
              <w:t>0.302t/</w:t>
            </w:r>
            <w:r>
              <w:rPr>
                <w:spacing w:val="-12"/>
              </w:rPr>
              <w:t>勘探期，排放浓度</w:t>
            </w:r>
            <w:r>
              <w:rPr>
                <w:spacing w:val="-44"/>
              </w:rPr>
              <w:t xml:space="preserve"> </w:t>
            </w:r>
            <w:r>
              <w:rPr>
                <w:rFonts w:ascii="Times New Roman" w:hAnsi="Times New Roman" w:eastAsia="Times New Roman" w:cs="Times New Roman"/>
                <w:spacing w:val="-12"/>
              </w:rPr>
              <w:t>SO</w:t>
            </w:r>
            <w:r>
              <w:rPr>
                <w:rFonts w:ascii="Times New Roman" w:hAnsi="Times New Roman" w:eastAsia="Times New Roman" w:cs="Times New Roman"/>
                <w:spacing w:val="-1"/>
                <w:position w:val="-1"/>
                <w:sz w:val="15"/>
                <w:szCs w:val="15"/>
              </w:rPr>
              <w:t>2</w:t>
            </w:r>
            <w:r>
              <w:rPr>
                <w:rFonts w:ascii="Times New Roman" w:hAnsi="Times New Roman" w:eastAsia="Times New Roman" w:cs="Times New Roman"/>
                <w:spacing w:val="14"/>
                <w:position w:val="-1"/>
                <w:sz w:val="15"/>
                <w:szCs w:val="15"/>
              </w:rPr>
              <w:t xml:space="preserve"> </w:t>
            </w:r>
            <w:r>
              <w:rPr>
                <w:spacing w:val="-1"/>
              </w:rPr>
              <w:t>为</w:t>
            </w:r>
            <w:r>
              <w:rPr>
                <w:spacing w:val="-55"/>
              </w:rPr>
              <w:t xml:space="preserve"> </w:t>
            </w:r>
            <w:r>
              <w:rPr>
                <w:rFonts w:ascii="Times New Roman" w:hAnsi="Times New Roman" w:eastAsia="Times New Roman" w:cs="Times New Roman"/>
                <w:spacing w:val="-1"/>
              </w:rPr>
              <w:t>235mg/m</w:t>
            </w:r>
            <w:r>
              <w:rPr>
                <w:rFonts w:ascii="Times New Roman" w:hAnsi="Times New Roman" w:eastAsia="Times New Roman" w:cs="Times New Roman"/>
                <w:spacing w:val="-1"/>
                <w:position w:val="7"/>
                <w:sz w:val="15"/>
                <w:szCs w:val="15"/>
              </w:rPr>
              <w:t>3</w:t>
            </w:r>
            <w:r>
              <w:rPr>
                <w:spacing w:val="-11"/>
              </w:rPr>
              <w:t>、</w:t>
            </w:r>
            <w:r>
              <w:rPr>
                <w:rFonts w:ascii="Times New Roman" w:hAnsi="Times New Roman" w:eastAsia="Times New Roman" w:cs="Times New Roman"/>
                <w:spacing w:val="-11"/>
              </w:rPr>
              <w:t>NOx</w:t>
            </w:r>
            <w:r>
              <w:rPr>
                <w:rFonts w:ascii="Times New Roman" w:hAnsi="Times New Roman" w:eastAsia="Times New Roman" w:cs="Times New Roman"/>
                <w:spacing w:val="12"/>
              </w:rPr>
              <w:t xml:space="preserve"> </w:t>
            </w:r>
            <w:r>
              <w:rPr>
                <w:spacing w:val="-11"/>
              </w:rPr>
              <w:t>为</w:t>
            </w:r>
            <w:r>
              <w:rPr>
                <w:spacing w:val="-32"/>
              </w:rPr>
              <w:t xml:space="preserve"> </w:t>
            </w:r>
            <w:r>
              <w:rPr>
                <w:rFonts w:ascii="Times New Roman" w:hAnsi="Times New Roman" w:eastAsia="Times New Roman" w:cs="Times New Roman"/>
                <w:spacing w:val="-11"/>
              </w:rPr>
              <w:t>151mg/m</w:t>
            </w:r>
            <w:r>
              <w:rPr>
                <w:rFonts w:ascii="Times New Roman" w:hAnsi="Times New Roman" w:eastAsia="Times New Roman" w:cs="Times New Roman"/>
                <w:spacing w:val="-2"/>
                <w:position w:val="7"/>
                <w:sz w:val="15"/>
                <w:szCs w:val="15"/>
              </w:rPr>
              <w:t>3</w:t>
            </w:r>
            <w:r>
              <w:rPr>
                <w:spacing w:val="-2"/>
              </w:rPr>
              <w:t>、颗粒物（烟尘）为</w:t>
            </w:r>
            <w:r>
              <w:rPr>
                <w:spacing w:val="-57"/>
              </w:rPr>
              <w:t xml:space="preserve"> </w:t>
            </w:r>
            <w:r>
              <w:rPr>
                <w:rFonts w:ascii="Times New Roman" w:hAnsi="Times New Roman" w:eastAsia="Times New Roman" w:cs="Times New Roman"/>
                <w:spacing w:val="-2"/>
              </w:rPr>
              <w:t>42mg/m</w:t>
            </w:r>
            <w:r>
              <w:rPr>
                <w:rFonts w:ascii="Times New Roman" w:hAnsi="Times New Roman" w:eastAsia="Times New Roman" w:cs="Times New Roman"/>
                <w:spacing w:val="-2"/>
                <w:position w:val="8"/>
                <w:sz w:val="15"/>
                <w:szCs w:val="15"/>
              </w:rPr>
              <w:t>3</w:t>
            </w:r>
            <w:r>
              <w:rPr>
                <w:spacing w:val="-2"/>
              </w:rPr>
              <w:t>。污染物排放情</w:t>
            </w:r>
            <w:r>
              <w:rPr>
                <w:spacing w:val="-3"/>
              </w:rPr>
              <w:t>况满足《大气污染物综合排放标准》</w:t>
            </w:r>
            <w:r>
              <w:t xml:space="preserve"> </w:t>
            </w:r>
            <w:r>
              <w:rPr>
                <w:spacing w:val="-2"/>
              </w:rPr>
              <w:t>（</w:t>
            </w:r>
            <w:r>
              <w:rPr>
                <w:rFonts w:ascii="Times New Roman" w:hAnsi="Times New Roman" w:eastAsia="Times New Roman" w:cs="Times New Roman"/>
                <w:spacing w:val="-2"/>
              </w:rPr>
              <w:t>GB16297-</w:t>
            </w:r>
            <w:r>
              <w:rPr>
                <w:rFonts w:ascii="Times New Roman" w:hAnsi="Times New Roman" w:eastAsia="Times New Roman" w:cs="Times New Roman"/>
                <w:spacing w:val="-15"/>
              </w:rPr>
              <w:t xml:space="preserve"> </w:t>
            </w:r>
            <w:r>
              <w:rPr>
                <w:rFonts w:ascii="Times New Roman" w:hAnsi="Times New Roman" w:eastAsia="Times New Roman" w:cs="Times New Roman"/>
                <w:spacing w:val="-2"/>
              </w:rPr>
              <w:t>1996</w:t>
            </w:r>
            <w:r>
              <w:rPr>
                <w:spacing w:val="-2"/>
              </w:rPr>
              <w:t>）中表</w:t>
            </w:r>
            <w:r>
              <w:rPr>
                <w:spacing w:val="-55"/>
              </w:rPr>
              <w:t xml:space="preserve"> </w:t>
            </w:r>
            <w:r>
              <w:rPr>
                <w:rFonts w:ascii="Times New Roman" w:hAnsi="Times New Roman" w:eastAsia="Times New Roman" w:cs="Times New Roman"/>
                <w:spacing w:val="-2"/>
              </w:rPr>
              <w:t xml:space="preserve">2 </w:t>
            </w:r>
            <w:r>
              <w:rPr>
                <w:spacing w:val="-2"/>
              </w:rPr>
              <w:t>最高允许排放浓度指标要求。</w:t>
            </w:r>
          </w:p>
          <w:p w14:paraId="71A83274">
            <w:pPr>
              <w:pStyle w:val="6"/>
              <w:spacing w:before="17" w:line="219" w:lineRule="auto"/>
              <w:ind w:left="589"/>
            </w:pPr>
            <w:r>
              <w:rPr>
                <w:rFonts w:ascii="Times New Roman" w:hAnsi="Times New Roman" w:eastAsia="Times New Roman" w:cs="Times New Roman"/>
                <w:spacing w:val="-4"/>
              </w:rPr>
              <w:t>3</w:t>
            </w:r>
            <w:r>
              <w:rPr>
                <w:rFonts w:ascii="Times New Roman" w:hAnsi="Times New Roman" w:eastAsia="Times New Roman" w:cs="Times New Roman"/>
                <w:spacing w:val="-34"/>
              </w:rPr>
              <w:t xml:space="preserve"> </w:t>
            </w:r>
            <w:r>
              <w:rPr>
                <w:spacing w:val="-4"/>
              </w:rPr>
              <w:t>、柴油罐挥发废气</w:t>
            </w:r>
          </w:p>
          <w:p w14:paraId="579FD60B">
            <w:pPr>
              <w:pStyle w:val="6"/>
              <w:spacing w:before="183" w:line="359" w:lineRule="auto"/>
              <w:ind w:left="107" w:right="102" w:firstLine="484"/>
            </w:pPr>
            <w:r>
              <w:rPr>
                <w:spacing w:val="-1"/>
              </w:rPr>
              <w:t>项目设</w:t>
            </w:r>
            <w:r>
              <w:rPr>
                <w:spacing w:val="-39"/>
              </w:rPr>
              <w:t xml:space="preserve"> </w:t>
            </w:r>
            <w:r>
              <w:rPr>
                <w:rFonts w:ascii="Times New Roman" w:hAnsi="Times New Roman" w:eastAsia="Times New Roman" w:cs="Times New Roman"/>
                <w:spacing w:val="-1"/>
              </w:rPr>
              <w:t>40m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25"/>
                <w:position w:val="8"/>
                <w:sz w:val="15"/>
                <w:szCs w:val="15"/>
              </w:rPr>
              <w:t xml:space="preserve"> </w:t>
            </w:r>
            <w:r>
              <w:rPr>
                <w:spacing w:val="-1"/>
              </w:rPr>
              <w:t>卧式固定柴油罐，柴油最大存储量为</w:t>
            </w:r>
            <w:r>
              <w:rPr>
                <w:spacing w:val="-46"/>
              </w:rPr>
              <w:t xml:space="preserve"> </w:t>
            </w:r>
            <w:r>
              <w:rPr>
                <w:rFonts w:ascii="Times New Roman" w:hAnsi="Times New Roman" w:eastAsia="Times New Roman" w:cs="Times New Roman"/>
                <w:spacing w:val="-1"/>
              </w:rPr>
              <w:t>30.6t</w:t>
            </w:r>
            <w:r>
              <w:rPr>
                <w:rFonts w:ascii="Times New Roman" w:hAnsi="Times New Roman" w:eastAsia="Times New Roman" w:cs="Times New Roman"/>
                <w:spacing w:val="-28"/>
              </w:rPr>
              <w:t xml:space="preserve"> </w:t>
            </w:r>
            <w:r>
              <w:rPr>
                <w:spacing w:val="-1"/>
              </w:rPr>
              <w:t>，用量</w:t>
            </w:r>
            <w:r>
              <w:rPr>
                <w:spacing w:val="-48"/>
              </w:rPr>
              <w:t xml:space="preserve"> </w:t>
            </w:r>
            <w:r>
              <w:rPr>
                <w:rFonts w:ascii="Times New Roman" w:hAnsi="Times New Roman" w:eastAsia="Times New Roman" w:cs="Times New Roman"/>
                <w:spacing w:val="-1"/>
              </w:rPr>
              <w:t>360t</w:t>
            </w:r>
            <w:r>
              <w:rPr>
                <w:spacing w:val="-1"/>
              </w:rPr>
              <w:t>（周转</w:t>
            </w:r>
            <w:r>
              <w:t>次数约</w:t>
            </w:r>
            <w:r>
              <w:rPr>
                <w:spacing w:val="-28"/>
              </w:rPr>
              <w:t xml:space="preserve"> </w:t>
            </w:r>
            <w:r>
              <w:rPr>
                <w:rFonts w:ascii="Times New Roman" w:hAnsi="Times New Roman" w:eastAsia="Times New Roman" w:cs="Times New Roman"/>
              </w:rPr>
              <w:t>12</w:t>
            </w:r>
            <w:r>
              <w:rPr>
                <w:rFonts w:ascii="Times New Roman" w:hAnsi="Times New Roman" w:eastAsia="Times New Roman" w:cs="Times New Roman"/>
                <w:spacing w:val="20"/>
                <w:w w:val="101"/>
              </w:rPr>
              <w:t xml:space="preserve"> </w:t>
            </w:r>
            <w:r>
              <w:t>次）。根据《散装液态石油产品损耗标准》（</w:t>
            </w:r>
            <w:r>
              <w:rPr>
                <w:rFonts w:ascii="Times New Roman" w:hAnsi="Times New Roman" w:eastAsia="Times New Roman" w:cs="Times New Roman"/>
              </w:rPr>
              <w:t>GB11085-89</w:t>
            </w:r>
            <w:r>
              <w:rPr>
                <w:spacing w:val="19"/>
              </w:rPr>
              <w:t>），</w:t>
            </w:r>
            <w:r>
              <w:t>卸油</w:t>
            </w:r>
            <w:r>
              <w:rPr>
                <w:spacing w:val="-2"/>
              </w:rPr>
              <w:t>过程中柴油会产生</w:t>
            </w:r>
            <w:r>
              <w:rPr>
                <w:spacing w:val="-50"/>
              </w:rPr>
              <w:t xml:space="preserve"> </w:t>
            </w:r>
            <w:r>
              <w:rPr>
                <w:rFonts w:ascii="Times New Roman" w:hAnsi="Times New Roman" w:eastAsia="Times New Roman" w:cs="Times New Roman"/>
                <w:spacing w:val="-2"/>
              </w:rPr>
              <w:t>0.05%</w:t>
            </w:r>
            <w:r>
              <w:rPr>
                <w:spacing w:val="-2"/>
              </w:rPr>
              <w:t>的油气（非甲烷总烃</w:t>
            </w:r>
            <w:r>
              <w:rPr>
                <w:spacing w:val="-37"/>
              </w:rPr>
              <w:t>），</w:t>
            </w:r>
            <w:r>
              <w:rPr>
                <w:spacing w:val="-2"/>
              </w:rPr>
              <w:t>储存过程中柴油会产</w:t>
            </w:r>
            <w:r>
              <w:rPr>
                <w:spacing w:val="-3"/>
              </w:rPr>
              <w:t>生</w:t>
            </w:r>
            <w:r>
              <w:rPr>
                <w:spacing w:val="-51"/>
              </w:rPr>
              <w:t xml:space="preserve"> </w:t>
            </w:r>
            <w:r>
              <w:rPr>
                <w:rFonts w:ascii="Times New Roman" w:hAnsi="Times New Roman" w:eastAsia="Times New Roman" w:cs="Times New Roman"/>
                <w:spacing w:val="-3"/>
              </w:rPr>
              <w:t>0.01%</w:t>
            </w:r>
            <w:r>
              <w:rPr>
                <w:spacing w:val="-3"/>
              </w:rPr>
              <w:t>的油气（非甲烷总烃</w:t>
            </w:r>
            <w:r>
              <w:rPr>
                <w:spacing w:val="-17"/>
              </w:rPr>
              <w:t>），</w:t>
            </w:r>
            <w:r>
              <w:rPr>
                <w:spacing w:val="-3"/>
              </w:rPr>
              <w:t>则卸油过程中非甲烷总烃产生量为</w:t>
            </w:r>
            <w:r>
              <w:rPr>
                <w:spacing w:val="-51"/>
              </w:rPr>
              <w:t xml:space="preserve"> </w:t>
            </w:r>
            <w:r>
              <w:rPr>
                <w:rFonts w:ascii="Times New Roman" w:hAnsi="Times New Roman" w:eastAsia="Times New Roman" w:cs="Times New Roman"/>
                <w:spacing w:val="-3"/>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18t/</w:t>
            </w:r>
            <w:r>
              <w:rPr>
                <w:spacing w:val="-3"/>
              </w:rPr>
              <w:t>勘</w:t>
            </w:r>
            <w:r>
              <w:rPr>
                <w:spacing w:val="-4"/>
              </w:rPr>
              <w:t>探周期，储</w:t>
            </w:r>
            <w:r>
              <w:t>存过程中非甲烷总烃产生量为</w:t>
            </w:r>
            <w:r>
              <w:rPr>
                <w:spacing w:val="-52"/>
              </w:rPr>
              <w:t xml:space="preserve"> </w:t>
            </w:r>
            <w:r>
              <w:rPr>
                <w:rFonts w:ascii="Times New Roman" w:hAnsi="Times New Roman" w:eastAsia="Times New Roman" w:cs="Times New Roman"/>
              </w:rPr>
              <w:t>0.036t/</w:t>
            </w:r>
            <w:r>
              <w:t>勘探</w:t>
            </w:r>
            <w:r>
              <w:rPr>
                <w:spacing w:val="-1"/>
              </w:rPr>
              <w:t>期，则非甲烷总烃产生量为</w:t>
            </w:r>
            <w:r>
              <w:rPr>
                <w:spacing w:val="-51"/>
              </w:rPr>
              <w:t xml:space="preserve"> </w:t>
            </w:r>
            <w:r>
              <w:rPr>
                <w:rFonts w:ascii="Times New Roman" w:hAnsi="Times New Roman" w:eastAsia="Times New Roman" w:cs="Times New Roman"/>
                <w:spacing w:val="-1"/>
              </w:rPr>
              <w:t>0.216t/</w:t>
            </w:r>
            <w:r>
              <w:rPr>
                <w:spacing w:val="-1"/>
              </w:rPr>
              <w:t>勘</w:t>
            </w:r>
            <w:r>
              <w:rPr>
                <w:spacing w:val="-3"/>
              </w:rPr>
              <w:t>探期，产生速率约</w:t>
            </w:r>
            <w:r>
              <w:rPr>
                <w:spacing w:val="-52"/>
              </w:rPr>
              <w:t xml:space="preserve"> </w:t>
            </w:r>
            <w:r>
              <w:rPr>
                <w:rFonts w:ascii="Times New Roman" w:hAnsi="Times New Roman" w:eastAsia="Times New Roman" w:cs="Times New Roman"/>
                <w:spacing w:val="-3"/>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1kg/h</w:t>
            </w:r>
            <w:r>
              <w:rPr>
                <w:spacing w:val="-3"/>
              </w:rPr>
              <w:t>。</w:t>
            </w:r>
          </w:p>
          <w:p w14:paraId="4C7903CE">
            <w:pPr>
              <w:pStyle w:val="6"/>
              <w:spacing w:before="5" w:line="358" w:lineRule="auto"/>
              <w:ind w:left="109" w:right="102" w:firstLine="480"/>
              <w:jc w:val="both"/>
            </w:pPr>
            <w:r>
              <w:rPr>
                <w:spacing w:val="3"/>
              </w:rPr>
              <w:t>依据《环境影响评价技术导则大气环境》（</w:t>
            </w:r>
            <w:r>
              <w:rPr>
                <w:rFonts w:ascii="Times New Roman" w:hAnsi="Times New Roman" w:eastAsia="Times New Roman" w:cs="Times New Roman"/>
              </w:rPr>
              <w:t>HJ</w:t>
            </w:r>
            <w:r>
              <w:rPr>
                <w:rFonts w:ascii="Times New Roman" w:hAnsi="Times New Roman" w:eastAsia="Times New Roman" w:cs="Times New Roman"/>
                <w:spacing w:val="3"/>
              </w:rPr>
              <w:t>2.2-2</w:t>
            </w:r>
            <w:r>
              <w:rPr>
                <w:rFonts w:ascii="Times New Roman" w:hAnsi="Times New Roman" w:eastAsia="Times New Roman" w:cs="Times New Roman"/>
                <w:spacing w:val="2"/>
              </w:rPr>
              <w:t>018</w:t>
            </w:r>
            <w:r>
              <w:rPr>
                <w:spacing w:val="2"/>
              </w:rPr>
              <w:t>）中相关要求，结</w:t>
            </w:r>
            <w:r>
              <w:rPr>
                <w:spacing w:val="-1"/>
              </w:rPr>
              <w:t>合项目工程分析结果，选择正常排放的主要污染物及排放参数，采用附录</w:t>
            </w:r>
            <w:r>
              <w:rPr>
                <w:spacing w:val="-57"/>
              </w:rPr>
              <w:t xml:space="preserve"> </w:t>
            </w:r>
            <w:r>
              <w:rPr>
                <w:rFonts w:ascii="Times New Roman" w:hAnsi="Times New Roman" w:eastAsia="Times New Roman" w:cs="Times New Roman"/>
                <w:spacing w:val="-1"/>
              </w:rPr>
              <w:t xml:space="preserve">A </w:t>
            </w:r>
            <w:r>
              <w:rPr>
                <w:spacing w:val="-1"/>
              </w:rPr>
              <w:t>推</w:t>
            </w:r>
            <w:r>
              <w:rPr>
                <w:spacing w:val="-2"/>
              </w:rPr>
              <w:t>荐模型中的</w:t>
            </w:r>
            <w:r>
              <w:rPr>
                <w:spacing w:val="-42"/>
              </w:rPr>
              <w:t xml:space="preserve"> </w:t>
            </w:r>
            <w:r>
              <w:rPr>
                <w:rFonts w:ascii="Times New Roman" w:hAnsi="Times New Roman" w:eastAsia="Times New Roman" w:cs="Times New Roman"/>
                <w:spacing w:val="-2"/>
              </w:rPr>
              <w:t xml:space="preserve">AERSCREEN </w:t>
            </w:r>
            <w:r>
              <w:rPr>
                <w:spacing w:val="-2"/>
              </w:rPr>
              <w:t>估算模式计算项目污染源的最大环境影响，估算结果</w:t>
            </w:r>
            <w:r>
              <w:rPr>
                <w:spacing w:val="1"/>
              </w:rPr>
              <w:t>可知，柴油罐区无组织排放非甲烷总烃最大落地浓度为</w:t>
            </w:r>
            <w:r>
              <w:rPr>
                <w:spacing w:val="-28"/>
              </w:rPr>
              <w:t xml:space="preserve"> </w:t>
            </w:r>
            <w:r>
              <w:rPr>
                <w:rFonts w:ascii="Times New Roman" w:hAnsi="Times New Roman" w:eastAsia="Times New Roman" w:cs="Times New Roman"/>
                <w:spacing w:val="1"/>
              </w:rPr>
              <w:t>1.45</w:t>
            </w:r>
            <w:r>
              <w:rPr>
                <w:rFonts w:ascii="Times New Roman" w:hAnsi="Times New Roman" w:eastAsia="Times New Roman" w:cs="Times New Roman"/>
              </w:rPr>
              <w:t>mg</w:t>
            </w:r>
            <w:r>
              <w:rPr>
                <w:rFonts w:ascii="Times New Roman" w:hAnsi="Times New Roman" w:eastAsia="Times New Roman" w:cs="Times New Roman"/>
                <w:spacing w:val="1"/>
              </w:rPr>
              <w:t>/m</w:t>
            </w:r>
            <w:r>
              <w:rPr>
                <w:rFonts w:ascii="Times New Roman" w:hAnsi="Times New Roman" w:eastAsia="Times New Roman" w:cs="Times New Roman"/>
                <w:spacing w:val="1"/>
                <w:position w:val="7"/>
                <w:sz w:val="15"/>
                <w:szCs w:val="15"/>
              </w:rPr>
              <w:t xml:space="preserve">3 </w:t>
            </w:r>
            <w:r>
              <w:rPr>
                <w:spacing w:val="1"/>
              </w:rPr>
              <w:t>；因此项目</w:t>
            </w:r>
            <w:r>
              <w:rPr>
                <w:spacing w:val="-1"/>
              </w:rPr>
              <w:t>无组织排放废气对周围大气环境影响很小。</w:t>
            </w:r>
          </w:p>
          <w:p w14:paraId="1F884B60">
            <w:pPr>
              <w:pStyle w:val="6"/>
              <w:spacing w:before="3" w:line="358" w:lineRule="auto"/>
              <w:ind w:left="108" w:right="102" w:firstLine="509"/>
            </w:pPr>
            <w:r>
              <w:t>由于项目勘探期短，且周边扩散条件较好，因此，柴油罐挥</w:t>
            </w:r>
            <w:r>
              <w:rPr>
                <w:spacing w:val="-1"/>
              </w:rPr>
              <w:t>发废气对周围环境的影响时间很短，影响范围很小。</w:t>
            </w:r>
          </w:p>
          <w:p w14:paraId="3003C2E4">
            <w:pPr>
              <w:pStyle w:val="6"/>
              <w:spacing w:line="219" w:lineRule="auto"/>
              <w:ind w:left="583"/>
            </w:pPr>
            <w:r>
              <w:rPr>
                <w:rFonts w:ascii="Times New Roman" w:hAnsi="Times New Roman" w:eastAsia="Times New Roman" w:cs="Times New Roman"/>
                <w:spacing w:val="-4"/>
              </w:rPr>
              <w:t>4</w:t>
            </w:r>
            <w:r>
              <w:rPr>
                <w:rFonts w:ascii="Times New Roman" w:hAnsi="Times New Roman" w:eastAsia="Times New Roman" w:cs="Times New Roman"/>
                <w:spacing w:val="-29"/>
              </w:rPr>
              <w:t xml:space="preserve"> </w:t>
            </w:r>
            <w:r>
              <w:rPr>
                <w:spacing w:val="-4"/>
              </w:rPr>
              <w:t>、储液罐挥发废气</w:t>
            </w:r>
          </w:p>
          <w:p w14:paraId="0DEC47E0">
            <w:pPr>
              <w:pStyle w:val="6"/>
              <w:spacing w:before="183" w:line="359" w:lineRule="auto"/>
              <w:ind w:left="108" w:right="136" w:firstLine="483"/>
            </w:pPr>
            <w:r>
              <w:rPr>
                <w:spacing w:val="-1"/>
              </w:rPr>
              <w:t>项目利用单井罐贮运采出液（原油</w:t>
            </w:r>
            <w:r>
              <w:rPr>
                <w:spacing w:val="7"/>
              </w:rPr>
              <w:t>），</w:t>
            </w:r>
            <w:r>
              <w:rPr>
                <w:spacing w:val="-1"/>
              </w:rPr>
              <w:t>油罐类型为卧式固定顶储液罐，采</w:t>
            </w:r>
            <w:r>
              <w:t>出液（原油）在存储、转运过程中会产生烃类废气。</w:t>
            </w:r>
            <w:r>
              <w:rPr>
                <w:spacing w:val="-1"/>
              </w:rPr>
              <w:t>采出液（原油）存储于高</w:t>
            </w:r>
            <w:r>
              <w:t>架油罐内，由于罐内气体空间温度差异，引起可挥发</w:t>
            </w:r>
            <w:r>
              <w:rPr>
                <w:spacing w:val="-1"/>
              </w:rPr>
              <w:t>烃类气体经呼吸阀排出，被称为“小呼吸</w:t>
            </w:r>
            <w:r>
              <w:rPr>
                <w:spacing w:val="-88"/>
              </w:rPr>
              <w:t xml:space="preserve"> </w:t>
            </w:r>
            <w:r>
              <w:rPr>
                <w:spacing w:val="-1"/>
              </w:rPr>
              <w:t>”；储罐内在收发油品时，由于油气空间</w:t>
            </w:r>
            <w:r>
              <w:rPr>
                <w:spacing w:val="-2"/>
              </w:rPr>
              <w:t>容积的变化，导致油</w:t>
            </w:r>
            <w:r>
              <w:rPr>
                <w:spacing w:val="-1"/>
              </w:rPr>
              <w:t>气呼出或外界空气的吸入，也会造成烃类挥发，被称为“</w:t>
            </w:r>
            <w:r>
              <w:rPr>
                <w:spacing w:val="-2"/>
              </w:rPr>
              <w:t>大呼吸</w:t>
            </w:r>
            <w:r>
              <w:rPr>
                <w:spacing w:val="-88"/>
              </w:rPr>
              <w:t xml:space="preserve"> </w:t>
            </w:r>
            <w:r>
              <w:rPr>
                <w:spacing w:val="-2"/>
              </w:rPr>
              <w:t>”；装车时，</w:t>
            </w:r>
            <w:r>
              <w:rPr>
                <w:spacing w:val="-1"/>
              </w:rPr>
              <w:t>油品向汽车槽车装油过程会中会造成烃类挥发。</w:t>
            </w:r>
          </w:p>
          <w:p w14:paraId="0B7D2D36">
            <w:pPr>
              <w:pStyle w:val="6"/>
              <w:spacing w:before="1" w:line="218" w:lineRule="auto"/>
              <w:ind w:left="589"/>
            </w:pPr>
            <w:r>
              <w:t>烃类气体排放量根据美国石油学会推荐的计算</w:t>
            </w:r>
            <w:r>
              <w:rPr>
                <w:spacing w:val="-1"/>
              </w:rPr>
              <w:t>油罐储存损耗的公式对拟建</w:t>
            </w:r>
          </w:p>
        </w:tc>
      </w:tr>
    </w:tbl>
    <w:p w14:paraId="577AB1C9">
      <w:pPr>
        <w:rPr>
          <w:rFonts w:ascii="Arial"/>
          <w:sz w:val="21"/>
        </w:rPr>
      </w:pPr>
    </w:p>
    <w:p w14:paraId="598808EB">
      <w:pPr>
        <w:rPr>
          <w:rFonts w:ascii="Arial" w:hAnsi="Arial" w:eastAsia="Arial" w:cs="Arial"/>
          <w:sz w:val="21"/>
          <w:szCs w:val="21"/>
        </w:rPr>
        <w:sectPr>
          <w:footerReference r:id="rId64" w:type="default"/>
          <w:pgSz w:w="11906" w:h="16839"/>
          <w:pgMar w:top="400" w:right="1410" w:bottom="1240" w:left="1579" w:header="0" w:footer="1078" w:gutter="0"/>
          <w:cols w:space="720" w:num="1"/>
        </w:sectPr>
      </w:pPr>
    </w:p>
    <w:p w14:paraId="5FE330B1">
      <w:pPr>
        <w:spacing w:before="56"/>
      </w:pPr>
    </w:p>
    <w:p w14:paraId="6AA0D153">
      <w:pPr>
        <w:spacing w:before="56"/>
      </w:pPr>
    </w:p>
    <w:p w14:paraId="74689034">
      <w:pPr>
        <w:spacing w:before="55"/>
      </w:pPr>
    </w:p>
    <w:p w14:paraId="6C609D20">
      <w:pPr>
        <w:spacing w:before="55"/>
      </w:pPr>
    </w:p>
    <w:tbl>
      <w:tblPr>
        <w:tblStyle w:val="5"/>
        <w:tblW w:w="890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95"/>
        <w:gridCol w:w="8406"/>
      </w:tblGrid>
      <w:tr w14:paraId="50E42C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495" w:type="dxa"/>
            <w:tcBorders>
              <w:right w:val="single" w:color="000000" w:sz="2" w:space="0"/>
            </w:tcBorders>
            <w:vAlign w:val="top"/>
          </w:tcPr>
          <w:p w14:paraId="3EB20511">
            <w:pPr>
              <w:rPr>
                <w:rFonts w:ascii="Arial"/>
                <w:sz w:val="21"/>
              </w:rPr>
            </w:pPr>
          </w:p>
        </w:tc>
        <w:tc>
          <w:tcPr>
            <w:tcW w:w="8406" w:type="dxa"/>
            <w:tcBorders>
              <w:left w:val="single" w:color="000000" w:sz="2" w:space="0"/>
            </w:tcBorders>
            <w:vAlign w:val="top"/>
          </w:tcPr>
          <w:p w14:paraId="28D9BF84">
            <w:pPr>
              <w:pStyle w:val="6"/>
              <w:spacing w:before="40" w:line="219" w:lineRule="auto"/>
              <w:ind w:left="112"/>
            </w:pPr>
            <w:r>
              <w:rPr>
                <w:spacing w:val="-1"/>
              </w:rPr>
              <w:t>油罐非甲烷总烃气体挥发进行理论计算。</w:t>
            </w:r>
          </w:p>
          <w:p w14:paraId="31C1E99A">
            <w:pPr>
              <w:pStyle w:val="6"/>
              <w:spacing w:before="183" w:line="219" w:lineRule="auto"/>
              <w:ind w:left="600"/>
            </w:pPr>
            <w:r>
              <w:rPr>
                <w:spacing w:val="-3"/>
              </w:rPr>
              <w:t>（</w:t>
            </w:r>
            <w:r>
              <w:rPr>
                <w:rFonts w:ascii="Times New Roman" w:hAnsi="Times New Roman" w:eastAsia="Times New Roman" w:cs="Times New Roman"/>
                <w:spacing w:val="-3"/>
              </w:rPr>
              <w:t>1</w:t>
            </w:r>
            <w:r>
              <w:rPr>
                <w:spacing w:val="-3"/>
              </w:rPr>
              <w:t>）小呼吸产生计算</w:t>
            </w:r>
          </w:p>
          <w:p w14:paraId="297E895B">
            <w:pPr>
              <w:pStyle w:val="6"/>
              <w:spacing w:before="180" w:line="359" w:lineRule="auto"/>
              <w:ind w:left="110" w:right="102" w:firstLine="549"/>
            </w:pPr>
            <w:r>
              <w:rPr>
                <w:spacing w:val="-2"/>
              </w:rPr>
              <w:t>小呼吸排放是油罐在没有收发油作业的情况下，随着外界气温、压力在一</w:t>
            </w:r>
            <w:r>
              <w:t>天内的升降周期变化，罐内气体空间温度、油品</w:t>
            </w:r>
            <w:r>
              <w:rPr>
                <w:spacing w:val="-1"/>
              </w:rPr>
              <w:t>蒸发速度、油气浓度和蒸汽压</w:t>
            </w:r>
            <w:r>
              <w:t>力也随之变化。这种变化引起蒸汽的膨胀和收缩</w:t>
            </w:r>
            <w:r>
              <w:rPr>
                <w:spacing w:val="-1"/>
              </w:rPr>
              <w:t>而产生的蒸汽排出，它出现在罐内液面无任何变化的情况，是非人为干扰的自然排放方式。</w:t>
            </w:r>
          </w:p>
          <w:p w14:paraId="72F1EC73">
            <w:pPr>
              <w:pStyle w:val="6"/>
              <w:spacing w:before="1" w:line="217" w:lineRule="auto"/>
              <w:ind w:left="609"/>
            </w:pPr>
            <w:r>
              <w:rPr>
                <w:spacing w:val="-1"/>
              </w:rPr>
              <w:t>固定顶罐的小呼吸排放可用下式估算其污</w:t>
            </w:r>
            <w:r>
              <w:rPr>
                <w:spacing w:val="-2"/>
              </w:rPr>
              <w:t>染物的排放量：</w:t>
            </w:r>
          </w:p>
          <w:p w14:paraId="7F8620F2">
            <w:pPr>
              <w:pStyle w:val="6"/>
              <w:spacing w:before="142" w:line="350" w:lineRule="auto"/>
              <w:ind w:left="113" w:right="907" w:firstLine="794"/>
            </w:pPr>
            <w:r>
              <w:rPr>
                <w:rFonts w:ascii="Times New Roman" w:hAnsi="Times New Roman" w:eastAsia="Times New Roman" w:cs="Times New Roman"/>
              </w:rPr>
              <w:t>LB=0.</w:t>
            </w:r>
            <w:r>
              <w:rPr>
                <w:rFonts w:ascii="Times New Roman" w:hAnsi="Times New Roman" w:eastAsia="Times New Roman" w:cs="Times New Roman"/>
                <w:spacing w:val="-32"/>
              </w:rPr>
              <w:t xml:space="preserve"> </w:t>
            </w:r>
            <w:r>
              <w:rPr>
                <w:rFonts w:ascii="Times New Roman" w:hAnsi="Times New Roman" w:eastAsia="Times New Roman" w:cs="Times New Roman"/>
              </w:rPr>
              <w:t>191×M×[P/</w:t>
            </w:r>
            <w:r>
              <w:t>（</w:t>
            </w:r>
            <w:r>
              <w:rPr>
                <w:rFonts w:ascii="Times New Roman" w:hAnsi="Times New Roman" w:eastAsia="Times New Roman" w:cs="Times New Roman"/>
              </w:rPr>
              <w:t>100910-P</w:t>
            </w:r>
            <w:r>
              <w:t>）</w:t>
            </w:r>
            <w:r>
              <w:rPr>
                <w:rFonts w:ascii="Times New Roman" w:hAnsi="Times New Roman" w:eastAsia="Times New Roman" w:cs="Times New Roman"/>
              </w:rPr>
              <w:t>]</w:t>
            </w:r>
            <w:r>
              <w:rPr>
                <w:rFonts w:ascii="Times New Roman" w:hAnsi="Times New Roman" w:eastAsia="Times New Roman" w:cs="Times New Roman"/>
                <w:position w:val="7"/>
                <w:sz w:val="15"/>
                <w:szCs w:val="15"/>
              </w:rPr>
              <w:t>0.68</w:t>
            </w:r>
            <w:r>
              <w:rPr>
                <w:rFonts w:ascii="Times New Roman" w:hAnsi="Times New Roman" w:eastAsia="Times New Roman" w:cs="Times New Roman"/>
              </w:rPr>
              <w:t>×D</w:t>
            </w:r>
            <w:r>
              <w:rPr>
                <w:rFonts w:ascii="Times New Roman" w:hAnsi="Times New Roman" w:eastAsia="Times New Roman" w:cs="Times New Roman"/>
                <w:position w:val="7"/>
                <w:sz w:val="15"/>
                <w:szCs w:val="15"/>
              </w:rPr>
              <w:t>1.73</w:t>
            </w:r>
            <w:r>
              <w:rPr>
                <w:rFonts w:ascii="Times New Roman" w:hAnsi="Times New Roman" w:eastAsia="Times New Roman" w:cs="Times New Roman"/>
              </w:rPr>
              <w:t>×H</w:t>
            </w:r>
            <w:r>
              <w:rPr>
                <w:rFonts w:ascii="Times New Roman" w:hAnsi="Times New Roman" w:eastAsia="Times New Roman" w:cs="Times New Roman"/>
                <w:position w:val="7"/>
                <w:sz w:val="15"/>
                <w:szCs w:val="15"/>
              </w:rPr>
              <w:t>0.51</w:t>
            </w:r>
            <w:r>
              <w:rPr>
                <w:rFonts w:ascii="Times New Roman" w:hAnsi="Times New Roman" w:eastAsia="Times New Roman" w:cs="Times New Roman"/>
              </w:rPr>
              <w:t>×</w:t>
            </w:r>
            <w:r>
              <w:rPr>
                <w:rFonts w:ascii="Cambria Math" w:hAnsi="Cambria Math" w:eastAsia="Cambria Math" w:cs="Cambria Math"/>
              </w:rPr>
              <w:t>△T</w:t>
            </w:r>
            <w:r>
              <w:rPr>
                <w:rFonts w:ascii="Times New Roman" w:hAnsi="Times New Roman" w:eastAsia="Times New Roman" w:cs="Times New Roman"/>
                <w:position w:val="7"/>
                <w:sz w:val="15"/>
                <w:szCs w:val="15"/>
              </w:rPr>
              <w:t>0.45</w:t>
            </w:r>
            <w:r>
              <w:rPr>
                <w:rFonts w:ascii="Times New Roman" w:hAnsi="Times New Roman" w:eastAsia="Times New Roman" w:cs="Times New Roman"/>
              </w:rPr>
              <w:t>×FP×C×KC</w:t>
            </w:r>
            <w:r>
              <w:rPr>
                <w:rFonts w:ascii="新宋体" w:hAnsi="新宋体" w:eastAsia="新宋体" w:cs="新宋体"/>
                <w:spacing w:val="-1"/>
              </w:rPr>
              <w:t>式中：</w:t>
            </w:r>
            <w:r>
              <w:rPr>
                <w:rFonts w:ascii="Times New Roman" w:hAnsi="Times New Roman" w:eastAsia="Times New Roman" w:cs="Times New Roman"/>
                <w:spacing w:val="-1"/>
              </w:rPr>
              <w:t>LB—</w:t>
            </w:r>
            <w:r>
              <w:rPr>
                <w:spacing w:val="-1"/>
              </w:rPr>
              <w:t>固定顶罐的小呼吸排放量（</w:t>
            </w:r>
            <w:r>
              <w:rPr>
                <w:rFonts w:ascii="Times New Roman" w:hAnsi="Times New Roman" w:eastAsia="Times New Roman" w:cs="Times New Roman"/>
                <w:spacing w:val="-1"/>
              </w:rPr>
              <w:t>kg/a</w:t>
            </w:r>
            <w:r>
              <w:rPr>
                <w:spacing w:val="2"/>
              </w:rPr>
              <w:t>）；</w:t>
            </w:r>
          </w:p>
          <w:p w14:paraId="150FF461">
            <w:pPr>
              <w:pStyle w:val="6"/>
              <w:spacing w:before="65" w:line="219" w:lineRule="auto"/>
              <w:ind w:left="823"/>
            </w:pPr>
            <w:r>
              <w:rPr>
                <w:rFonts w:ascii="Times New Roman" w:hAnsi="Times New Roman" w:eastAsia="Times New Roman" w:cs="Times New Roman"/>
                <w:spacing w:val="4"/>
              </w:rPr>
              <w:t>M—</w:t>
            </w:r>
            <w:r>
              <w:rPr>
                <w:spacing w:val="4"/>
              </w:rPr>
              <w:t>储罐内蒸汽的分子量</w:t>
            </w:r>
            <w:r>
              <w:rPr>
                <w:spacing w:val="-18"/>
              </w:rPr>
              <w:t>；（</w:t>
            </w:r>
            <w:r>
              <w:rPr>
                <w:spacing w:val="4"/>
              </w:rPr>
              <w:t>美国石油学会推荐</w:t>
            </w:r>
            <w:r>
              <w:rPr>
                <w:rFonts w:ascii="Times New Roman" w:hAnsi="Times New Roman" w:eastAsia="Times New Roman" w:cs="Times New Roman"/>
                <w:spacing w:val="4"/>
              </w:rPr>
              <w:t>64</w:t>
            </w:r>
            <w:r>
              <w:rPr>
                <w:spacing w:val="4"/>
              </w:rPr>
              <w:t>）</w:t>
            </w:r>
          </w:p>
          <w:p w14:paraId="73099593">
            <w:pPr>
              <w:pStyle w:val="6"/>
              <w:spacing w:before="183" w:line="342" w:lineRule="auto"/>
              <w:ind w:left="823" w:right="43"/>
            </w:pPr>
            <w:r>
              <w:rPr>
                <w:rFonts w:ascii="Times New Roman" w:hAnsi="Times New Roman" w:eastAsia="Times New Roman" w:cs="Times New Roman"/>
                <w:spacing w:val="-10"/>
              </w:rPr>
              <w:t>P—</w:t>
            </w:r>
            <w:r>
              <w:rPr>
                <w:spacing w:val="-10"/>
              </w:rPr>
              <w:t>在大量液体状态下，真实的蒸汽压力（</w:t>
            </w:r>
            <w:r>
              <w:rPr>
                <w:rFonts w:ascii="Times New Roman" w:hAnsi="Times New Roman" w:eastAsia="Times New Roman" w:cs="Times New Roman"/>
                <w:spacing w:val="-10"/>
              </w:rPr>
              <w:t>Pa</w:t>
            </w:r>
            <w:r>
              <w:rPr>
                <w:spacing w:val="-51"/>
                <w:w w:val="79"/>
              </w:rPr>
              <w:t>）；</w:t>
            </w:r>
            <w:r>
              <w:rPr>
                <w:spacing w:val="-10"/>
              </w:rPr>
              <w:t>按饱和压力计，</w:t>
            </w:r>
            <w:r>
              <w:rPr>
                <w:rFonts w:ascii="Times New Roman" w:hAnsi="Times New Roman" w:eastAsia="Times New Roman" w:cs="Times New Roman"/>
                <w:spacing w:val="-10"/>
              </w:rPr>
              <w:t>12</w:t>
            </w:r>
            <w:r>
              <w:rPr>
                <w:rFonts w:ascii="Times New Roman" w:hAnsi="Times New Roman" w:eastAsia="Times New Roman" w:cs="Times New Roman"/>
                <w:spacing w:val="-11"/>
              </w:rPr>
              <w:t>290.8Pa</w:t>
            </w:r>
            <w:r>
              <w:rPr>
                <w:spacing w:val="-11"/>
              </w:rPr>
              <w:t>；</w:t>
            </w:r>
            <w:r>
              <w:rPr>
                <w:spacing w:val="4"/>
              </w:rPr>
              <w:t xml:space="preserve"> </w:t>
            </w:r>
            <w:r>
              <w:rPr>
                <w:rFonts w:ascii="Times New Roman" w:hAnsi="Times New Roman" w:eastAsia="Times New Roman" w:cs="Times New Roman"/>
                <w:spacing w:val="-1"/>
              </w:rPr>
              <w:t>D—</w:t>
            </w:r>
            <w:r>
              <w:rPr>
                <w:spacing w:val="-1"/>
              </w:rPr>
              <w:t>罐的直径；本工程中</w:t>
            </w:r>
            <w:r>
              <w:rPr>
                <w:spacing w:val="-50"/>
              </w:rPr>
              <w:t xml:space="preserve"> </w:t>
            </w:r>
            <w:r>
              <w:rPr>
                <w:rFonts w:ascii="Times New Roman" w:hAnsi="Times New Roman" w:eastAsia="Times New Roman" w:cs="Times New Roman"/>
                <w:spacing w:val="-1"/>
              </w:rPr>
              <w:t>D=2.6m</w:t>
            </w:r>
            <w:r>
              <w:rPr>
                <w:spacing w:val="-1"/>
              </w:rPr>
              <w:t>；</w:t>
            </w:r>
          </w:p>
          <w:p w14:paraId="4D972CC7">
            <w:pPr>
              <w:pStyle w:val="6"/>
              <w:spacing w:line="322" w:lineRule="exact"/>
              <w:ind w:left="823"/>
            </w:pPr>
            <w:r>
              <w:rPr>
                <w:rFonts w:ascii="Times New Roman" w:hAnsi="Times New Roman" w:eastAsia="Times New Roman" w:cs="Times New Roman"/>
                <w:spacing w:val="-3"/>
                <w:position w:val="1"/>
              </w:rPr>
              <w:t>H—</w:t>
            </w:r>
            <w:r>
              <w:rPr>
                <w:spacing w:val="-3"/>
                <w:position w:val="1"/>
              </w:rPr>
              <w:t>平均蒸汽空间高度（</w:t>
            </w:r>
            <w:r>
              <w:rPr>
                <w:rFonts w:ascii="Times New Roman" w:hAnsi="Times New Roman" w:eastAsia="Times New Roman" w:cs="Times New Roman"/>
                <w:spacing w:val="-3"/>
                <w:position w:val="1"/>
              </w:rPr>
              <w:t>m</w:t>
            </w:r>
            <w:r>
              <w:rPr>
                <w:spacing w:val="11"/>
                <w:position w:val="1"/>
              </w:rPr>
              <w:t>）；</w:t>
            </w:r>
            <w:r>
              <w:rPr>
                <w:rFonts w:ascii="Times New Roman" w:hAnsi="Times New Roman" w:eastAsia="Times New Roman" w:cs="Times New Roman"/>
                <w:spacing w:val="-3"/>
                <w:position w:val="1"/>
              </w:rPr>
              <w:t>H=0.</w:t>
            </w:r>
            <w:r>
              <w:rPr>
                <w:rFonts w:ascii="Times New Roman" w:hAnsi="Times New Roman" w:eastAsia="Times New Roman" w:cs="Times New Roman"/>
                <w:spacing w:val="-32"/>
                <w:position w:val="1"/>
              </w:rPr>
              <w:t xml:space="preserve"> </w:t>
            </w:r>
            <w:r>
              <w:rPr>
                <w:rFonts w:ascii="Times New Roman" w:hAnsi="Times New Roman" w:eastAsia="Times New Roman" w:cs="Times New Roman"/>
                <w:spacing w:val="-3"/>
                <w:position w:val="1"/>
              </w:rPr>
              <w:t>1m</w:t>
            </w:r>
            <w:r>
              <w:rPr>
                <w:spacing w:val="-3"/>
                <w:position w:val="1"/>
              </w:rPr>
              <w:t>；</w:t>
            </w:r>
          </w:p>
          <w:p w14:paraId="1C16664A">
            <w:pPr>
              <w:pStyle w:val="6"/>
              <w:spacing w:before="146" w:line="322" w:lineRule="exact"/>
              <w:ind w:left="836"/>
            </w:pPr>
            <w:r>
              <w:rPr>
                <w:spacing w:val="-7"/>
                <w:position w:val="1"/>
              </w:rPr>
              <w:t>△</w:t>
            </w:r>
            <w:r>
              <w:rPr>
                <w:rFonts w:ascii="Times New Roman" w:hAnsi="Times New Roman" w:eastAsia="Times New Roman" w:cs="Times New Roman"/>
                <w:spacing w:val="-7"/>
                <w:position w:val="1"/>
              </w:rPr>
              <w:t>T—</w:t>
            </w:r>
            <w:r>
              <w:rPr>
                <w:spacing w:val="-7"/>
                <w:position w:val="1"/>
              </w:rPr>
              <w:t>一天之内的平均温度差 (</w:t>
            </w:r>
            <w:r>
              <w:rPr>
                <w:rFonts w:ascii="Times New Roman" w:hAnsi="Times New Roman" w:eastAsia="Times New Roman" w:cs="Times New Roman"/>
                <w:spacing w:val="-7"/>
                <w:position w:val="1"/>
              </w:rPr>
              <w:t>℃</w:t>
            </w:r>
            <w:r>
              <w:rPr>
                <w:spacing w:val="-7"/>
                <w:position w:val="1"/>
              </w:rPr>
              <w:t>)</w:t>
            </w:r>
            <w:r>
              <w:rPr>
                <w:spacing w:val="54"/>
                <w:position w:val="1"/>
              </w:rPr>
              <w:t xml:space="preserve"> </w:t>
            </w:r>
            <w:r>
              <w:rPr>
                <w:spacing w:val="-7"/>
                <w:position w:val="1"/>
              </w:rPr>
              <w:t>;</w:t>
            </w:r>
            <w:r>
              <w:rPr>
                <w:spacing w:val="73"/>
                <w:position w:val="1"/>
              </w:rPr>
              <w:t xml:space="preserve"> </w:t>
            </w:r>
            <w:r>
              <w:rPr>
                <w:spacing w:val="-7"/>
                <w:position w:val="1"/>
              </w:rPr>
              <w:t>△</w:t>
            </w:r>
            <w:r>
              <w:rPr>
                <w:rFonts w:ascii="Times New Roman" w:hAnsi="Times New Roman" w:eastAsia="Times New Roman" w:cs="Times New Roman"/>
                <w:spacing w:val="-7"/>
                <w:position w:val="1"/>
              </w:rPr>
              <w:t>T=</w:t>
            </w:r>
            <w:r>
              <w:rPr>
                <w:rFonts w:ascii="Times New Roman" w:hAnsi="Times New Roman" w:eastAsia="Times New Roman" w:cs="Times New Roman"/>
                <w:spacing w:val="-33"/>
                <w:position w:val="1"/>
              </w:rPr>
              <w:t xml:space="preserve"> </w:t>
            </w:r>
            <w:r>
              <w:rPr>
                <w:rFonts w:ascii="Times New Roman" w:hAnsi="Times New Roman" w:eastAsia="Times New Roman" w:cs="Times New Roman"/>
                <w:spacing w:val="-7"/>
                <w:position w:val="1"/>
              </w:rPr>
              <w:t>10℃</w:t>
            </w:r>
            <w:r>
              <w:rPr>
                <w:spacing w:val="-7"/>
                <w:position w:val="1"/>
              </w:rPr>
              <w:t>;</w:t>
            </w:r>
          </w:p>
          <w:p w14:paraId="0E07B81B">
            <w:pPr>
              <w:pStyle w:val="6"/>
              <w:spacing w:before="143" w:line="323" w:lineRule="exact"/>
              <w:ind w:left="823"/>
            </w:pPr>
            <w:r>
              <w:rPr>
                <w:rFonts w:ascii="Times New Roman" w:hAnsi="Times New Roman" w:eastAsia="Times New Roman" w:cs="Times New Roman"/>
                <w:spacing w:val="-3"/>
                <w:position w:val="1"/>
              </w:rPr>
              <w:t>FP—</w:t>
            </w:r>
            <w:r>
              <w:rPr>
                <w:spacing w:val="-3"/>
                <w:position w:val="1"/>
              </w:rPr>
              <w:t>涂层因子（无量纲</w:t>
            </w:r>
            <w:r>
              <w:rPr>
                <w:spacing w:val="10"/>
                <w:position w:val="1"/>
              </w:rPr>
              <w:t>），</w:t>
            </w:r>
            <w:r>
              <w:rPr>
                <w:spacing w:val="-3"/>
                <w:position w:val="1"/>
              </w:rPr>
              <w:t>根据油漆状况取值在</w:t>
            </w:r>
            <w:r>
              <w:rPr>
                <w:spacing w:val="-32"/>
                <w:position w:val="1"/>
              </w:rPr>
              <w:t xml:space="preserve"> </w:t>
            </w:r>
            <w:r>
              <w:rPr>
                <w:rFonts w:ascii="Times New Roman" w:hAnsi="Times New Roman" w:eastAsia="Times New Roman" w:cs="Times New Roman"/>
                <w:spacing w:val="-3"/>
                <w:position w:val="1"/>
              </w:rPr>
              <w:t>1~</w:t>
            </w:r>
            <w:r>
              <w:rPr>
                <w:rFonts w:ascii="Times New Roman" w:hAnsi="Times New Roman" w:eastAsia="Times New Roman" w:cs="Times New Roman"/>
                <w:spacing w:val="-32"/>
                <w:position w:val="1"/>
              </w:rPr>
              <w:t xml:space="preserve"> </w:t>
            </w:r>
            <w:r>
              <w:rPr>
                <w:rFonts w:ascii="Times New Roman" w:hAnsi="Times New Roman" w:eastAsia="Times New Roman" w:cs="Times New Roman"/>
                <w:spacing w:val="-3"/>
                <w:position w:val="1"/>
              </w:rPr>
              <w:t xml:space="preserve">1.5 </w:t>
            </w:r>
            <w:r>
              <w:rPr>
                <w:spacing w:val="-3"/>
                <w:position w:val="1"/>
              </w:rPr>
              <w:t>之间；</w:t>
            </w:r>
            <w:r>
              <w:rPr>
                <w:rFonts w:ascii="Times New Roman" w:hAnsi="Times New Roman" w:eastAsia="Times New Roman" w:cs="Times New Roman"/>
                <w:spacing w:val="-3"/>
                <w:position w:val="1"/>
              </w:rPr>
              <w:t>FP=</w:t>
            </w:r>
            <w:r>
              <w:rPr>
                <w:rFonts w:ascii="Times New Roman" w:hAnsi="Times New Roman" w:eastAsia="Times New Roman" w:cs="Times New Roman"/>
                <w:spacing w:val="-33"/>
                <w:position w:val="1"/>
              </w:rPr>
              <w:t xml:space="preserve"> </w:t>
            </w:r>
            <w:r>
              <w:rPr>
                <w:rFonts w:ascii="Times New Roman" w:hAnsi="Times New Roman" w:eastAsia="Times New Roman" w:cs="Times New Roman"/>
                <w:spacing w:val="-3"/>
                <w:position w:val="1"/>
              </w:rPr>
              <w:t>1.25</w:t>
            </w:r>
            <w:r>
              <w:rPr>
                <w:spacing w:val="-3"/>
                <w:position w:val="1"/>
              </w:rPr>
              <w:t>；</w:t>
            </w:r>
          </w:p>
          <w:p w14:paraId="3EB91586">
            <w:pPr>
              <w:pStyle w:val="6"/>
              <w:spacing w:before="146" w:line="355" w:lineRule="auto"/>
              <w:ind w:left="112" w:right="43" w:firstLine="715"/>
            </w:pPr>
            <w:r>
              <w:rPr>
                <w:rFonts w:ascii="Times New Roman" w:hAnsi="Times New Roman" w:eastAsia="Times New Roman" w:cs="Times New Roman"/>
                <w:spacing w:val="-11"/>
              </w:rPr>
              <w:t>C—</w:t>
            </w:r>
            <w:r>
              <w:rPr>
                <w:spacing w:val="-11"/>
              </w:rPr>
              <w:t>直径在</w:t>
            </w:r>
            <w:r>
              <w:rPr>
                <w:spacing w:val="-44"/>
              </w:rPr>
              <w:t xml:space="preserve"> </w:t>
            </w:r>
            <w:r>
              <w:rPr>
                <w:rFonts w:ascii="Times New Roman" w:hAnsi="Times New Roman" w:eastAsia="Times New Roman" w:cs="Times New Roman"/>
                <w:spacing w:val="-11"/>
              </w:rPr>
              <w:t>0-9</w:t>
            </w:r>
            <w:r>
              <w:rPr>
                <w:rFonts w:ascii="Times New Roman" w:hAnsi="Times New Roman" w:eastAsia="Times New Roman" w:cs="Times New Roman"/>
                <w:spacing w:val="12"/>
              </w:rPr>
              <w:t xml:space="preserve"> </w:t>
            </w:r>
            <w:r>
              <w:rPr>
                <w:spacing w:val="-11"/>
              </w:rPr>
              <w:t>米之间的罐体，</w:t>
            </w:r>
            <w:r>
              <w:rPr>
                <w:rFonts w:ascii="Times New Roman" w:hAnsi="Times New Roman" w:eastAsia="Times New Roman" w:cs="Times New Roman"/>
                <w:spacing w:val="-11"/>
              </w:rPr>
              <w:t>C=</w:t>
            </w:r>
            <w:r>
              <w:rPr>
                <w:rFonts w:ascii="Times New Roman" w:hAnsi="Times New Roman" w:eastAsia="Times New Roman" w:cs="Times New Roman"/>
                <w:spacing w:val="-33"/>
              </w:rPr>
              <w:t xml:space="preserve"> </w:t>
            </w:r>
            <w:r>
              <w:rPr>
                <w:rFonts w:ascii="Times New Roman" w:hAnsi="Times New Roman" w:eastAsia="Times New Roman" w:cs="Times New Roman"/>
                <w:spacing w:val="-11"/>
              </w:rPr>
              <w:t>1-0.0123</w:t>
            </w:r>
            <w:r>
              <w:rPr>
                <w:spacing w:val="-11"/>
              </w:rPr>
              <w:t>（</w:t>
            </w:r>
            <w:r>
              <w:rPr>
                <w:rFonts w:ascii="Times New Roman" w:hAnsi="Times New Roman" w:eastAsia="Times New Roman" w:cs="Times New Roman"/>
                <w:spacing w:val="-11"/>
              </w:rPr>
              <w:t>D-9</w:t>
            </w:r>
            <w:r>
              <w:rPr>
                <w:spacing w:val="-11"/>
              </w:rPr>
              <w:t>）</w:t>
            </w:r>
            <w:r>
              <w:rPr>
                <w:rFonts w:ascii="Times New Roman" w:hAnsi="Times New Roman" w:eastAsia="Times New Roman" w:cs="Times New Roman"/>
                <w:spacing w:val="-1"/>
                <w:position w:val="7"/>
                <w:sz w:val="15"/>
                <w:szCs w:val="15"/>
              </w:rPr>
              <w:t>2</w:t>
            </w:r>
            <w:r>
              <w:rPr>
                <w:spacing w:val="-18"/>
              </w:rPr>
              <w:t>，罐径大于</w:t>
            </w:r>
            <w:r>
              <w:rPr>
                <w:spacing w:val="-50"/>
              </w:rPr>
              <w:t xml:space="preserve"> </w:t>
            </w:r>
            <w:r>
              <w:rPr>
                <w:rFonts w:ascii="Times New Roman" w:hAnsi="Times New Roman" w:eastAsia="Times New Roman" w:cs="Times New Roman"/>
                <w:spacing w:val="-18"/>
              </w:rPr>
              <w:t>9</w:t>
            </w:r>
            <w:r>
              <w:rPr>
                <w:rFonts w:ascii="Times New Roman" w:hAnsi="Times New Roman" w:eastAsia="Times New Roman" w:cs="Times New Roman"/>
                <w:spacing w:val="9"/>
              </w:rPr>
              <w:t xml:space="preserve"> </w:t>
            </w:r>
            <w:r>
              <w:rPr>
                <w:spacing w:val="-18"/>
              </w:rPr>
              <w:t>米的</w:t>
            </w:r>
            <w:r>
              <w:rPr>
                <w:spacing w:val="-51"/>
              </w:rPr>
              <w:t xml:space="preserve"> </w:t>
            </w:r>
            <w:r>
              <w:rPr>
                <w:rFonts w:ascii="Times New Roman" w:hAnsi="Times New Roman" w:eastAsia="Times New Roman" w:cs="Times New Roman"/>
                <w:spacing w:val="-18"/>
              </w:rPr>
              <w:t>C=</w:t>
            </w:r>
            <w:r>
              <w:rPr>
                <w:rFonts w:ascii="Times New Roman" w:hAnsi="Times New Roman" w:eastAsia="Times New Roman" w:cs="Times New Roman"/>
                <w:spacing w:val="-33"/>
              </w:rPr>
              <w:t xml:space="preserve"> </w:t>
            </w:r>
            <w:r>
              <w:rPr>
                <w:rFonts w:ascii="Times New Roman" w:hAnsi="Times New Roman" w:eastAsia="Times New Roman" w:cs="Times New Roman"/>
                <w:spacing w:val="-18"/>
              </w:rPr>
              <w:t>1</w:t>
            </w:r>
            <w:r>
              <w:rPr>
                <w:spacing w:val="-18"/>
              </w:rPr>
              <w:t>；</w:t>
            </w:r>
            <w:r>
              <w:rPr>
                <w:spacing w:val="-3"/>
              </w:rPr>
              <w:t>项目</w:t>
            </w:r>
            <w:r>
              <w:rPr>
                <w:spacing w:val="-44"/>
              </w:rPr>
              <w:t xml:space="preserve"> </w:t>
            </w:r>
            <w:r>
              <w:rPr>
                <w:rFonts w:ascii="Times New Roman" w:hAnsi="Times New Roman" w:eastAsia="Times New Roman" w:cs="Times New Roman"/>
                <w:spacing w:val="-3"/>
              </w:rPr>
              <w:t>C=0.4962</w:t>
            </w:r>
            <w:r>
              <w:rPr>
                <w:spacing w:val="-3"/>
              </w:rPr>
              <w:t>；</w:t>
            </w:r>
          </w:p>
          <w:p w14:paraId="24FC2DFC">
            <w:pPr>
              <w:pStyle w:val="6"/>
              <w:spacing w:before="10" w:line="323" w:lineRule="exact"/>
              <w:ind w:left="823"/>
            </w:pPr>
            <w:r>
              <w:rPr>
                <w:rFonts w:ascii="Times New Roman" w:hAnsi="Times New Roman" w:eastAsia="Times New Roman" w:cs="Times New Roman"/>
                <w:spacing w:val="-2"/>
                <w:position w:val="1"/>
              </w:rPr>
              <w:t>KC—</w:t>
            </w:r>
            <w:r>
              <w:rPr>
                <w:spacing w:val="-2"/>
                <w:position w:val="1"/>
              </w:rPr>
              <w:t>产品因子（石油原油</w:t>
            </w:r>
            <w:r>
              <w:rPr>
                <w:spacing w:val="-56"/>
                <w:position w:val="1"/>
              </w:rPr>
              <w:t xml:space="preserve"> </w:t>
            </w:r>
            <w:r>
              <w:rPr>
                <w:rFonts w:ascii="Times New Roman" w:hAnsi="Times New Roman" w:eastAsia="Times New Roman" w:cs="Times New Roman"/>
                <w:spacing w:val="-2"/>
                <w:position w:val="1"/>
              </w:rPr>
              <w:t>KC=0.65</w:t>
            </w:r>
            <w:r>
              <w:rPr>
                <w:rFonts w:ascii="Times New Roman" w:hAnsi="Times New Roman" w:eastAsia="Times New Roman" w:cs="Times New Roman"/>
                <w:spacing w:val="-28"/>
                <w:position w:val="1"/>
              </w:rPr>
              <w:t xml:space="preserve"> </w:t>
            </w:r>
            <w:r>
              <w:rPr>
                <w:spacing w:val="-2"/>
                <w:position w:val="1"/>
              </w:rPr>
              <w:t>，其它的有机液体取</w:t>
            </w:r>
            <w:r>
              <w:rPr>
                <w:spacing w:val="-32"/>
                <w:position w:val="1"/>
              </w:rPr>
              <w:t xml:space="preserve"> </w:t>
            </w:r>
            <w:r>
              <w:rPr>
                <w:rFonts w:ascii="Times New Roman" w:hAnsi="Times New Roman" w:eastAsia="Times New Roman" w:cs="Times New Roman"/>
                <w:spacing w:val="-2"/>
                <w:position w:val="1"/>
              </w:rPr>
              <w:t>1</w:t>
            </w:r>
            <w:r>
              <w:rPr>
                <w:rFonts w:ascii="Times New Roman" w:hAnsi="Times New Roman" w:eastAsia="Times New Roman" w:cs="Times New Roman"/>
                <w:spacing w:val="-3"/>
                <w:position w:val="1"/>
              </w:rPr>
              <w:t>.0</w:t>
            </w:r>
            <w:r>
              <w:rPr>
                <w:spacing w:val="-3"/>
                <w:position w:val="1"/>
              </w:rPr>
              <w:t>）。</w:t>
            </w:r>
          </w:p>
          <w:p w14:paraId="5CF8DDA3">
            <w:pPr>
              <w:pStyle w:val="6"/>
              <w:spacing w:before="188" w:line="350" w:lineRule="auto"/>
              <w:ind w:left="110" w:right="102" w:firstLine="478"/>
            </w:pPr>
            <w:r>
              <w:rPr>
                <w:spacing w:val="-5"/>
              </w:rPr>
              <w:t>计算得油罐“小呼吸</w:t>
            </w:r>
            <w:r>
              <w:rPr>
                <w:spacing w:val="-79"/>
              </w:rPr>
              <w:t xml:space="preserve"> </w:t>
            </w:r>
            <w:r>
              <w:rPr>
                <w:spacing w:val="-5"/>
              </w:rPr>
              <w:t>”产生量</w:t>
            </w:r>
            <w:r>
              <w:rPr>
                <w:spacing w:val="-49"/>
              </w:rPr>
              <w:t xml:space="preserve"> </w:t>
            </w:r>
            <w:r>
              <w:rPr>
                <w:rFonts w:ascii="Times New Roman" w:hAnsi="Times New Roman" w:eastAsia="Times New Roman" w:cs="Times New Roman"/>
                <w:spacing w:val="-5"/>
              </w:rPr>
              <w:t>5.85kg/a</w:t>
            </w:r>
            <w:r>
              <w:rPr>
                <w:rFonts w:ascii="Times New Roman" w:hAnsi="Times New Roman" w:eastAsia="Times New Roman" w:cs="Times New Roman"/>
                <w:spacing w:val="-32"/>
              </w:rPr>
              <w:t xml:space="preserve"> </w:t>
            </w:r>
            <w:r>
              <w:rPr>
                <w:spacing w:val="-5"/>
              </w:rPr>
              <w:t>，项目试油</w:t>
            </w:r>
            <w:r>
              <w:rPr>
                <w:spacing w:val="-32"/>
              </w:rPr>
              <w:t xml:space="preserve"> </w:t>
            </w:r>
            <w:r>
              <w:rPr>
                <w:rFonts w:ascii="Times New Roman" w:hAnsi="Times New Roman" w:eastAsia="Times New Roman" w:cs="Times New Roman"/>
                <w:spacing w:val="-5"/>
              </w:rPr>
              <w:t>15</w:t>
            </w:r>
            <w:r>
              <w:rPr>
                <w:rFonts w:ascii="Times New Roman" w:hAnsi="Times New Roman" w:eastAsia="Times New Roman" w:cs="Times New Roman"/>
                <w:spacing w:val="15"/>
              </w:rPr>
              <w:t xml:space="preserve"> </w:t>
            </w:r>
            <w:r>
              <w:rPr>
                <w:spacing w:val="-5"/>
              </w:rPr>
              <w:t>天，则“小呼吸</w:t>
            </w:r>
            <w:r>
              <w:rPr>
                <w:spacing w:val="-88"/>
              </w:rPr>
              <w:t xml:space="preserve"> </w:t>
            </w:r>
            <w:r>
              <w:rPr>
                <w:spacing w:val="-5"/>
              </w:rPr>
              <w:t>”产</w:t>
            </w:r>
            <w:r>
              <w:rPr>
                <w:spacing w:val="-2"/>
              </w:rPr>
              <w:t>生量为</w:t>
            </w:r>
            <w:r>
              <w:rPr>
                <w:spacing w:val="-47"/>
              </w:rPr>
              <w:t xml:space="preserve"> </w:t>
            </w:r>
            <w:r>
              <w:rPr>
                <w:rFonts w:ascii="Times New Roman" w:hAnsi="Times New Roman" w:eastAsia="Times New Roman" w:cs="Times New Roman"/>
                <w:spacing w:val="-2"/>
              </w:rPr>
              <w:t>0.24kg/</w:t>
            </w:r>
            <w:r>
              <w:rPr>
                <w:spacing w:val="-2"/>
              </w:rPr>
              <w:t>试油期。</w:t>
            </w:r>
          </w:p>
          <w:p w14:paraId="3B1592F8">
            <w:pPr>
              <w:pStyle w:val="6"/>
              <w:spacing w:before="24" w:line="219" w:lineRule="auto"/>
              <w:ind w:left="600"/>
            </w:pPr>
            <w:r>
              <w:rPr>
                <w:spacing w:val="-3"/>
              </w:rPr>
              <w:t>（</w:t>
            </w:r>
            <w:r>
              <w:rPr>
                <w:rFonts w:ascii="Times New Roman" w:hAnsi="Times New Roman" w:eastAsia="Times New Roman" w:cs="Times New Roman"/>
                <w:spacing w:val="-3"/>
              </w:rPr>
              <w:t>2</w:t>
            </w:r>
            <w:r>
              <w:rPr>
                <w:spacing w:val="-3"/>
              </w:rPr>
              <w:t>）大呼吸产生计算</w:t>
            </w:r>
          </w:p>
          <w:p w14:paraId="411BBA9B">
            <w:pPr>
              <w:pStyle w:val="6"/>
              <w:spacing w:before="182" w:line="359" w:lineRule="auto"/>
              <w:ind w:left="109" w:right="136" w:firstLine="482"/>
            </w:pPr>
            <w:r>
              <w:rPr>
                <w:spacing w:val="-1"/>
              </w:rPr>
              <w:t>油罐进油时，由于油面逐渐升高，气体空间逐渐减小，罐内压力增大，当</w:t>
            </w:r>
            <w:r>
              <w:t>压力超过呼吸阀控制压力时，一定浓度的油蒸气开</w:t>
            </w:r>
            <w:r>
              <w:rPr>
                <w:spacing w:val="-1"/>
              </w:rPr>
              <w:t>始从呼吸阀呼出，直到油罐</w:t>
            </w:r>
            <w:r>
              <w:t>停止收油，所呼出的油蒸气造成油品蒸发的损失。</w:t>
            </w:r>
            <w:r>
              <w:rPr>
                <w:spacing w:val="-1"/>
              </w:rPr>
              <w:t>油罐向外发油时，由于油面</w:t>
            </w:r>
            <w:r>
              <w:t>不断降低，气体空间逐渐增加，罐内压力减小，当</w:t>
            </w:r>
            <w:r>
              <w:rPr>
                <w:spacing w:val="-1"/>
              </w:rPr>
              <w:t>压力小于呼吸阀控制真空度</w:t>
            </w:r>
            <w:r>
              <w:t>时，油罐开始吸入新鲜空气，由于油面上方空间油</w:t>
            </w:r>
            <w:r>
              <w:rPr>
                <w:spacing w:val="-1"/>
              </w:rPr>
              <w:t>气没有达到饱和，促使油品</w:t>
            </w:r>
            <w:r>
              <w:t>蒸发加速，使其重新达到饱和，罐内压力再次上升</w:t>
            </w:r>
            <w:r>
              <w:rPr>
                <w:spacing w:val="-1"/>
              </w:rPr>
              <w:t>，造成部分油蒸气从呼吸阀</w:t>
            </w:r>
            <w:r>
              <w:rPr>
                <w:spacing w:val="-4"/>
              </w:rPr>
              <w:t>呼出。</w:t>
            </w:r>
          </w:p>
          <w:p w14:paraId="6AB00BCB">
            <w:pPr>
              <w:spacing w:before="2" w:line="217" w:lineRule="auto"/>
              <w:ind w:left="470"/>
              <w:rPr>
                <w:rFonts w:ascii="新宋体" w:hAnsi="新宋体" w:eastAsia="新宋体" w:cs="新宋体"/>
                <w:sz w:val="24"/>
                <w:szCs w:val="24"/>
              </w:rPr>
            </w:pPr>
            <w:r>
              <w:rPr>
                <w:rFonts w:ascii="新宋体" w:hAnsi="新宋体" w:eastAsia="新宋体" w:cs="新宋体"/>
                <w:spacing w:val="-1"/>
                <w:sz w:val="24"/>
                <w:szCs w:val="24"/>
              </w:rPr>
              <w:t>可由下式估算固定顶罐的大呼吸排放：</w:t>
            </w:r>
          </w:p>
        </w:tc>
      </w:tr>
    </w:tbl>
    <w:p w14:paraId="5C0CB863">
      <w:pPr>
        <w:rPr>
          <w:rFonts w:ascii="Arial"/>
          <w:sz w:val="21"/>
        </w:rPr>
      </w:pPr>
    </w:p>
    <w:p w14:paraId="0050FD93">
      <w:pPr>
        <w:rPr>
          <w:rFonts w:ascii="Arial" w:hAnsi="Arial" w:eastAsia="Arial" w:cs="Arial"/>
          <w:sz w:val="21"/>
          <w:szCs w:val="21"/>
        </w:rPr>
        <w:sectPr>
          <w:footerReference r:id="rId65" w:type="default"/>
          <w:pgSz w:w="11906" w:h="16839"/>
          <w:pgMar w:top="400" w:right="1410" w:bottom="1240" w:left="1579" w:header="0" w:footer="1078" w:gutter="0"/>
          <w:cols w:space="720" w:num="1"/>
        </w:sectPr>
      </w:pPr>
    </w:p>
    <w:p w14:paraId="4EAAD59C">
      <w:pPr>
        <w:spacing w:before="54"/>
      </w:pPr>
    </w:p>
    <w:p w14:paraId="152A5023">
      <w:pPr>
        <w:spacing w:before="54"/>
      </w:pPr>
    </w:p>
    <w:p w14:paraId="63444489">
      <w:pPr>
        <w:spacing w:before="54"/>
      </w:pPr>
    </w:p>
    <w:p w14:paraId="5D733A9C">
      <w:pPr>
        <w:spacing w:before="54"/>
      </w:pPr>
    </w:p>
    <w:tbl>
      <w:tblPr>
        <w:tblStyle w:val="5"/>
        <w:tblW w:w="890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95"/>
        <w:gridCol w:w="8406"/>
      </w:tblGrid>
      <w:tr w14:paraId="77445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498" w:hRule="atLeast"/>
        </w:trPr>
        <w:tc>
          <w:tcPr>
            <w:tcW w:w="495" w:type="dxa"/>
            <w:tcBorders>
              <w:right w:val="single" w:color="000000" w:sz="2" w:space="0"/>
            </w:tcBorders>
            <w:vAlign w:val="top"/>
          </w:tcPr>
          <w:p w14:paraId="00C920EE">
            <w:pPr>
              <w:rPr>
                <w:rFonts w:ascii="Arial"/>
                <w:sz w:val="21"/>
              </w:rPr>
            </w:pPr>
          </w:p>
        </w:tc>
        <w:tc>
          <w:tcPr>
            <w:tcW w:w="8406" w:type="dxa"/>
            <w:tcBorders>
              <w:left w:val="single" w:color="000000" w:sz="2" w:space="0"/>
            </w:tcBorders>
            <w:vAlign w:val="top"/>
          </w:tcPr>
          <w:p w14:paraId="45F96CBB">
            <w:pPr>
              <w:spacing w:line="307" w:lineRule="exact"/>
              <w:ind w:left="2665"/>
              <w:rPr>
                <w:rFonts w:ascii="Times New Roman" w:hAnsi="Times New Roman" w:eastAsia="Times New Roman" w:cs="Times New Roman"/>
                <w:sz w:val="24"/>
                <w:szCs w:val="24"/>
              </w:rPr>
            </w:pPr>
            <w:r>
              <w:rPr>
                <w:rFonts w:ascii="Times New Roman" w:hAnsi="Times New Roman" w:eastAsia="Times New Roman" w:cs="Times New Roman"/>
                <w:spacing w:val="-2"/>
                <w:position w:val="1"/>
                <w:sz w:val="24"/>
                <w:szCs w:val="24"/>
              </w:rPr>
              <w:t>Lw=4.</w:t>
            </w:r>
            <w:r>
              <w:rPr>
                <w:rFonts w:ascii="Times New Roman" w:hAnsi="Times New Roman" w:eastAsia="Times New Roman" w:cs="Times New Roman"/>
                <w:spacing w:val="-32"/>
                <w:position w:val="1"/>
                <w:sz w:val="24"/>
                <w:szCs w:val="24"/>
              </w:rPr>
              <w:t xml:space="preserve"> </w:t>
            </w:r>
            <w:r>
              <w:rPr>
                <w:rFonts w:ascii="Times New Roman" w:hAnsi="Times New Roman" w:eastAsia="Times New Roman" w:cs="Times New Roman"/>
                <w:spacing w:val="-2"/>
                <w:position w:val="1"/>
                <w:sz w:val="24"/>
                <w:szCs w:val="24"/>
              </w:rPr>
              <w:t>188×10</w:t>
            </w:r>
            <w:r>
              <w:rPr>
                <w:rFonts w:ascii="Times New Roman" w:hAnsi="Times New Roman" w:eastAsia="Times New Roman" w:cs="Times New Roman"/>
                <w:spacing w:val="-2"/>
                <w:position w:val="8"/>
                <w:sz w:val="15"/>
                <w:szCs w:val="15"/>
              </w:rPr>
              <w:t>-7</w:t>
            </w:r>
            <w:r>
              <w:rPr>
                <w:rFonts w:ascii="Times New Roman" w:hAnsi="Times New Roman" w:eastAsia="Times New Roman" w:cs="Times New Roman"/>
                <w:spacing w:val="-16"/>
                <w:position w:val="8"/>
                <w:sz w:val="15"/>
                <w:szCs w:val="15"/>
              </w:rPr>
              <w:t xml:space="preserve"> </w:t>
            </w:r>
            <w:r>
              <w:rPr>
                <w:rFonts w:ascii="Times New Roman" w:hAnsi="Times New Roman" w:eastAsia="Times New Roman" w:cs="Times New Roman"/>
                <w:spacing w:val="-2"/>
                <w:position w:val="1"/>
                <w:sz w:val="24"/>
                <w:szCs w:val="24"/>
              </w:rPr>
              <w:t>×M×P×KN×</w:t>
            </w:r>
            <w:r>
              <w:rPr>
                <w:rFonts w:ascii="Times New Roman" w:hAnsi="Times New Roman" w:eastAsia="Times New Roman" w:cs="Times New Roman"/>
                <w:spacing w:val="-3"/>
                <w:position w:val="1"/>
                <w:sz w:val="24"/>
                <w:szCs w:val="24"/>
              </w:rPr>
              <w:t>KC</w:t>
            </w:r>
          </w:p>
          <w:p w14:paraId="4D11F652">
            <w:pPr>
              <w:pStyle w:val="6"/>
              <w:spacing w:before="150" w:line="204" w:lineRule="auto"/>
              <w:ind w:left="113"/>
            </w:pPr>
            <w:r>
              <w:rPr>
                <w:spacing w:val="-1"/>
              </w:rPr>
              <w:t>式中：</w:t>
            </w:r>
            <w:r>
              <w:rPr>
                <w:rFonts w:ascii="Times New Roman" w:hAnsi="Times New Roman" w:eastAsia="Times New Roman" w:cs="Times New Roman"/>
                <w:spacing w:val="-1"/>
              </w:rPr>
              <w:t>Lw—</w:t>
            </w:r>
            <w:r>
              <w:rPr>
                <w:spacing w:val="-1"/>
              </w:rPr>
              <w:t>固定顶罐的工作损失（</w:t>
            </w:r>
            <w:r>
              <w:rPr>
                <w:rFonts w:ascii="Times New Roman" w:hAnsi="Times New Roman" w:eastAsia="Times New Roman" w:cs="Times New Roman"/>
                <w:spacing w:val="-1"/>
              </w:rPr>
              <w:t>kg/m</w:t>
            </w:r>
            <w:r>
              <w:rPr>
                <w:rFonts w:ascii="Times New Roman" w:hAnsi="Times New Roman" w:eastAsia="Times New Roman" w:cs="Times New Roman"/>
                <w:spacing w:val="-1"/>
                <w:position w:val="1"/>
                <w:sz w:val="15"/>
                <w:szCs w:val="15"/>
              </w:rPr>
              <w:t>3</w:t>
            </w:r>
            <w:r>
              <w:rPr>
                <w:spacing w:val="2"/>
                <w:position w:val="1"/>
              </w:rPr>
              <w:t>）</w:t>
            </w:r>
            <w:r>
              <w:rPr>
                <w:spacing w:val="2"/>
              </w:rPr>
              <w:t>；</w:t>
            </w:r>
          </w:p>
          <w:p w14:paraId="3D67F032">
            <w:pPr>
              <w:pStyle w:val="6"/>
              <w:spacing w:before="148" w:line="357" w:lineRule="auto"/>
              <w:ind w:left="229" w:right="63" w:firstLine="443"/>
              <w:jc w:val="both"/>
            </w:pPr>
            <w:r>
              <w:rPr>
                <w:rFonts w:ascii="Times New Roman" w:hAnsi="Times New Roman" w:eastAsia="Times New Roman" w:cs="Times New Roman"/>
                <w:spacing w:val="-4"/>
              </w:rPr>
              <w:t>KN—</w:t>
            </w:r>
            <w:r>
              <w:rPr>
                <w:spacing w:val="-4"/>
              </w:rPr>
              <w:t>周转因子（无量纲</w:t>
            </w:r>
            <w:r>
              <w:rPr>
                <w:spacing w:val="6"/>
              </w:rPr>
              <w:t>），</w:t>
            </w:r>
            <w:r>
              <w:rPr>
                <w:spacing w:val="-4"/>
              </w:rPr>
              <w:t>取值按年周转次数（</w:t>
            </w:r>
            <w:r>
              <w:rPr>
                <w:rFonts w:ascii="Times New Roman" w:hAnsi="Times New Roman" w:eastAsia="Times New Roman" w:cs="Times New Roman"/>
                <w:spacing w:val="-4"/>
              </w:rPr>
              <w:t>K</w:t>
            </w:r>
            <w:r>
              <w:rPr>
                <w:spacing w:val="-4"/>
              </w:rPr>
              <w:t>）确定</w:t>
            </w:r>
            <w:r>
              <w:rPr>
                <w:spacing w:val="-56"/>
              </w:rPr>
              <w:t xml:space="preserve"> </w:t>
            </w:r>
            <w:r>
              <w:rPr>
                <w:rFonts w:ascii="Times New Roman" w:hAnsi="Times New Roman" w:eastAsia="Times New Roman" w:cs="Times New Roman"/>
                <w:spacing w:val="-4"/>
              </w:rPr>
              <w:t>K≤36</w:t>
            </w:r>
            <w:r>
              <w:rPr>
                <w:rFonts w:ascii="Times New Roman" w:hAnsi="Times New Roman" w:eastAsia="Times New Roman" w:cs="Times New Roman"/>
                <w:spacing w:val="-31"/>
              </w:rPr>
              <w:t xml:space="preserve"> </w:t>
            </w:r>
            <w:r>
              <w:rPr>
                <w:spacing w:val="-4"/>
              </w:rPr>
              <w:t>，</w:t>
            </w:r>
            <w:r>
              <w:rPr>
                <w:rFonts w:ascii="Times New Roman" w:hAnsi="Times New Roman" w:eastAsia="Times New Roman" w:cs="Times New Roman"/>
                <w:spacing w:val="-5"/>
              </w:rPr>
              <w:t>KN=</w:t>
            </w:r>
            <w:r>
              <w:rPr>
                <w:rFonts w:ascii="Times New Roman" w:hAnsi="Times New Roman" w:eastAsia="Times New Roman" w:cs="Times New Roman"/>
                <w:spacing w:val="-32"/>
              </w:rPr>
              <w:t xml:space="preserve"> </w:t>
            </w:r>
            <w:r>
              <w:rPr>
                <w:rFonts w:ascii="Times New Roman" w:hAnsi="Times New Roman" w:eastAsia="Times New Roman" w:cs="Times New Roman"/>
                <w:spacing w:val="-5"/>
              </w:rPr>
              <w:t>1</w:t>
            </w:r>
            <w:r>
              <w:rPr>
                <w:spacing w:val="-5"/>
              </w:rPr>
              <w:t>；</w:t>
            </w:r>
            <w:r>
              <w:t xml:space="preserve"> </w:t>
            </w:r>
            <w:r>
              <w:rPr>
                <w:rFonts w:ascii="Times New Roman" w:hAnsi="Times New Roman" w:eastAsia="Times New Roman" w:cs="Times New Roman"/>
                <w:spacing w:val="-3"/>
              </w:rPr>
              <w:t>36&lt;K≤220</w:t>
            </w:r>
            <w:r>
              <w:rPr>
                <w:spacing w:val="-3"/>
              </w:rPr>
              <w:t>，</w:t>
            </w:r>
            <w:r>
              <w:rPr>
                <w:rFonts w:ascii="Times New Roman" w:hAnsi="Times New Roman" w:eastAsia="Times New Roman" w:cs="Times New Roman"/>
                <w:spacing w:val="-3"/>
              </w:rPr>
              <w:t>KN=</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11.46×K</w:t>
            </w:r>
            <w:r>
              <w:rPr>
                <w:rFonts w:ascii="Times New Roman" w:hAnsi="Times New Roman" w:eastAsia="Times New Roman" w:cs="Times New Roman"/>
                <w:spacing w:val="-3"/>
                <w:position w:val="7"/>
                <w:sz w:val="15"/>
                <w:szCs w:val="15"/>
              </w:rPr>
              <w:t>-</w:t>
            </w:r>
            <w:r>
              <w:rPr>
                <w:rFonts w:ascii="Times New Roman" w:hAnsi="Times New Roman" w:eastAsia="Times New Roman" w:cs="Times New Roman"/>
                <w:spacing w:val="-4"/>
                <w:position w:val="7"/>
                <w:sz w:val="15"/>
                <w:szCs w:val="15"/>
              </w:rPr>
              <w:t>0.7026</w:t>
            </w:r>
            <w:r>
              <w:rPr>
                <w:spacing w:val="-4"/>
              </w:rPr>
              <w:t>；</w:t>
            </w:r>
            <w:r>
              <w:rPr>
                <w:rFonts w:ascii="Times New Roman" w:hAnsi="Times New Roman" w:eastAsia="Times New Roman" w:cs="Times New Roman"/>
                <w:spacing w:val="-4"/>
              </w:rPr>
              <w:t>K&gt;220</w:t>
            </w:r>
            <w:r>
              <w:rPr>
                <w:spacing w:val="-4"/>
              </w:rPr>
              <w:t>，</w:t>
            </w:r>
            <w:r>
              <w:rPr>
                <w:rFonts w:ascii="Times New Roman" w:hAnsi="Times New Roman" w:eastAsia="Times New Roman" w:cs="Times New Roman"/>
                <w:spacing w:val="-4"/>
              </w:rPr>
              <w:t>KN=0.26</w:t>
            </w:r>
            <w:r>
              <w:rPr>
                <w:rFonts w:ascii="Times New Roman" w:hAnsi="Times New Roman" w:eastAsia="Times New Roman" w:cs="Times New Roman"/>
                <w:spacing w:val="-25"/>
              </w:rPr>
              <w:t xml:space="preserve"> </w:t>
            </w:r>
            <w:r>
              <w:rPr>
                <w:spacing w:val="-4"/>
              </w:rPr>
              <w:t>。项目试油</w:t>
            </w:r>
            <w:r>
              <w:rPr>
                <w:spacing w:val="-32"/>
              </w:rPr>
              <w:t xml:space="preserve"> </w:t>
            </w:r>
            <w:r>
              <w:rPr>
                <w:rFonts w:ascii="Times New Roman" w:hAnsi="Times New Roman" w:eastAsia="Times New Roman" w:cs="Times New Roman"/>
                <w:spacing w:val="-4"/>
              </w:rPr>
              <w:t>15</w:t>
            </w:r>
            <w:r>
              <w:rPr>
                <w:rFonts w:ascii="Times New Roman" w:hAnsi="Times New Roman" w:eastAsia="Times New Roman" w:cs="Times New Roman"/>
                <w:spacing w:val="14"/>
              </w:rPr>
              <w:t xml:space="preserve"> </w:t>
            </w:r>
            <w:r>
              <w:rPr>
                <w:spacing w:val="-4"/>
              </w:rPr>
              <w:t>天，每</w:t>
            </w:r>
            <w:r>
              <w:rPr>
                <w:spacing w:val="-55"/>
              </w:rPr>
              <w:t xml:space="preserve"> </w:t>
            </w:r>
            <w:r>
              <w:rPr>
                <w:rFonts w:ascii="Times New Roman" w:hAnsi="Times New Roman" w:eastAsia="Times New Roman" w:cs="Times New Roman"/>
                <w:spacing w:val="-4"/>
              </w:rPr>
              <w:t>2~3</w:t>
            </w:r>
            <w:r>
              <w:rPr>
                <w:rFonts w:ascii="Times New Roman" w:hAnsi="Times New Roman" w:eastAsia="Times New Roman" w:cs="Times New Roman"/>
                <w:spacing w:val="14"/>
              </w:rPr>
              <w:t xml:space="preserve"> </w:t>
            </w:r>
            <w:r>
              <w:rPr>
                <w:spacing w:val="-4"/>
              </w:rPr>
              <w:t>天转运一次，周转次数最多为</w:t>
            </w:r>
            <w:r>
              <w:rPr>
                <w:spacing w:val="-37"/>
              </w:rPr>
              <w:t xml:space="preserve"> </w:t>
            </w:r>
            <w:r>
              <w:rPr>
                <w:rFonts w:ascii="Times New Roman" w:hAnsi="Times New Roman" w:eastAsia="Times New Roman" w:cs="Times New Roman"/>
                <w:spacing w:val="-4"/>
              </w:rPr>
              <w:t>8</w:t>
            </w:r>
            <w:r>
              <w:rPr>
                <w:rFonts w:ascii="Times New Roman" w:hAnsi="Times New Roman" w:eastAsia="Times New Roman" w:cs="Times New Roman"/>
                <w:spacing w:val="16"/>
                <w:w w:val="101"/>
              </w:rPr>
              <w:t xml:space="preserve"> </w:t>
            </w:r>
            <w:r>
              <w:rPr>
                <w:spacing w:val="-4"/>
              </w:rPr>
              <w:t>次，故</w:t>
            </w:r>
            <w:r>
              <w:rPr>
                <w:spacing w:val="-56"/>
              </w:rPr>
              <w:t xml:space="preserve"> </w:t>
            </w:r>
            <w:r>
              <w:rPr>
                <w:rFonts w:ascii="Times New Roman" w:hAnsi="Times New Roman" w:eastAsia="Times New Roman" w:cs="Times New Roman"/>
                <w:spacing w:val="-4"/>
              </w:rPr>
              <w:t>KN=</w:t>
            </w:r>
            <w:r>
              <w:rPr>
                <w:rFonts w:ascii="Times New Roman" w:hAnsi="Times New Roman" w:eastAsia="Times New Roman" w:cs="Times New Roman"/>
                <w:spacing w:val="-33"/>
              </w:rPr>
              <w:t xml:space="preserve"> </w:t>
            </w:r>
            <w:r>
              <w:rPr>
                <w:rFonts w:ascii="Times New Roman" w:hAnsi="Times New Roman" w:eastAsia="Times New Roman" w:cs="Times New Roman"/>
                <w:spacing w:val="-4"/>
              </w:rPr>
              <w:t>1</w:t>
            </w:r>
            <w:r>
              <w:rPr>
                <w:spacing w:val="-4"/>
              </w:rPr>
              <w:t>。</w:t>
            </w:r>
          </w:p>
          <w:p w14:paraId="21CDCA51">
            <w:pPr>
              <w:pStyle w:val="6"/>
              <w:spacing w:before="53" w:line="219" w:lineRule="auto"/>
              <w:ind w:left="469"/>
            </w:pPr>
            <w:r>
              <w:rPr>
                <w:spacing w:val="-1"/>
              </w:rPr>
              <w:t>其它的同呼吸排放计算公式。</w:t>
            </w:r>
          </w:p>
          <w:p w14:paraId="58C33BB6">
            <w:pPr>
              <w:pStyle w:val="6"/>
              <w:spacing w:before="180" w:line="212" w:lineRule="auto"/>
              <w:ind w:left="588"/>
            </w:pPr>
            <w:r>
              <w:rPr>
                <w:spacing w:val="-2"/>
              </w:rPr>
              <w:t>计算可得</w:t>
            </w:r>
            <w:r>
              <w:rPr>
                <w:spacing w:val="-55"/>
              </w:rPr>
              <w:t xml:space="preserve"> </w:t>
            </w:r>
            <w:r>
              <w:rPr>
                <w:rFonts w:ascii="Times New Roman" w:hAnsi="Times New Roman" w:eastAsia="Times New Roman" w:cs="Times New Roman"/>
                <w:spacing w:val="-2"/>
              </w:rPr>
              <w:t>L</w:t>
            </w:r>
            <w:r>
              <w:rPr>
                <w:rFonts w:ascii="Times New Roman" w:hAnsi="Times New Roman" w:eastAsia="Times New Roman" w:cs="Times New Roman"/>
                <w:spacing w:val="-2"/>
                <w:position w:val="-1"/>
                <w:sz w:val="15"/>
                <w:szCs w:val="15"/>
              </w:rPr>
              <w:t>w</w:t>
            </w:r>
            <w:r>
              <w:rPr>
                <w:rFonts w:ascii="Times New Roman" w:hAnsi="Times New Roman" w:eastAsia="Times New Roman" w:cs="Times New Roman"/>
                <w:spacing w:val="16"/>
                <w:w w:val="101"/>
                <w:position w:val="-1"/>
                <w:sz w:val="15"/>
                <w:szCs w:val="15"/>
              </w:rPr>
              <w:t xml:space="preserve"> </w:t>
            </w:r>
            <w:r>
              <w:rPr>
                <w:spacing w:val="-2"/>
              </w:rPr>
              <w:t>约为</w:t>
            </w:r>
            <w:r>
              <w:rPr>
                <w:spacing w:val="-52"/>
              </w:rPr>
              <w:t xml:space="preserve"> </w:t>
            </w:r>
            <w:r>
              <w:rPr>
                <w:rFonts w:ascii="Times New Roman" w:hAnsi="Times New Roman" w:eastAsia="Times New Roman" w:cs="Times New Roman"/>
                <w:spacing w:val="-2"/>
              </w:rPr>
              <w:t>0.214kg/m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9"/>
                <w:position w:val="7"/>
                <w:sz w:val="15"/>
                <w:szCs w:val="15"/>
              </w:rPr>
              <w:t xml:space="preserve"> </w:t>
            </w:r>
            <w:r>
              <w:rPr>
                <w:spacing w:val="-2"/>
              </w:rPr>
              <w:t>，</w:t>
            </w:r>
            <w:r>
              <w:rPr>
                <w:spacing w:val="-3"/>
              </w:rPr>
              <w:t>油罐“大呼吸</w:t>
            </w:r>
            <w:r>
              <w:rPr>
                <w:spacing w:val="-88"/>
              </w:rPr>
              <w:t xml:space="preserve"> </w:t>
            </w:r>
            <w:r>
              <w:rPr>
                <w:spacing w:val="-3"/>
              </w:rPr>
              <w:t>”产生量</w:t>
            </w:r>
            <w:r>
              <w:rPr>
                <w:spacing w:val="-51"/>
              </w:rPr>
              <w:t xml:space="preserve"> </w:t>
            </w:r>
            <w:r>
              <w:rPr>
                <w:rFonts w:ascii="Times New Roman" w:hAnsi="Times New Roman" w:eastAsia="Times New Roman" w:cs="Times New Roman"/>
                <w:spacing w:val="-3"/>
              </w:rPr>
              <w:t>35.67kg/</w:t>
            </w:r>
            <w:r>
              <w:rPr>
                <w:spacing w:val="-3"/>
              </w:rPr>
              <w:t>试油期。</w:t>
            </w:r>
          </w:p>
          <w:p w14:paraId="3D198355">
            <w:pPr>
              <w:pStyle w:val="6"/>
              <w:spacing w:before="192" w:line="359" w:lineRule="auto"/>
              <w:ind w:left="108" w:right="62" w:firstLine="480"/>
            </w:pPr>
            <w:r>
              <w:rPr>
                <w:spacing w:val="5"/>
              </w:rPr>
              <w:t>根据（</w:t>
            </w:r>
            <w:r>
              <w:rPr>
                <w:spacing w:val="-43"/>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3"/>
              </w:rPr>
              <w:t xml:space="preserve"> </w:t>
            </w:r>
            <w:r>
              <w:rPr>
                <w:spacing w:val="5"/>
              </w:rPr>
              <w:t>）、（</w:t>
            </w:r>
            <w:r>
              <w:rPr>
                <w:rFonts w:ascii="Times New Roman" w:hAnsi="Times New Roman" w:eastAsia="Times New Roman" w:cs="Times New Roman"/>
                <w:spacing w:val="5"/>
              </w:rPr>
              <w:t>2</w:t>
            </w:r>
            <w:r>
              <w:rPr>
                <w:spacing w:val="5"/>
              </w:rPr>
              <w:t>）计算，试油阶段非甲烷总烃产生量为</w:t>
            </w:r>
            <w:r>
              <w:rPr>
                <w:spacing w:val="-38"/>
              </w:rPr>
              <w:t xml:space="preserve"> </w:t>
            </w:r>
            <w:r>
              <w:rPr>
                <w:rFonts w:ascii="Times New Roman" w:hAnsi="Times New Roman" w:eastAsia="Times New Roman" w:cs="Times New Roman"/>
                <w:spacing w:val="5"/>
              </w:rPr>
              <w:t>35.91</w:t>
            </w:r>
            <w:r>
              <w:rPr>
                <w:rFonts w:ascii="Times New Roman" w:hAnsi="Times New Roman" w:eastAsia="Times New Roman" w:cs="Times New Roman"/>
              </w:rPr>
              <w:t>kg</w:t>
            </w:r>
            <w:r>
              <w:rPr>
                <w:rFonts w:ascii="Times New Roman" w:hAnsi="Times New Roman" w:eastAsia="Times New Roman" w:cs="Times New Roman"/>
                <w:spacing w:val="5"/>
              </w:rPr>
              <w:t>/</w:t>
            </w:r>
            <w:r>
              <w:rPr>
                <w:spacing w:val="5"/>
              </w:rPr>
              <w:t>试油期</w:t>
            </w:r>
            <w:r>
              <w:rPr>
                <w:spacing w:val="2"/>
              </w:rPr>
              <w:t>（</w:t>
            </w:r>
            <w:r>
              <w:rPr>
                <w:rFonts w:ascii="Times New Roman" w:hAnsi="Times New Roman" w:eastAsia="Times New Roman" w:cs="Times New Roman"/>
                <w:spacing w:val="2"/>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2"/>
              </w:rPr>
              <w:t>1</w:t>
            </w:r>
            <w:r>
              <w:rPr>
                <w:rFonts w:ascii="Times New Roman" w:hAnsi="Times New Roman" w:eastAsia="Times New Roman" w:cs="Times New Roman"/>
              </w:rPr>
              <w:t>kg</w:t>
            </w:r>
            <w:r>
              <w:rPr>
                <w:rFonts w:ascii="Times New Roman" w:hAnsi="Times New Roman" w:eastAsia="Times New Roman" w:cs="Times New Roman"/>
                <w:spacing w:val="2"/>
              </w:rPr>
              <w:t>/h</w:t>
            </w:r>
            <w:r>
              <w:rPr>
                <w:spacing w:val="2"/>
              </w:rPr>
              <w:t>）。依据《环境影响评价技术导则大</w:t>
            </w:r>
            <w:r>
              <w:rPr>
                <w:spacing w:val="1"/>
              </w:rPr>
              <w:t>气环境》（</w:t>
            </w:r>
            <w:r>
              <w:rPr>
                <w:rFonts w:ascii="Times New Roman" w:hAnsi="Times New Roman" w:eastAsia="Times New Roman" w:cs="Times New Roman"/>
              </w:rPr>
              <w:t>HJ</w:t>
            </w:r>
            <w:r>
              <w:rPr>
                <w:rFonts w:ascii="Times New Roman" w:hAnsi="Times New Roman" w:eastAsia="Times New Roman" w:cs="Times New Roman"/>
                <w:spacing w:val="1"/>
              </w:rPr>
              <w:t>2.2-2018</w:t>
            </w:r>
            <w:r>
              <w:rPr>
                <w:spacing w:val="1"/>
              </w:rPr>
              <w:t>）中相关要求，结合项目工程分析结果，选择正常排放的主要污染</w:t>
            </w:r>
            <w:r>
              <w:t>物及排放参数，采用</w:t>
            </w:r>
            <w:r>
              <w:rPr>
                <w:spacing w:val="-2"/>
              </w:rPr>
              <w:t>附录</w:t>
            </w:r>
            <w:r>
              <w:rPr>
                <w:spacing w:val="-55"/>
              </w:rPr>
              <w:t xml:space="preserve"> </w:t>
            </w:r>
            <w:r>
              <w:rPr>
                <w:rFonts w:ascii="Times New Roman" w:hAnsi="Times New Roman" w:eastAsia="Times New Roman" w:cs="Times New Roman"/>
                <w:spacing w:val="-2"/>
              </w:rPr>
              <w:t xml:space="preserve">A </w:t>
            </w:r>
            <w:r>
              <w:rPr>
                <w:spacing w:val="-2"/>
              </w:rPr>
              <w:t>推荐模型中的</w:t>
            </w:r>
            <w:r>
              <w:rPr>
                <w:spacing w:val="-58"/>
              </w:rPr>
              <w:t xml:space="preserve"> </w:t>
            </w:r>
            <w:r>
              <w:rPr>
                <w:rFonts w:ascii="Times New Roman" w:hAnsi="Times New Roman" w:eastAsia="Times New Roman" w:cs="Times New Roman"/>
                <w:spacing w:val="-2"/>
              </w:rPr>
              <w:t xml:space="preserve">AERSCREEN </w:t>
            </w:r>
            <w:r>
              <w:rPr>
                <w:spacing w:val="-2"/>
              </w:rPr>
              <w:t>估算模式计算项目污染源的最大环境影响，</w:t>
            </w:r>
            <w:r>
              <w:rPr>
                <w:spacing w:val="2"/>
              </w:rPr>
              <w:t>估算结果可知，无组织排放非甲烷总烃的最大</w:t>
            </w:r>
            <w:r>
              <w:rPr>
                <w:spacing w:val="1"/>
              </w:rPr>
              <w:t>落地浓度为</w:t>
            </w:r>
            <w:r>
              <w:rPr>
                <w:spacing w:val="-49"/>
              </w:rPr>
              <w:t xml:space="preserve"> </w:t>
            </w:r>
            <w:r>
              <w:rPr>
                <w:rFonts w:ascii="Times New Roman" w:hAnsi="Times New Roman" w:eastAsia="Times New Roman" w:cs="Times New Roman"/>
                <w:spacing w:val="1"/>
              </w:rPr>
              <w:t>0.49</w:t>
            </w:r>
            <w:r>
              <w:rPr>
                <w:rFonts w:ascii="Times New Roman" w:hAnsi="Times New Roman" w:eastAsia="Times New Roman" w:cs="Times New Roman"/>
              </w:rPr>
              <w:t>mg</w:t>
            </w:r>
            <w:r>
              <w:rPr>
                <w:rFonts w:ascii="Times New Roman" w:hAnsi="Times New Roman" w:eastAsia="Times New Roman" w:cs="Times New Roman"/>
                <w:spacing w:val="1"/>
              </w:rPr>
              <w:t>/m</w:t>
            </w:r>
            <w:r>
              <w:rPr>
                <w:rFonts w:ascii="Times New Roman" w:hAnsi="Times New Roman" w:eastAsia="Times New Roman" w:cs="Times New Roman"/>
                <w:spacing w:val="1"/>
                <w:position w:val="8"/>
                <w:sz w:val="15"/>
                <w:szCs w:val="15"/>
              </w:rPr>
              <w:t xml:space="preserve">3 </w:t>
            </w:r>
            <w:r>
              <w:rPr>
                <w:spacing w:val="1"/>
              </w:rPr>
              <w:t>，井场场</w:t>
            </w:r>
            <w:r>
              <w:t>界非甲烷总烃排放浓度满足《陆上石油天然气开采工业大气污染物排放标准》</w:t>
            </w:r>
            <w:r>
              <w:rPr>
                <w:spacing w:val="16"/>
              </w:rPr>
              <w:t xml:space="preserve"> </w:t>
            </w:r>
            <w:r>
              <w:rPr>
                <w:spacing w:val="-1"/>
              </w:rPr>
              <w:t>（</w:t>
            </w:r>
            <w:r>
              <w:rPr>
                <w:rFonts w:ascii="Times New Roman" w:hAnsi="Times New Roman" w:eastAsia="Times New Roman" w:cs="Times New Roman"/>
                <w:spacing w:val="-1"/>
              </w:rPr>
              <w:t>GB39728-2020</w:t>
            </w:r>
            <w:r>
              <w:rPr>
                <w:spacing w:val="-1"/>
              </w:rPr>
              <w:t>）企业边界污染物控制要求，井场内非甲烷总烃排放浓度满足《挥发性有机物无组织排放控制标准》（</w:t>
            </w:r>
            <w:r>
              <w:rPr>
                <w:rFonts w:ascii="Times New Roman" w:hAnsi="Times New Roman" w:eastAsia="Times New Roman" w:cs="Times New Roman"/>
                <w:spacing w:val="-1"/>
              </w:rPr>
              <w:t>GB37822-2019</w:t>
            </w:r>
            <w:r>
              <w:rPr>
                <w:spacing w:val="-1"/>
              </w:rPr>
              <w:t>）表</w:t>
            </w:r>
            <w:r>
              <w:rPr>
                <w:spacing w:val="-42"/>
              </w:rPr>
              <w:t xml:space="preserve"> </w:t>
            </w:r>
            <w:r>
              <w:rPr>
                <w:rFonts w:ascii="Times New Roman" w:hAnsi="Times New Roman" w:eastAsia="Times New Roman" w:cs="Times New Roman"/>
                <w:spacing w:val="-1"/>
              </w:rPr>
              <w:t xml:space="preserve">A.1 </w:t>
            </w:r>
            <w:r>
              <w:rPr>
                <w:spacing w:val="-1"/>
              </w:rPr>
              <w:t>要求，对周围</w:t>
            </w:r>
            <w:r>
              <w:rPr>
                <w:spacing w:val="-2"/>
              </w:rPr>
              <w:t>环境空气影响较小。</w:t>
            </w:r>
          </w:p>
          <w:p w14:paraId="7CA42F40">
            <w:pPr>
              <w:pStyle w:val="6"/>
              <w:spacing w:before="3" w:line="359" w:lineRule="auto"/>
              <w:ind w:left="107" w:right="102" w:firstLine="364"/>
            </w:pPr>
            <w:r>
              <w:rPr>
                <w:spacing w:val="-3"/>
              </w:rPr>
              <w:t>项目所处位置周围比较开阔，且试油时间较短，有利于污染物的扩散，</w:t>
            </w:r>
            <w:r>
              <w:rPr>
                <w:spacing w:val="-4"/>
              </w:rPr>
              <w:t>同时</w:t>
            </w:r>
            <w:r>
              <w:rPr>
                <w:spacing w:val="-1"/>
              </w:rPr>
              <w:t>距离周围敏感点距离较远，可有效降低对周围环境的影响。</w:t>
            </w:r>
          </w:p>
          <w:p w14:paraId="0EAEF2EF">
            <w:pPr>
              <w:pStyle w:val="6"/>
              <w:spacing w:line="219" w:lineRule="auto"/>
              <w:ind w:left="591"/>
            </w:pPr>
            <w:r>
              <w:rPr>
                <w:rFonts w:ascii="Times New Roman" w:hAnsi="Times New Roman" w:eastAsia="Times New Roman" w:cs="Times New Roman"/>
                <w:spacing w:val="-8"/>
              </w:rPr>
              <w:t>5</w:t>
            </w:r>
            <w:r>
              <w:rPr>
                <w:rFonts w:ascii="Times New Roman" w:hAnsi="Times New Roman" w:eastAsia="Times New Roman" w:cs="Times New Roman"/>
                <w:spacing w:val="-33"/>
              </w:rPr>
              <w:t xml:space="preserve"> </w:t>
            </w:r>
            <w:r>
              <w:rPr>
                <w:spacing w:val="-8"/>
              </w:rPr>
              <w:t>、伴生气</w:t>
            </w:r>
          </w:p>
          <w:p w14:paraId="4525C10D">
            <w:pPr>
              <w:pStyle w:val="6"/>
              <w:spacing w:before="182" w:line="359" w:lineRule="auto"/>
              <w:ind w:left="107" w:right="41" w:firstLine="481"/>
            </w:pPr>
            <w:r>
              <w:rPr>
                <w:spacing w:val="1"/>
              </w:rPr>
              <w:t>根据勘探井钻探结果，如果采出液中存在伴生气（主</w:t>
            </w:r>
            <w:r>
              <w:t>要为天然气及少量非</w:t>
            </w:r>
            <w:r>
              <w:rPr>
                <w:spacing w:val="1"/>
              </w:rPr>
              <w:t>甲烷总烃）则需要就地放喷燃烧。采出液经井场设置的两</w:t>
            </w:r>
            <w:r>
              <w:t>相分离器处理，液体</w:t>
            </w:r>
            <w:r>
              <w:rPr>
                <w:spacing w:val="-4"/>
              </w:rPr>
              <w:t>进入高架卧式防腐储液罐，气体经管线输送至放喷火炬，火炬为</w:t>
            </w:r>
            <w:r>
              <w:rPr>
                <w:spacing w:val="-37"/>
              </w:rPr>
              <w:t xml:space="preserve"> </w:t>
            </w:r>
            <w:r>
              <w:rPr>
                <w:rFonts w:ascii="Times New Roman" w:hAnsi="Times New Roman" w:eastAsia="Times New Roman" w:cs="Times New Roman"/>
                <w:spacing w:val="-4"/>
              </w:rPr>
              <w:t>8m</w:t>
            </w:r>
            <w:r>
              <w:rPr>
                <w:rFonts w:ascii="Times New Roman" w:hAnsi="Times New Roman" w:eastAsia="Times New Roman" w:cs="Times New Roman"/>
                <w:spacing w:val="16"/>
                <w:w w:val="101"/>
              </w:rPr>
              <w:t xml:space="preserve"> </w:t>
            </w:r>
            <w:r>
              <w:rPr>
                <w:spacing w:val="-4"/>
              </w:rPr>
              <w:t>高排气筒，</w:t>
            </w:r>
            <w:r>
              <w:rPr>
                <w:spacing w:val="1"/>
              </w:rPr>
              <w:t>顶端设自动点火装置并配备防回火装置，将气体于火炬排放口</w:t>
            </w:r>
            <w:r>
              <w:t>处点燃，燃烧产</w:t>
            </w:r>
            <w:r>
              <w:rPr>
                <w:spacing w:val="-3"/>
              </w:rPr>
              <w:t>物主要为二氧化碳等。放喷火炬设置于井口</w:t>
            </w:r>
            <w:r>
              <w:rPr>
                <w:spacing w:val="-32"/>
              </w:rPr>
              <w:t xml:space="preserve"> </w:t>
            </w:r>
            <w:r>
              <w:rPr>
                <w:rFonts w:ascii="Times New Roman" w:hAnsi="Times New Roman" w:eastAsia="Times New Roman" w:cs="Times New Roman"/>
                <w:spacing w:val="-3"/>
              </w:rPr>
              <w:t>50m</w:t>
            </w:r>
            <w:r>
              <w:rPr>
                <w:rFonts w:ascii="Times New Roman" w:hAnsi="Times New Roman" w:eastAsia="Times New Roman" w:cs="Times New Roman"/>
                <w:spacing w:val="35"/>
              </w:rPr>
              <w:t xml:space="preserve"> </w:t>
            </w:r>
            <w:r>
              <w:rPr>
                <w:spacing w:val="-3"/>
              </w:rPr>
              <w:t>以外，距两相分离器排气管线</w:t>
            </w:r>
            <w:r>
              <w:rPr>
                <w:spacing w:val="-1"/>
              </w:rPr>
              <w:t>及放喷管线外的各种设施距离不小于</w:t>
            </w:r>
            <w:r>
              <w:rPr>
                <w:spacing w:val="-49"/>
              </w:rPr>
              <w:t xml:space="preserve"> </w:t>
            </w:r>
            <w:r>
              <w:rPr>
                <w:rFonts w:ascii="Times New Roman" w:hAnsi="Times New Roman" w:eastAsia="Times New Roman" w:cs="Times New Roman"/>
                <w:spacing w:val="-1"/>
              </w:rPr>
              <w:t>20m</w:t>
            </w:r>
            <w:r>
              <w:rPr>
                <w:spacing w:val="-1"/>
              </w:rPr>
              <w:t>。</w:t>
            </w:r>
          </w:p>
          <w:p w14:paraId="4F380123">
            <w:pPr>
              <w:pStyle w:val="6"/>
              <w:spacing w:line="359" w:lineRule="auto"/>
              <w:ind w:left="108" w:right="105" w:firstLine="483"/>
            </w:pPr>
            <w:r>
              <w:t>项目放喷燃烧时间通常为</w:t>
            </w:r>
            <w:r>
              <w:rPr>
                <w:spacing w:val="-56"/>
              </w:rPr>
              <w:t xml:space="preserve"> </w:t>
            </w:r>
            <w:r>
              <w:rPr>
                <w:rFonts w:ascii="Times New Roman" w:hAnsi="Times New Roman" w:eastAsia="Times New Roman" w:cs="Times New Roman"/>
              </w:rPr>
              <w:t>4~6</w:t>
            </w:r>
            <w:r>
              <w:rPr>
                <w:rFonts w:ascii="Times New Roman" w:hAnsi="Times New Roman" w:eastAsia="Times New Roman" w:cs="Times New Roman"/>
                <w:spacing w:val="16"/>
              </w:rPr>
              <w:t xml:space="preserve"> </w:t>
            </w:r>
            <w:r>
              <w:t>小时，属于短</w:t>
            </w:r>
            <w:r>
              <w:rPr>
                <w:spacing w:val="-1"/>
              </w:rPr>
              <w:t>时排放，故产生放喷燃烧废气量较少，不做定量分析。</w:t>
            </w:r>
          </w:p>
          <w:p w14:paraId="5336B747">
            <w:pPr>
              <w:pStyle w:val="6"/>
              <w:spacing w:line="219" w:lineRule="auto"/>
              <w:ind w:left="592"/>
            </w:pPr>
            <w:r>
              <w:rPr>
                <w:b/>
                <w:bCs/>
                <w:spacing w:val="-4"/>
              </w:rPr>
              <w:t>二、施工期废水影响分析</w:t>
            </w:r>
          </w:p>
          <w:p w14:paraId="1F0DDF7B">
            <w:pPr>
              <w:pStyle w:val="6"/>
              <w:spacing w:before="183" w:line="219" w:lineRule="auto"/>
              <w:ind w:left="592"/>
            </w:pPr>
            <w:r>
              <w:rPr>
                <w:spacing w:val="1"/>
              </w:rPr>
              <w:t>项目钻井过程中使用水基泥浆，采用泥浆不</w:t>
            </w:r>
            <w:r>
              <w:t>落地循环系统装置，钻井泥浆</w:t>
            </w:r>
          </w:p>
        </w:tc>
      </w:tr>
    </w:tbl>
    <w:p w14:paraId="1B3C4B42">
      <w:pPr>
        <w:rPr>
          <w:rFonts w:ascii="Arial"/>
          <w:sz w:val="21"/>
        </w:rPr>
      </w:pPr>
    </w:p>
    <w:p w14:paraId="69B24CF2">
      <w:pPr>
        <w:rPr>
          <w:rFonts w:ascii="Arial" w:hAnsi="Arial" w:eastAsia="Arial" w:cs="Arial"/>
          <w:sz w:val="21"/>
          <w:szCs w:val="21"/>
        </w:rPr>
        <w:sectPr>
          <w:footerReference r:id="rId66" w:type="default"/>
          <w:pgSz w:w="11906" w:h="16839"/>
          <w:pgMar w:top="400" w:right="1410" w:bottom="1240" w:left="1579" w:header="0" w:footer="1078" w:gutter="0"/>
          <w:cols w:space="720" w:num="1"/>
        </w:sectPr>
      </w:pPr>
    </w:p>
    <w:p w14:paraId="2A56DE10">
      <w:pPr>
        <w:spacing w:before="56"/>
      </w:pPr>
    </w:p>
    <w:p w14:paraId="444C1F44">
      <w:pPr>
        <w:spacing w:before="56"/>
      </w:pPr>
    </w:p>
    <w:p w14:paraId="5576E96E">
      <w:pPr>
        <w:spacing w:before="55"/>
      </w:pPr>
    </w:p>
    <w:p w14:paraId="66D22C27">
      <w:pPr>
        <w:spacing w:before="55"/>
      </w:pPr>
    </w:p>
    <w:tbl>
      <w:tblPr>
        <w:tblStyle w:val="5"/>
        <w:tblW w:w="8901"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5"/>
        <w:gridCol w:w="1070"/>
        <w:gridCol w:w="1688"/>
        <w:gridCol w:w="563"/>
        <w:gridCol w:w="591"/>
        <w:gridCol w:w="564"/>
        <w:gridCol w:w="1126"/>
        <w:gridCol w:w="1412"/>
        <w:gridCol w:w="1392"/>
      </w:tblGrid>
      <w:tr w14:paraId="4FA2C1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91" w:hRule="atLeast"/>
        </w:trPr>
        <w:tc>
          <w:tcPr>
            <w:tcW w:w="495" w:type="dxa"/>
            <w:vMerge w:val="restart"/>
            <w:tcBorders>
              <w:top w:val="single" w:color="000000" w:sz="6" w:space="0"/>
              <w:left w:val="single" w:color="000000" w:sz="6" w:space="0"/>
              <w:bottom w:val="nil"/>
              <w:right w:val="single" w:color="000000" w:sz="2" w:space="0"/>
            </w:tcBorders>
            <w:vAlign w:val="top"/>
          </w:tcPr>
          <w:p w14:paraId="08180EA9">
            <w:pPr>
              <w:rPr>
                <w:rFonts w:ascii="Arial"/>
                <w:sz w:val="21"/>
              </w:rPr>
            </w:pPr>
          </w:p>
        </w:tc>
        <w:tc>
          <w:tcPr>
            <w:tcW w:w="8406" w:type="dxa"/>
            <w:gridSpan w:val="8"/>
            <w:tcBorders>
              <w:top w:val="single" w:color="000000" w:sz="6" w:space="0"/>
              <w:left w:val="single" w:color="000000" w:sz="2" w:space="0"/>
              <w:bottom w:val="single" w:color="000000" w:sz="10" w:space="0"/>
              <w:right w:val="single" w:color="000000" w:sz="6" w:space="0"/>
            </w:tcBorders>
            <w:vAlign w:val="top"/>
          </w:tcPr>
          <w:p w14:paraId="5BFDC25C">
            <w:pPr>
              <w:pStyle w:val="6"/>
              <w:spacing w:before="40" w:line="359" w:lineRule="auto"/>
              <w:ind w:left="108" w:right="102"/>
              <w:jc w:val="both"/>
            </w:pPr>
            <w:r>
              <w:rPr>
                <w:spacing w:val="1"/>
              </w:rPr>
              <w:t>循环使用，钻井过程中产生的废水随同废弃泥浆、钻</w:t>
            </w:r>
            <w:r>
              <w:t>井岩屑收集至泥浆不落地</w:t>
            </w:r>
            <w:r>
              <w:rPr>
                <w:spacing w:val="-1"/>
              </w:rPr>
              <w:t>循环系统装置旁的</w:t>
            </w:r>
            <w:r>
              <w:rPr>
                <w:spacing w:val="-50"/>
              </w:rPr>
              <w:t xml:space="preserve"> </w:t>
            </w:r>
            <w:r>
              <w:rPr>
                <w:rFonts w:ascii="Times New Roman" w:hAnsi="Times New Roman" w:eastAsia="Times New Roman" w:cs="Times New Roman"/>
                <w:spacing w:val="-1"/>
              </w:rPr>
              <w:t xml:space="preserve">3 </w:t>
            </w:r>
            <w:r>
              <w:rPr>
                <w:spacing w:val="-1"/>
              </w:rPr>
              <w:t>具</w:t>
            </w:r>
            <w:r>
              <w:rPr>
                <w:spacing w:val="-50"/>
              </w:rPr>
              <w:t xml:space="preserve"> </w:t>
            </w:r>
            <w:r>
              <w:rPr>
                <w:rFonts w:ascii="Times New Roman" w:hAnsi="Times New Roman" w:eastAsia="Times New Roman" w:cs="Times New Roman"/>
                <w:spacing w:val="-1"/>
              </w:rPr>
              <w:t>30m</w:t>
            </w:r>
            <w:r>
              <w:rPr>
                <w:rFonts w:ascii="Times New Roman" w:hAnsi="Times New Roman" w:eastAsia="Times New Roman" w:cs="Times New Roman"/>
                <w:spacing w:val="-1"/>
                <w:position w:val="8"/>
                <w:sz w:val="15"/>
                <w:szCs w:val="15"/>
              </w:rPr>
              <w:t>3</w:t>
            </w:r>
            <w:r>
              <w:rPr>
                <w:spacing w:val="-1"/>
              </w:rPr>
              <w:t>（</w:t>
            </w:r>
            <w:r>
              <w:rPr>
                <w:rFonts w:ascii="Times New Roman" w:hAnsi="Times New Roman" w:eastAsia="Times New Roman" w:cs="Times New Roman"/>
                <w:spacing w:val="-1"/>
              </w:rPr>
              <w:t>2×2.5×6m</w:t>
            </w:r>
            <w:r>
              <w:rPr>
                <w:spacing w:val="-1"/>
              </w:rPr>
              <w:t>）、壁厚约</w:t>
            </w:r>
            <w:r>
              <w:rPr>
                <w:spacing w:val="-48"/>
              </w:rPr>
              <w:t xml:space="preserve"> </w:t>
            </w:r>
            <w:r>
              <w:rPr>
                <w:rFonts w:ascii="Times New Roman" w:hAnsi="Times New Roman" w:eastAsia="Times New Roman" w:cs="Times New Roman"/>
                <w:spacing w:val="-1"/>
              </w:rPr>
              <w:t>5m</w:t>
            </w:r>
            <w:r>
              <w:rPr>
                <w:rFonts w:ascii="Times New Roman" w:hAnsi="Times New Roman" w:eastAsia="Times New Roman" w:cs="Times New Roman"/>
                <w:spacing w:val="-2"/>
              </w:rPr>
              <w:t>m</w:t>
            </w:r>
            <w:r>
              <w:rPr>
                <w:rFonts w:ascii="Times New Roman" w:hAnsi="Times New Roman" w:eastAsia="Times New Roman" w:cs="Times New Roman"/>
                <w:spacing w:val="29"/>
                <w:w w:val="101"/>
              </w:rPr>
              <w:t xml:space="preserve"> </w:t>
            </w:r>
            <w:r>
              <w:rPr>
                <w:spacing w:val="-2"/>
              </w:rPr>
              <w:t>的可移动废水罐临时</w:t>
            </w:r>
            <w:r>
              <w:t>贮存，钻井废水产生量共</w:t>
            </w:r>
            <w:r>
              <w:rPr>
                <w:spacing w:val="-51"/>
              </w:rPr>
              <w:t xml:space="preserve"> </w:t>
            </w:r>
            <w:r>
              <w:rPr>
                <w:rFonts w:ascii="Times New Roman" w:hAnsi="Times New Roman" w:eastAsia="Times New Roman" w:cs="Times New Roman"/>
              </w:rPr>
              <w:t>536m</w:t>
            </w:r>
            <w:r>
              <w:rPr>
                <w:rFonts w:ascii="Times New Roman" w:hAnsi="Times New Roman" w:eastAsia="Times New Roman" w:cs="Times New Roman"/>
                <w:position w:val="8"/>
                <w:sz w:val="15"/>
                <w:szCs w:val="15"/>
              </w:rPr>
              <w:t>3</w:t>
            </w:r>
            <w:r>
              <w:rPr>
                <w:rFonts w:ascii="Times New Roman" w:hAnsi="Times New Roman" w:eastAsia="Times New Roman" w:cs="Times New Roman"/>
              </w:rPr>
              <w:t>/</w:t>
            </w:r>
            <w:r>
              <w:t>钻井期，随</w:t>
            </w:r>
            <w:r>
              <w:rPr>
                <w:spacing w:val="-1"/>
              </w:rPr>
              <w:t>同废弃泥浆、钻井岩屑定期拉运至内蒙古众宁环保科技有限公司油气田废弃物集中处理厂处理。</w:t>
            </w:r>
          </w:p>
          <w:p w14:paraId="3572582F">
            <w:pPr>
              <w:pStyle w:val="6"/>
              <w:spacing w:before="1" w:line="358" w:lineRule="auto"/>
              <w:ind w:left="104" w:right="32" w:firstLine="488"/>
              <w:jc w:val="both"/>
            </w:pPr>
            <w:r>
              <w:rPr>
                <w:spacing w:val="1"/>
              </w:rPr>
              <w:t>项目劳动定员</w:t>
            </w:r>
            <w:r>
              <w:rPr>
                <w:rFonts w:ascii="Times New Roman" w:hAnsi="Times New Roman" w:eastAsia="Times New Roman" w:cs="Times New Roman"/>
                <w:spacing w:val="1"/>
              </w:rPr>
              <w:t xml:space="preserve">40 </w:t>
            </w:r>
            <w:r>
              <w:rPr>
                <w:spacing w:val="1"/>
              </w:rPr>
              <w:t>人，勘探期为</w:t>
            </w:r>
            <w:r>
              <w:rPr>
                <w:spacing w:val="-51"/>
              </w:rPr>
              <w:t xml:space="preserve"> </w:t>
            </w:r>
            <w:r>
              <w:rPr>
                <w:rFonts w:ascii="Times New Roman" w:hAnsi="Times New Roman" w:eastAsia="Times New Roman" w:cs="Times New Roman"/>
                <w:spacing w:val="1"/>
              </w:rPr>
              <w:t xml:space="preserve">90 </w:t>
            </w:r>
            <w:r>
              <w:rPr>
                <w:spacing w:val="1"/>
              </w:rPr>
              <w:t>天，按</w:t>
            </w:r>
            <w:r>
              <w:rPr>
                <w:spacing w:val="-45"/>
              </w:rPr>
              <w:t xml:space="preserve"> </w:t>
            </w:r>
            <w:r>
              <w:rPr>
                <w:rFonts w:ascii="Times New Roman" w:hAnsi="Times New Roman" w:eastAsia="Times New Roman" w:cs="Times New Roman"/>
              </w:rPr>
              <w:t>80L/d·</w:t>
            </w:r>
            <w:r>
              <w:t>人计算，则生活用水量为</w:t>
            </w:r>
            <w:r>
              <w:rPr>
                <w:rFonts w:ascii="Times New Roman" w:hAnsi="Times New Roman" w:eastAsia="Times New Roman" w:cs="Times New Roman"/>
                <w:spacing w:val="1"/>
              </w:rPr>
              <w:t>288m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rPr>
              <w:t>/</w:t>
            </w:r>
            <w:r>
              <w:rPr>
                <w:spacing w:val="1"/>
              </w:rPr>
              <w:t>勘探期，勘探期产生的盥洗废水产生</w:t>
            </w:r>
            <w:r>
              <w:t>量按用水量的</w:t>
            </w:r>
            <w:r>
              <w:rPr>
                <w:spacing w:val="-43"/>
              </w:rPr>
              <w:t xml:space="preserve"> </w:t>
            </w:r>
            <w:r>
              <w:rPr>
                <w:rFonts w:ascii="Times New Roman" w:hAnsi="Times New Roman" w:eastAsia="Times New Roman" w:cs="Times New Roman"/>
              </w:rPr>
              <w:t>80%</w:t>
            </w:r>
            <w:r>
              <w:t>计，污水排放量</w:t>
            </w:r>
            <w:r>
              <w:rPr>
                <w:spacing w:val="-3"/>
              </w:rPr>
              <w:t>为</w:t>
            </w:r>
            <w:r>
              <w:rPr>
                <w:spacing w:val="-55"/>
              </w:rPr>
              <w:t xml:space="preserve"> </w:t>
            </w:r>
            <w:r>
              <w:rPr>
                <w:rFonts w:ascii="Times New Roman" w:hAnsi="Times New Roman" w:eastAsia="Times New Roman" w:cs="Times New Roman"/>
                <w:spacing w:val="-3"/>
              </w:rPr>
              <w:t>230.4m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rPr>
              <w:t>/</w:t>
            </w:r>
            <w:r>
              <w:rPr>
                <w:spacing w:val="-3"/>
              </w:rPr>
              <w:t>勘探期，盥洗废水主要污染</w:t>
            </w:r>
            <w:r>
              <w:rPr>
                <w:spacing w:val="-4"/>
              </w:rPr>
              <w:t>物为</w:t>
            </w:r>
            <w:r>
              <w:rPr>
                <w:spacing w:val="-60"/>
              </w:rPr>
              <w:t xml:space="preserve"> </w:t>
            </w:r>
            <w:r>
              <w:rPr>
                <w:rFonts w:ascii="Times New Roman" w:hAnsi="Times New Roman" w:eastAsia="Times New Roman" w:cs="Times New Roman"/>
                <w:spacing w:val="-4"/>
              </w:rPr>
              <w:t>pH</w:t>
            </w:r>
            <w:r>
              <w:rPr>
                <w:spacing w:val="-4"/>
              </w:rPr>
              <w:t>：</w:t>
            </w:r>
            <w:r>
              <w:rPr>
                <w:rFonts w:ascii="Times New Roman" w:hAnsi="Times New Roman" w:eastAsia="Times New Roman" w:cs="Times New Roman"/>
                <w:spacing w:val="-4"/>
              </w:rPr>
              <w:t>6~9</w:t>
            </w:r>
            <w:r>
              <w:rPr>
                <w:spacing w:val="-4"/>
              </w:rPr>
              <w:t>，</w:t>
            </w:r>
            <w:r>
              <w:rPr>
                <w:rFonts w:ascii="Times New Roman" w:hAnsi="Times New Roman" w:eastAsia="Times New Roman" w:cs="Times New Roman"/>
                <w:spacing w:val="-4"/>
              </w:rPr>
              <w:t>COD</w:t>
            </w:r>
            <w:r>
              <w:rPr>
                <w:spacing w:val="-4"/>
              </w:rPr>
              <w:t>：</w:t>
            </w:r>
            <w:r>
              <w:rPr>
                <w:rFonts w:ascii="Times New Roman" w:hAnsi="Times New Roman" w:eastAsia="Times New Roman" w:cs="Times New Roman"/>
                <w:spacing w:val="-4"/>
              </w:rPr>
              <w:t>400mg/L</w:t>
            </w:r>
            <w:r>
              <w:rPr>
                <w:spacing w:val="-4"/>
              </w:rPr>
              <w:t>，</w:t>
            </w:r>
            <w:r>
              <w:rPr>
                <w:rFonts w:ascii="Times New Roman" w:hAnsi="Times New Roman" w:eastAsia="Times New Roman" w:cs="Times New Roman"/>
                <w:spacing w:val="-4"/>
              </w:rPr>
              <w:t>BOD</w:t>
            </w:r>
            <w:r>
              <w:rPr>
                <w:rFonts w:ascii="Times New Roman" w:hAnsi="Times New Roman" w:eastAsia="Times New Roman" w:cs="Times New Roman"/>
                <w:spacing w:val="-4"/>
                <w:position w:val="-1"/>
                <w:sz w:val="15"/>
                <w:szCs w:val="15"/>
              </w:rPr>
              <w:t>5</w:t>
            </w:r>
            <w:r>
              <w:rPr>
                <w:spacing w:val="-4"/>
              </w:rPr>
              <w:t>：</w:t>
            </w:r>
            <w:r>
              <w:t xml:space="preserve"> </w:t>
            </w:r>
            <w:r>
              <w:rPr>
                <w:rFonts w:ascii="Times New Roman" w:hAnsi="Times New Roman" w:eastAsia="Times New Roman" w:cs="Times New Roman"/>
                <w:spacing w:val="-3"/>
              </w:rPr>
              <w:t>200mg/L</w:t>
            </w:r>
            <w:r>
              <w:rPr>
                <w:rFonts w:ascii="Times New Roman" w:hAnsi="Times New Roman" w:eastAsia="Times New Roman" w:cs="Times New Roman"/>
                <w:spacing w:val="-31"/>
              </w:rPr>
              <w:t xml:space="preserve"> </w:t>
            </w:r>
            <w:r>
              <w:rPr>
                <w:spacing w:val="-3"/>
              </w:rPr>
              <w:t>，</w:t>
            </w:r>
            <w:r>
              <w:rPr>
                <w:rFonts w:ascii="Times New Roman" w:hAnsi="Times New Roman" w:eastAsia="Times New Roman" w:cs="Times New Roman"/>
                <w:spacing w:val="-3"/>
              </w:rPr>
              <w:t>SS</w:t>
            </w:r>
            <w:r>
              <w:rPr>
                <w:spacing w:val="-3"/>
              </w:rPr>
              <w:t>：</w:t>
            </w:r>
            <w:r>
              <w:rPr>
                <w:rFonts w:ascii="Times New Roman" w:hAnsi="Times New Roman" w:eastAsia="Times New Roman" w:cs="Times New Roman"/>
                <w:spacing w:val="-3"/>
              </w:rPr>
              <w:t>250mg/L</w:t>
            </w:r>
            <w:r>
              <w:rPr>
                <w:rFonts w:ascii="Times New Roman" w:hAnsi="Times New Roman" w:eastAsia="Times New Roman" w:cs="Times New Roman"/>
                <w:spacing w:val="-28"/>
              </w:rPr>
              <w:t xml:space="preserve"> </w:t>
            </w:r>
            <w:r>
              <w:rPr>
                <w:spacing w:val="-3"/>
              </w:rPr>
              <w:t>，氨氮：</w:t>
            </w:r>
            <w:r>
              <w:rPr>
                <w:rFonts w:ascii="Times New Roman" w:hAnsi="Times New Roman" w:eastAsia="Times New Roman" w:cs="Times New Roman"/>
                <w:spacing w:val="-3"/>
              </w:rPr>
              <w:t>25mg/L</w:t>
            </w:r>
            <w:r>
              <w:rPr>
                <w:rFonts w:ascii="Times New Roman" w:hAnsi="Times New Roman" w:eastAsia="Times New Roman" w:cs="Times New Roman"/>
                <w:spacing w:val="-31"/>
              </w:rPr>
              <w:t xml:space="preserve"> </w:t>
            </w:r>
            <w:r>
              <w:rPr>
                <w:spacing w:val="-3"/>
              </w:rPr>
              <w:t>，排入井场设置环保厕所，定</w:t>
            </w:r>
            <w:r>
              <w:rPr>
                <w:spacing w:val="-4"/>
              </w:rPr>
              <w:t>期清掏。</w:t>
            </w:r>
          </w:p>
          <w:p w14:paraId="40A6B092">
            <w:pPr>
              <w:pStyle w:val="6"/>
              <w:spacing w:before="6" w:line="358" w:lineRule="auto"/>
              <w:ind w:left="110" w:right="102" w:firstLine="481"/>
            </w:pPr>
            <w:r>
              <w:rPr>
                <w:spacing w:val="1"/>
              </w:rPr>
              <w:t>项目试油阶段井场不设油水分离设施，试油</w:t>
            </w:r>
            <w:r>
              <w:t>阶段无废水产生及排放，采出</w:t>
            </w:r>
            <w:r>
              <w:rPr>
                <w:spacing w:val="-1"/>
              </w:rPr>
              <w:t>液含有一定水量，随原油一同拉至临河联合站处理。</w:t>
            </w:r>
          </w:p>
          <w:p w14:paraId="46E70F39">
            <w:pPr>
              <w:pStyle w:val="6"/>
              <w:spacing w:line="218" w:lineRule="auto"/>
              <w:ind w:left="591"/>
            </w:pPr>
            <w:r>
              <w:rPr>
                <w:spacing w:val="-1"/>
              </w:rPr>
              <w:t>综上，项目产生的废水均妥善处理，不会对环境产生影响。</w:t>
            </w:r>
          </w:p>
          <w:p w14:paraId="34E87EE7">
            <w:pPr>
              <w:pStyle w:val="6"/>
              <w:spacing w:before="184" w:line="220" w:lineRule="auto"/>
              <w:ind w:left="588"/>
            </w:pPr>
            <w:r>
              <w:rPr>
                <w:b/>
                <w:bCs/>
                <w:spacing w:val="-3"/>
              </w:rPr>
              <w:t>三、施工期噪声影响分析</w:t>
            </w:r>
          </w:p>
          <w:p w14:paraId="1DF1C593">
            <w:pPr>
              <w:pStyle w:val="6"/>
              <w:spacing w:before="182" w:line="220" w:lineRule="auto"/>
              <w:ind w:left="607"/>
            </w:pPr>
            <w:r>
              <w:rPr>
                <w:rFonts w:ascii="Times New Roman" w:hAnsi="Times New Roman" w:eastAsia="Times New Roman" w:cs="Times New Roman"/>
                <w:spacing w:val="-10"/>
              </w:rPr>
              <w:t>1</w:t>
            </w:r>
            <w:r>
              <w:rPr>
                <w:rFonts w:ascii="Times New Roman" w:hAnsi="Times New Roman" w:eastAsia="Times New Roman" w:cs="Times New Roman"/>
                <w:spacing w:val="-30"/>
              </w:rPr>
              <w:t xml:space="preserve"> </w:t>
            </w:r>
            <w:r>
              <w:rPr>
                <w:spacing w:val="-10"/>
              </w:rPr>
              <w:t>、钻井阶段</w:t>
            </w:r>
          </w:p>
          <w:p w14:paraId="326F3DFD">
            <w:pPr>
              <w:pStyle w:val="6"/>
              <w:spacing w:before="181" w:line="359" w:lineRule="auto"/>
              <w:ind w:left="108" w:right="100" w:firstLine="480"/>
            </w:pPr>
            <w:r>
              <w:rPr>
                <w:spacing w:val="1"/>
              </w:rPr>
              <w:t>钻井阶段产生的噪声主要为机械噪声与作业噪声。机械噪</w:t>
            </w:r>
            <w:r>
              <w:t>声主要来源于大</w:t>
            </w:r>
            <w:r>
              <w:rPr>
                <w:spacing w:val="1"/>
              </w:rPr>
              <w:t>型柴油机、钻机、钻井泵及各种机械转动产生的噪声；作</w:t>
            </w:r>
            <w:r>
              <w:t>业噪声主要来源于固井作业、下套管、起下钻具、起钻时吊环与水龙</w:t>
            </w:r>
            <w:r>
              <w:rPr>
                <w:spacing w:val="-1"/>
              </w:rPr>
              <w:t>头的撞击等发出的噪声。</w:t>
            </w:r>
          </w:p>
          <w:p w14:paraId="06D92DDA">
            <w:pPr>
              <w:pStyle w:val="6"/>
              <w:spacing w:before="3" w:line="358" w:lineRule="auto"/>
              <w:ind w:left="131" w:right="3" w:firstLine="457"/>
              <w:jc w:val="both"/>
            </w:pPr>
            <w:r>
              <w:rPr>
                <w:spacing w:val="-4"/>
              </w:rPr>
              <w:t>根据《钻井作业现场健康危害因素及预防》（中国石油和化工标准与质量）</w:t>
            </w:r>
            <w:r>
              <w:rPr>
                <w:spacing w:val="-5"/>
              </w:rPr>
              <w:t>中钻机噪声危害场所监测结果可知，钻井作业现场声源强度一般都在</w:t>
            </w:r>
            <w:r>
              <w:rPr>
                <w:spacing w:val="-45"/>
              </w:rPr>
              <w:t xml:space="preserve"> </w:t>
            </w:r>
            <w:r>
              <w:rPr>
                <w:rFonts w:ascii="Times New Roman" w:hAnsi="Times New Roman" w:eastAsia="Times New Roman" w:cs="Times New Roman"/>
                <w:spacing w:val="-5"/>
              </w:rPr>
              <w:t>80d</w:t>
            </w:r>
            <w:r>
              <w:rPr>
                <w:rFonts w:ascii="Times New Roman" w:hAnsi="Times New Roman" w:eastAsia="Times New Roman" w:cs="Times New Roman"/>
                <w:spacing w:val="-6"/>
              </w:rPr>
              <w:t>B</w:t>
            </w:r>
            <w:r>
              <w:rPr>
                <w:spacing w:val="-6"/>
              </w:rPr>
              <w:t>（</w:t>
            </w:r>
            <w:r>
              <w:rPr>
                <w:rFonts w:ascii="Times New Roman" w:hAnsi="Times New Roman" w:eastAsia="Times New Roman" w:cs="Times New Roman"/>
                <w:spacing w:val="-6"/>
              </w:rPr>
              <w:t>A</w:t>
            </w:r>
            <w:r>
              <w:rPr>
                <w:spacing w:val="-6"/>
              </w:rPr>
              <w:t>）</w:t>
            </w:r>
            <w:r>
              <w:rPr>
                <w:spacing w:val="-3"/>
              </w:rPr>
              <w:t>以上，具体噪声源强见下表。</w:t>
            </w:r>
          </w:p>
          <w:p w14:paraId="7D711877">
            <w:pPr>
              <w:spacing w:line="208" w:lineRule="auto"/>
              <w:ind w:left="2788"/>
              <w:rPr>
                <w:rFonts w:ascii="黑体" w:hAnsi="黑体" w:eastAsia="黑体" w:cs="黑体"/>
                <w:sz w:val="24"/>
                <w:szCs w:val="24"/>
              </w:rPr>
            </w:pPr>
            <w:r>
              <w:rPr>
                <w:rFonts w:ascii="黑体" w:hAnsi="黑体" w:eastAsia="黑体" w:cs="黑体"/>
                <w:spacing w:val="-1"/>
                <w:sz w:val="24"/>
                <w:szCs w:val="24"/>
              </w:rPr>
              <w:t>表</w:t>
            </w:r>
            <w:r>
              <w:rPr>
                <w:rFonts w:ascii="Times New Roman" w:hAnsi="Times New Roman" w:eastAsia="Times New Roman" w:cs="Times New Roman"/>
                <w:spacing w:val="-1"/>
                <w:sz w:val="24"/>
                <w:szCs w:val="24"/>
              </w:rPr>
              <w:t xml:space="preserve">4-3  </w:t>
            </w:r>
            <w:r>
              <w:rPr>
                <w:rFonts w:ascii="黑体" w:hAnsi="黑体" w:eastAsia="黑体" w:cs="黑体"/>
                <w:spacing w:val="-1"/>
                <w:sz w:val="24"/>
                <w:szCs w:val="24"/>
              </w:rPr>
              <w:t>钻井阶段噪声源强表</w:t>
            </w:r>
          </w:p>
        </w:tc>
      </w:tr>
      <w:tr w14:paraId="5C2741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495" w:type="dxa"/>
            <w:vMerge w:val="continue"/>
            <w:tcBorders>
              <w:top w:val="nil"/>
              <w:left w:val="single" w:color="000000" w:sz="6" w:space="0"/>
              <w:bottom w:val="nil"/>
              <w:right w:val="single" w:color="000000" w:sz="2" w:space="0"/>
            </w:tcBorders>
            <w:vAlign w:val="top"/>
          </w:tcPr>
          <w:p w14:paraId="564AF162">
            <w:pPr>
              <w:rPr>
                <w:rFonts w:ascii="Arial"/>
                <w:sz w:val="21"/>
              </w:rPr>
            </w:pPr>
          </w:p>
        </w:tc>
        <w:tc>
          <w:tcPr>
            <w:tcW w:w="1070" w:type="dxa"/>
            <w:vMerge w:val="restart"/>
            <w:tcBorders>
              <w:top w:val="single" w:color="000000" w:sz="10" w:space="0"/>
              <w:left w:val="single" w:color="000000" w:sz="2" w:space="0"/>
              <w:bottom w:val="nil"/>
              <w:right w:val="single" w:color="000000" w:sz="2" w:space="0"/>
            </w:tcBorders>
            <w:vAlign w:val="top"/>
          </w:tcPr>
          <w:p w14:paraId="32A26EDD">
            <w:pPr>
              <w:spacing w:line="261" w:lineRule="auto"/>
              <w:rPr>
                <w:rFonts w:ascii="Arial"/>
                <w:sz w:val="21"/>
              </w:rPr>
            </w:pPr>
          </w:p>
          <w:p w14:paraId="520485AA">
            <w:pPr>
              <w:pStyle w:val="6"/>
              <w:spacing w:before="65" w:line="228" w:lineRule="auto"/>
              <w:ind w:left="374"/>
              <w:rPr>
                <w:sz w:val="20"/>
                <w:szCs w:val="20"/>
              </w:rPr>
            </w:pPr>
            <w:r>
              <w:rPr>
                <w:spacing w:val="4"/>
                <w:sz w:val="20"/>
                <w:szCs w:val="20"/>
              </w:rPr>
              <w:t>井场</w:t>
            </w:r>
          </w:p>
        </w:tc>
        <w:tc>
          <w:tcPr>
            <w:tcW w:w="1688" w:type="dxa"/>
            <w:vMerge w:val="restart"/>
            <w:tcBorders>
              <w:top w:val="single" w:color="000000" w:sz="10" w:space="0"/>
              <w:left w:val="single" w:color="000000" w:sz="2" w:space="0"/>
              <w:bottom w:val="nil"/>
            </w:tcBorders>
            <w:vAlign w:val="top"/>
          </w:tcPr>
          <w:p w14:paraId="1117AAA9">
            <w:pPr>
              <w:spacing w:line="261" w:lineRule="auto"/>
              <w:rPr>
                <w:rFonts w:ascii="Arial"/>
                <w:sz w:val="21"/>
              </w:rPr>
            </w:pPr>
          </w:p>
          <w:p w14:paraId="4F9FA6A3">
            <w:pPr>
              <w:pStyle w:val="6"/>
              <w:spacing w:before="65" w:line="228" w:lineRule="auto"/>
              <w:ind w:left="631"/>
              <w:rPr>
                <w:sz w:val="20"/>
                <w:szCs w:val="20"/>
              </w:rPr>
            </w:pPr>
            <w:r>
              <w:rPr>
                <w:spacing w:val="4"/>
                <w:sz w:val="20"/>
                <w:szCs w:val="20"/>
              </w:rPr>
              <w:t>装置</w:t>
            </w:r>
          </w:p>
        </w:tc>
        <w:tc>
          <w:tcPr>
            <w:tcW w:w="1718" w:type="dxa"/>
            <w:gridSpan w:val="3"/>
            <w:tcBorders>
              <w:top w:val="single" w:color="000000" w:sz="10" w:space="0"/>
              <w:bottom w:val="single" w:color="000000" w:sz="2" w:space="0"/>
              <w:right w:val="single" w:color="000000" w:sz="2" w:space="0"/>
            </w:tcBorders>
            <w:vAlign w:val="top"/>
          </w:tcPr>
          <w:p w14:paraId="020688AC">
            <w:pPr>
              <w:pStyle w:val="6"/>
              <w:spacing w:before="107" w:line="229" w:lineRule="auto"/>
              <w:ind w:left="238"/>
              <w:rPr>
                <w:sz w:val="20"/>
                <w:szCs w:val="20"/>
              </w:rPr>
            </w:pPr>
            <w:r>
              <w:rPr>
                <w:spacing w:val="7"/>
                <w:sz w:val="20"/>
                <w:szCs w:val="20"/>
              </w:rPr>
              <w:t>空间相对位置</w:t>
            </w:r>
          </w:p>
        </w:tc>
        <w:tc>
          <w:tcPr>
            <w:tcW w:w="1126" w:type="dxa"/>
            <w:vMerge w:val="restart"/>
            <w:tcBorders>
              <w:top w:val="single" w:color="000000" w:sz="10" w:space="0"/>
              <w:left w:val="single" w:color="000000" w:sz="2" w:space="0"/>
              <w:bottom w:val="nil"/>
              <w:right w:val="single" w:color="000000" w:sz="2" w:space="0"/>
            </w:tcBorders>
            <w:vAlign w:val="top"/>
          </w:tcPr>
          <w:p w14:paraId="5721254A">
            <w:pPr>
              <w:pStyle w:val="6"/>
              <w:spacing w:before="190" w:line="258" w:lineRule="auto"/>
              <w:ind w:left="159" w:right="170" w:firstLine="199"/>
              <w:rPr>
                <w:sz w:val="20"/>
                <w:szCs w:val="20"/>
              </w:rPr>
            </w:pPr>
            <w:r>
              <w:rPr>
                <w:spacing w:val="5"/>
                <w:sz w:val="20"/>
                <w:szCs w:val="20"/>
              </w:rPr>
              <w:t>源强</w:t>
            </w:r>
            <w:r>
              <w:rPr>
                <w:sz w:val="20"/>
                <w:szCs w:val="20"/>
              </w:rPr>
              <w:t xml:space="preserve"> </w:t>
            </w:r>
            <w:r>
              <w:rPr>
                <w:rFonts w:ascii="Times New Roman" w:hAnsi="Times New Roman" w:eastAsia="Times New Roman" w:cs="Times New Roman"/>
                <w:sz w:val="20"/>
                <w:szCs w:val="20"/>
              </w:rPr>
              <w:t>dB</w:t>
            </w:r>
            <w:r>
              <w:rPr>
                <w:spacing w:val="4"/>
                <w:sz w:val="20"/>
                <w:szCs w:val="20"/>
              </w:rPr>
              <w:t>（</w:t>
            </w:r>
            <w:r>
              <w:rPr>
                <w:rFonts w:ascii="Times New Roman" w:hAnsi="Times New Roman" w:eastAsia="Times New Roman" w:cs="Times New Roman"/>
                <w:spacing w:val="4"/>
                <w:sz w:val="20"/>
                <w:szCs w:val="20"/>
              </w:rPr>
              <w:t>A</w:t>
            </w:r>
            <w:r>
              <w:rPr>
                <w:spacing w:val="4"/>
                <w:sz w:val="20"/>
                <w:szCs w:val="20"/>
              </w:rPr>
              <w:t>）</w:t>
            </w:r>
          </w:p>
        </w:tc>
        <w:tc>
          <w:tcPr>
            <w:tcW w:w="1412" w:type="dxa"/>
            <w:vMerge w:val="restart"/>
            <w:tcBorders>
              <w:top w:val="single" w:color="000000" w:sz="10" w:space="0"/>
              <w:left w:val="single" w:color="000000" w:sz="2" w:space="0"/>
              <w:bottom w:val="nil"/>
            </w:tcBorders>
            <w:vAlign w:val="top"/>
          </w:tcPr>
          <w:p w14:paraId="01ED94D1">
            <w:pPr>
              <w:spacing w:line="261" w:lineRule="auto"/>
              <w:rPr>
                <w:rFonts w:ascii="Arial"/>
                <w:sz w:val="21"/>
              </w:rPr>
            </w:pPr>
          </w:p>
          <w:p w14:paraId="7F018A2B">
            <w:pPr>
              <w:pStyle w:val="6"/>
              <w:spacing w:before="65" w:line="228" w:lineRule="auto"/>
              <w:ind w:left="310"/>
              <w:rPr>
                <w:sz w:val="20"/>
                <w:szCs w:val="20"/>
              </w:rPr>
            </w:pPr>
            <w:r>
              <w:rPr>
                <w:spacing w:val="3"/>
                <w:sz w:val="20"/>
                <w:szCs w:val="20"/>
              </w:rPr>
              <w:t>降噪措施</w:t>
            </w:r>
          </w:p>
        </w:tc>
        <w:tc>
          <w:tcPr>
            <w:tcW w:w="1392" w:type="dxa"/>
            <w:vMerge w:val="restart"/>
            <w:tcBorders>
              <w:top w:val="single" w:color="000000" w:sz="10" w:space="0"/>
              <w:bottom w:val="nil"/>
              <w:right w:val="single" w:color="000000" w:sz="6" w:space="0"/>
            </w:tcBorders>
            <w:vAlign w:val="top"/>
          </w:tcPr>
          <w:p w14:paraId="7E0ADCD1">
            <w:pPr>
              <w:pStyle w:val="6"/>
              <w:spacing w:before="190" w:line="258" w:lineRule="auto"/>
              <w:ind w:left="236" w:right="215" w:hanging="97"/>
              <w:rPr>
                <w:sz w:val="20"/>
                <w:szCs w:val="20"/>
              </w:rPr>
            </w:pPr>
            <w:r>
              <w:rPr>
                <w:spacing w:val="4"/>
                <w:sz w:val="20"/>
                <w:szCs w:val="20"/>
              </w:rPr>
              <w:t>降噪后源强</w:t>
            </w:r>
            <w:r>
              <w:rPr>
                <w:rFonts w:ascii="Times New Roman" w:hAnsi="Times New Roman" w:eastAsia="Times New Roman" w:cs="Times New Roman"/>
                <w:sz w:val="20"/>
                <w:szCs w:val="20"/>
              </w:rPr>
              <w:t>dB</w:t>
            </w:r>
            <w:r>
              <w:rPr>
                <w:spacing w:val="7"/>
                <w:sz w:val="20"/>
                <w:szCs w:val="20"/>
              </w:rPr>
              <w:t>（</w:t>
            </w:r>
            <w:r>
              <w:rPr>
                <w:rFonts w:ascii="Times New Roman" w:hAnsi="Times New Roman" w:eastAsia="Times New Roman" w:cs="Times New Roman"/>
                <w:spacing w:val="7"/>
                <w:sz w:val="20"/>
                <w:szCs w:val="20"/>
              </w:rPr>
              <w:t>A</w:t>
            </w:r>
            <w:r>
              <w:rPr>
                <w:spacing w:val="7"/>
                <w:sz w:val="20"/>
                <w:szCs w:val="20"/>
              </w:rPr>
              <w:t>）</w:t>
            </w:r>
          </w:p>
        </w:tc>
      </w:tr>
      <w:tr w14:paraId="018C5A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trPr>
        <w:tc>
          <w:tcPr>
            <w:tcW w:w="495" w:type="dxa"/>
            <w:vMerge w:val="continue"/>
            <w:tcBorders>
              <w:top w:val="nil"/>
              <w:left w:val="single" w:color="000000" w:sz="6" w:space="0"/>
              <w:bottom w:val="nil"/>
              <w:right w:val="single" w:color="000000" w:sz="2" w:space="0"/>
            </w:tcBorders>
            <w:vAlign w:val="top"/>
          </w:tcPr>
          <w:p w14:paraId="5B0E30D7">
            <w:pPr>
              <w:rPr>
                <w:rFonts w:ascii="Arial"/>
                <w:sz w:val="21"/>
              </w:rPr>
            </w:pPr>
          </w:p>
        </w:tc>
        <w:tc>
          <w:tcPr>
            <w:tcW w:w="1070" w:type="dxa"/>
            <w:vMerge w:val="continue"/>
            <w:tcBorders>
              <w:top w:val="nil"/>
              <w:left w:val="single" w:color="000000" w:sz="2" w:space="0"/>
              <w:right w:val="single" w:color="000000" w:sz="2" w:space="0"/>
            </w:tcBorders>
            <w:vAlign w:val="top"/>
          </w:tcPr>
          <w:p w14:paraId="24615840">
            <w:pPr>
              <w:rPr>
                <w:rFonts w:ascii="Arial"/>
                <w:sz w:val="21"/>
              </w:rPr>
            </w:pPr>
          </w:p>
        </w:tc>
        <w:tc>
          <w:tcPr>
            <w:tcW w:w="1688" w:type="dxa"/>
            <w:vMerge w:val="continue"/>
            <w:tcBorders>
              <w:top w:val="nil"/>
              <w:left w:val="single" w:color="000000" w:sz="2" w:space="0"/>
            </w:tcBorders>
            <w:vAlign w:val="top"/>
          </w:tcPr>
          <w:p w14:paraId="7A2791FB">
            <w:pPr>
              <w:rPr>
                <w:rFonts w:ascii="Arial"/>
                <w:sz w:val="21"/>
              </w:rPr>
            </w:pPr>
          </w:p>
        </w:tc>
        <w:tc>
          <w:tcPr>
            <w:tcW w:w="563" w:type="dxa"/>
            <w:tcBorders>
              <w:top w:val="single" w:color="000000" w:sz="2" w:space="0"/>
            </w:tcBorders>
            <w:vAlign w:val="top"/>
          </w:tcPr>
          <w:p w14:paraId="3FD47440">
            <w:pPr>
              <w:spacing w:before="160" w:line="192" w:lineRule="auto"/>
              <w:ind w:left="20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X</w:t>
            </w:r>
          </w:p>
        </w:tc>
        <w:tc>
          <w:tcPr>
            <w:tcW w:w="591" w:type="dxa"/>
            <w:tcBorders>
              <w:top w:val="single" w:color="000000" w:sz="2" w:space="0"/>
              <w:right w:val="single" w:color="000000" w:sz="2" w:space="0"/>
            </w:tcBorders>
            <w:vAlign w:val="top"/>
          </w:tcPr>
          <w:p w14:paraId="724E070B">
            <w:pPr>
              <w:spacing w:before="160" w:line="192"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Y</w:t>
            </w:r>
          </w:p>
        </w:tc>
        <w:tc>
          <w:tcPr>
            <w:tcW w:w="564" w:type="dxa"/>
            <w:tcBorders>
              <w:top w:val="single" w:color="000000" w:sz="2" w:space="0"/>
              <w:left w:val="single" w:color="000000" w:sz="2" w:space="0"/>
              <w:right w:val="single" w:color="000000" w:sz="2" w:space="0"/>
            </w:tcBorders>
            <w:vAlign w:val="top"/>
          </w:tcPr>
          <w:p w14:paraId="79921602">
            <w:pPr>
              <w:spacing w:before="160" w:line="192"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Z</w:t>
            </w:r>
          </w:p>
        </w:tc>
        <w:tc>
          <w:tcPr>
            <w:tcW w:w="1126" w:type="dxa"/>
            <w:vMerge w:val="continue"/>
            <w:tcBorders>
              <w:top w:val="nil"/>
              <w:left w:val="single" w:color="000000" w:sz="2" w:space="0"/>
              <w:right w:val="single" w:color="000000" w:sz="2" w:space="0"/>
            </w:tcBorders>
            <w:vAlign w:val="top"/>
          </w:tcPr>
          <w:p w14:paraId="18B02CAD">
            <w:pPr>
              <w:rPr>
                <w:rFonts w:ascii="Arial"/>
                <w:sz w:val="21"/>
              </w:rPr>
            </w:pPr>
          </w:p>
        </w:tc>
        <w:tc>
          <w:tcPr>
            <w:tcW w:w="1412" w:type="dxa"/>
            <w:vMerge w:val="continue"/>
            <w:tcBorders>
              <w:top w:val="nil"/>
              <w:left w:val="single" w:color="000000" w:sz="2" w:space="0"/>
            </w:tcBorders>
            <w:vAlign w:val="top"/>
          </w:tcPr>
          <w:p w14:paraId="5AE2540E">
            <w:pPr>
              <w:rPr>
                <w:rFonts w:ascii="Arial"/>
                <w:sz w:val="21"/>
              </w:rPr>
            </w:pPr>
          </w:p>
        </w:tc>
        <w:tc>
          <w:tcPr>
            <w:tcW w:w="1392" w:type="dxa"/>
            <w:vMerge w:val="continue"/>
            <w:tcBorders>
              <w:top w:val="nil"/>
              <w:right w:val="single" w:color="000000" w:sz="6" w:space="0"/>
            </w:tcBorders>
            <w:vAlign w:val="top"/>
          </w:tcPr>
          <w:p w14:paraId="216845AF">
            <w:pPr>
              <w:rPr>
                <w:rFonts w:ascii="Arial"/>
                <w:sz w:val="21"/>
              </w:rPr>
            </w:pPr>
          </w:p>
        </w:tc>
      </w:tr>
      <w:tr w14:paraId="231286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495" w:type="dxa"/>
            <w:vMerge w:val="continue"/>
            <w:tcBorders>
              <w:top w:val="nil"/>
              <w:left w:val="single" w:color="000000" w:sz="6" w:space="0"/>
              <w:bottom w:val="nil"/>
              <w:right w:val="single" w:color="000000" w:sz="2" w:space="0"/>
            </w:tcBorders>
            <w:vAlign w:val="top"/>
          </w:tcPr>
          <w:p w14:paraId="54DF002C">
            <w:pPr>
              <w:rPr>
                <w:rFonts w:ascii="Arial"/>
                <w:sz w:val="21"/>
              </w:rPr>
            </w:pPr>
          </w:p>
        </w:tc>
        <w:tc>
          <w:tcPr>
            <w:tcW w:w="1070" w:type="dxa"/>
            <w:vMerge w:val="restart"/>
            <w:tcBorders>
              <w:left w:val="single" w:color="000000" w:sz="2" w:space="0"/>
              <w:bottom w:val="nil"/>
              <w:right w:val="single" w:color="000000" w:sz="2" w:space="0"/>
            </w:tcBorders>
            <w:vAlign w:val="top"/>
          </w:tcPr>
          <w:p w14:paraId="5B6ADE6D">
            <w:pPr>
              <w:spacing w:line="272" w:lineRule="auto"/>
              <w:rPr>
                <w:rFonts w:ascii="Arial"/>
                <w:sz w:val="21"/>
              </w:rPr>
            </w:pPr>
          </w:p>
          <w:p w14:paraId="5B416466">
            <w:pPr>
              <w:spacing w:line="272" w:lineRule="auto"/>
              <w:rPr>
                <w:rFonts w:ascii="Arial"/>
                <w:sz w:val="21"/>
              </w:rPr>
            </w:pPr>
          </w:p>
          <w:p w14:paraId="4D9FD9AB">
            <w:pPr>
              <w:spacing w:line="272" w:lineRule="auto"/>
              <w:rPr>
                <w:rFonts w:ascii="Arial"/>
                <w:sz w:val="21"/>
              </w:rPr>
            </w:pPr>
          </w:p>
          <w:p w14:paraId="5E9AAEAF">
            <w:pPr>
              <w:spacing w:line="273" w:lineRule="auto"/>
              <w:rPr>
                <w:rFonts w:ascii="Arial"/>
                <w:sz w:val="21"/>
              </w:rPr>
            </w:pPr>
          </w:p>
          <w:p w14:paraId="221CA1EB">
            <w:pPr>
              <w:spacing w:line="273" w:lineRule="auto"/>
              <w:rPr>
                <w:rFonts w:ascii="Arial"/>
                <w:sz w:val="21"/>
              </w:rPr>
            </w:pPr>
          </w:p>
          <w:p w14:paraId="7B0BE365">
            <w:pPr>
              <w:pStyle w:val="6"/>
              <w:spacing w:before="65" w:line="228" w:lineRule="auto"/>
              <w:ind w:left="218"/>
              <w:rPr>
                <w:rFonts w:ascii="Times New Roman" w:hAnsi="Times New Roman" w:eastAsia="Times New Roman" w:cs="Times New Roman"/>
                <w:sz w:val="20"/>
                <w:szCs w:val="20"/>
              </w:rPr>
            </w:pPr>
            <w:r>
              <w:rPr>
                <w:spacing w:val="2"/>
                <w:sz w:val="20"/>
                <w:szCs w:val="20"/>
              </w:rPr>
              <w:t>扎格</w:t>
            </w:r>
            <w:r>
              <w:rPr>
                <w:spacing w:val="-35"/>
                <w:sz w:val="20"/>
                <w:szCs w:val="20"/>
              </w:rPr>
              <w:t xml:space="preserve"> </w:t>
            </w:r>
            <w:r>
              <w:rPr>
                <w:rFonts w:ascii="Times New Roman" w:hAnsi="Times New Roman" w:eastAsia="Times New Roman" w:cs="Times New Roman"/>
                <w:spacing w:val="2"/>
                <w:sz w:val="20"/>
                <w:szCs w:val="20"/>
              </w:rPr>
              <w:t>9X</w:t>
            </w:r>
          </w:p>
        </w:tc>
        <w:tc>
          <w:tcPr>
            <w:tcW w:w="1688" w:type="dxa"/>
            <w:tcBorders>
              <w:left w:val="single" w:color="000000" w:sz="2" w:space="0"/>
            </w:tcBorders>
            <w:vAlign w:val="top"/>
          </w:tcPr>
          <w:p w14:paraId="2DC9EBCC">
            <w:pPr>
              <w:pStyle w:val="6"/>
              <w:spacing w:before="115" w:line="227" w:lineRule="auto"/>
              <w:ind w:left="422"/>
              <w:rPr>
                <w:sz w:val="20"/>
                <w:szCs w:val="20"/>
              </w:rPr>
            </w:pPr>
            <w:r>
              <w:rPr>
                <w:spacing w:val="7"/>
                <w:sz w:val="20"/>
                <w:szCs w:val="20"/>
              </w:rPr>
              <w:t>钻机系统</w:t>
            </w:r>
          </w:p>
        </w:tc>
        <w:tc>
          <w:tcPr>
            <w:tcW w:w="563" w:type="dxa"/>
            <w:vAlign w:val="top"/>
          </w:tcPr>
          <w:p w14:paraId="4D66C872">
            <w:pPr>
              <w:spacing w:before="159" w:line="195" w:lineRule="auto"/>
              <w:ind w:left="17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74</w:t>
            </w:r>
          </w:p>
        </w:tc>
        <w:tc>
          <w:tcPr>
            <w:tcW w:w="591" w:type="dxa"/>
            <w:tcBorders>
              <w:right w:val="single" w:color="000000" w:sz="2" w:space="0"/>
            </w:tcBorders>
            <w:vAlign w:val="top"/>
          </w:tcPr>
          <w:p w14:paraId="7DA62783">
            <w:pPr>
              <w:spacing w:before="151" w:line="195" w:lineRule="auto"/>
              <w:ind w:left="189"/>
              <w:rPr>
                <w:rFonts w:ascii="Times New Roman" w:hAnsi="Times New Roman" w:eastAsia="Times New Roman" w:cs="Times New Roman"/>
                <w:sz w:val="20"/>
                <w:szCs w:val="20"/>
              </w:rPr>
            </w:pPr>
            <w:r>
              <w:rPr>
                <w:rFonts w:ascii="Times New Roman" w:hAnsi="Times New Roman" w:eastAsia="Times New Roman" w:cs="Times New Roman"/>
                <w:sz w:val="20"/>
                <w:szCs w:val="20"/>
              </w:rPr>
              <w:t>58</w:t>
            </w:r>
          </w:p>
        </w:tc>
        <w:tc>
          <w:tcPr>
            <w:tcW w:w="564" w:type="dxa"/>
            <w:tcBorders>
              <w:left w:val="single" w:color="000000" w:sz="2" w:space="0"/>
              <w:right w:val="single" w:color="000000" w:sz="2" w:space="0"/>
            </w:tcBorders>
            <w:vAlign w:val="top"/>
          </w:tcPr>
          <w:p w14:paraId="790AC27E">
            <w:pPr>
              <w:spacing w:before="152" w:line="195" w:lineRule="auto"/>
              <w:ind w:left="24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26" w:type="dxa"/>
            <w:tcBorders>
              <w:left w:val="single" w:color="000000" w:sz="2" w:space="0"/>
              <w:right w:val="single" w:color="000000" w:sz="2" w:space="0"/>
            </w:tcBorders>
            <w:vAlign w:val="top"/>
          </w:tcPr>
          <w:p w14:paraId="3665C326">
            <w:pPr>
              <w:spacing w:before="151" w:line="195" w:lineRule="auto"/>
              <w:ind w:left="460"/>
              <w:rPr>
                <w:rFonts w:ascii="Times New Roman" w:hAnsi="Times New Roman" w:eastAsia="Times New Roman" w:cs="Times New Roman"/>
                <w:sz w:val="20"/>
                <w:szCs w:val="20"/>
              </w:rPr>
            </w:pPr>
            <w:r>
              <w:rPr>
                <w:rFonts w:ascii="Times New Roman" w:hAnsi="Times New Roman" w:eastAsia="Times New Roman" w:cs="Times New Roman"/>
                <w:sz w:val="20"/>
                <w:szCs w:val="20"/>
              </w:rPr>
              <w:t>95</w:t>
            </w:r>
          </w:p>
        </w:tc>
        <w:tc>
          <w:tcPr>
            <w:tcW w:w="1412" w:type="dxa"/>
            <w:vMerge w:val="restart"/>
            <w:tcBorders>
              <w:left w:val="single" w:color="000000" w:sz="2" w:space="0"/>
              <w:bottom w:val="nil"/>
            </w:tcBorders>
            <w:vAlign w:val="top"/>
          </w:tcPr>
          <w:p w14:paraId="05A85863">
            <w:pPr>
              <w:spacing w:line="272" w:lineRule="auto"/>
              <w:rPr>
                <w:rFonts w:ascii="Arial"/>
                <w:sz w:val="21"/>
              </w:rPr>
            </w:pPr>
          </w:p>
          <w:p w14:paraId="0AE3C233">
            <w:pPr>
              <w:spacing w:line="273" w:lineRule="auto"/>
              <w:rPr>
                <w:rFonts w:ascii="Arial"/>
                <w:sz w:val="21"/>
              </w:rPr>
            </w:pPr>
          </w:p>
          <w:p w14:paraId="366A1017">
            <w:pPr>
              <w:spacing w:line="273" w:lineRule="auto"/>
              <w:rPr>
                <w:rFonts w:ascii="Arial"/>
                <w:sz w:val="21"/>
              </w:rPr>
            </w:pPr>
          </w:p>
          <w:p w14:paraId="4F54EE19">
            <w:pPr>
              <w:spacing w:line="273" w:lineRule="auto"/>
              <w:rPr>
                <w:rFonts w:ascii="Arial"/>
                <w:sz w:val="21"/>
              </w:rPr>
            </w:pPr>
          </w:p>
          <w:p w14:paraId="529CBE66">
            <w:pPr>
              <w:pStyle w:val="6"/>
              <w:spacing w:before="65" w:line="228" w:lineRule="auto"/>
              <w:ind w:left="185"/>
              <w:rPr>
                <w:sz w:val="20"/>
                <w:szCs w:val="20"/>
              </w:rPr>
            </w:pPr>
            <w:r>
              <w:rPr>
                <w:spacing w:val="8"/>
                <w:sz w:val="20"/>
                <w:szCs w:val="20"/>
              </w:rPr>
              <w:t>选用低噪声</w:t>
            </w:r>
          </w:p>
          <w:p w14:paraId="7EC0149A">
            <w:pPr>
              <w:pStyle w:val="6"/>
              <w:spacing w:before="23" w:line="229" w:lineRule="auto"/>
              <w:ind w:left="120"/>
              <w:rPr>
                <w:sz w:val="20"/>
                <w:szCs w:val="20"/>
              </w:rPr>
            </w:pPr>
            <w:r>
              <w:rPr>
                <w:spacing w:val="-4"/>
                <w:sz w:val="20"/>
                <w:szCs w:val="20"/>
              </w:rPr>
              <w:t>设备、基础减</w:t>
            </w:r>
          </w:p>
          <w:p w14:paraId="03AFB112">
            <w:pPr>
              <w:pStyle w:val="6"/>
              <w:spacing w:before="25" w:line="228" w:lineRule="auto"/>
              <w:ind w:left="605"/>
              <w:rPr>
                <w:sz w:val="20"/>
                <w:szCs w:val="20"/>
              </w:rPr>
            </w:pPr>
            <w:r>
              <w:rPr>
                <w:spacing w:val="1"/>
                <w:sz w:val="20"/>
                <w:szCs w:val="20"/>
              </w:rPr>
              <w:t>振</w:t>
            </w:r>
          </w:p>
        </w:tc>
        <w:tc>
          <w:tcPr>
            <w:tcW w:w="1392" w:type="dxa"/>
            <w:tcBorders>
              <w:right w:val="single" w:color="000000" w:sz="6" w:space="0"/>
            </w:tcBorders>
            <w:vAlign w:val="top"/>
          </w:tcPr>
          <w:p w14:paraId="3EB49CA5">
            <w:pPr>
              <w:spacing w:before="151" w:line="195" w:lineRule="auto"/>
              <w:ind w:left="5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w:t>
            </w:r>
          </w:p>
        </w:tc>
      </w:tr>
      <w:tr w14:paraId="228D53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495" w:type="dxa"/>
            <w:vMerge w:val="continue"/>
            <w:tcBorders>
              <w:top w:val="nil"/>
              <w:left w:val="single" w:color="000000" w:sz="6" w:space="0"/>
              <w:bottom w:val="nil"/>
              <w:right w:val="single" w:color="000000" w:sz="2" w:space="0"/>
            </w:tcBorders>
            <w:vAlign w:val="top"/>
          </w:tcPr>
          <w:p w14:paraId="05D770E4">
            <w:pPr>
              <w:rPr>
                <w:rFonts w:ascii="Arial"/>
                <w:sz w:val="21"/>
              </w:rPr>
            </w:pPr>
          </w:p>
        </w:tc>
        <w:tc>
          <w:tcPr>
            <w:tcW w:w="1070" w:type="dxa"/>
            <w:vMerge w:val="continue"/>
            <w:tcBorders>
              <w:top w:val="nil"/>
              <w:left w:val="single" w:color="000000" w:sz="2" w:space="0"/>
              <w:bottom w:val="nil"/>
              <w:right w:val="single" w:color="000000" w:sz="2" w:space="0"/>
            </w:tcBorders>
            <w:vAlign w:val="top"/>
          </w:tcPr>
          <w:p w14:paraId="6923DE09">
            <w:pPr>
              <w:rPr>
                <w:rFonts w:ascii="Arial"/>
                <w:sz w:val="21"/>
              </w:rPr>
            </w:pPr>
          </w:p>
        </w:tc>
        <w:tc>
          <w:tcPr>
            <w:tcW w:w="1688" w:type="dxa"/>
            <w:tcBorders>
              <w:left w:val="single" w:color="000000" w:sz="2" w:space="0"/>
            </w:tcBorders>
            <w:vAlign w:val="top"/>
          </w:tcPr>
          <w:p w14:paraId="03D47389">
            <w:pPr>
              <w:pStyle w:val="6"/>
              <w:spacing w:before="116" w:line="227" w:lineRule="auto"/>
              <w:ind w:left="446"/>
              <w:rPr>
                <w:rFonts w:ascii="Times New Roman" w:hAnsi="Times New Roman" w:eastAsia="Times New Roman" w:cs="Times New Roman"/>
                <w:sz w:val="20"/>
                <w:szCs w:val="20"/>
              </w:rPr>
            </w:pPr>
            <w:r>
              <w:rPr>
                <w:spacing w:val="5"/>
                <w:sz w:val="20"/>
                <w:szCs w:val="20"/>
              </w:rPr>
              <w:t>柴油机</w:t>
            </w:r>
            <w:r>
              <w:rPr>
                <w:spacing w:val="-21"/>
                <w:sz w:val="20"/>
                <w:szCs w:val="20"/>
              </w:rPr>
              <w:t xml:space="preserve"> </w:t>
            </w:r>
            <w:r>
              <w:rPr>
                <w:rFonts w:ascii="Times New Roman" w:hAnsi="Times New Roman" w:eastAsia="Times New Roman" w:cs="Times New Roman"/>
                <w:spacing w:val="5"/>
                <w:sz w:val="20"/>
                <w:szCs w:val="20"/>
              </w:rPr>
              <w:t>1</w:t>
            </w:r>
          </w:p>
        </w:tc>
        <w:tc>
          <w:tcPr>
            <w:tcW w:w="563" w:type="dxa"/>
            <w:vAlign w:val="top"/>
          </w:tcPr>
          <w:p w14:paraId="54DF1005">
            <w:pPr>
              <w:spacing w:before="159"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591" w:type="dxa"/>
            <w:tcBorders>
              <w:right w:val="single" w:color="000000" w:sz="2" w:space="0"/>
            </w:tcBorders>
            <w:vAlign w:val="top"/>
          </w:tcPr>
          <w:p w14:paraId="1149CCD2">
            <w:pPr>
              <w:spacing w:before="152" w:line="195" w:lineRule="auto"/>
              <w:ind w:left="188"/>
              <w:rPr>
                <w:rFonts w:ascii="Times New Roman" w:hAnsi="Times New Roman" w:eastAsia="Times New Roman" w:cs="Times New Roman"/>
                <w:sz w:val="20"/>
                <w:szCs w:val="20"/>
              </w:rPr>
            </w:pPr>
            <w:r>
              <w:rPr>
                <w:rFonts w:ascii="Times New Roman" w:hAnsi="Times New Roman" w:eastAsia="Times New Roman" w:cs="Times New Roman"/>
                <w:sz w:val="20"/>
                <w:szCs w:val="20"/>
              </w:rPr>
              <w:t>68</w:t>
            </w:r>
          </w:p>
        </w:tc>
        <w:tc>
          <w:tcPr>
            <w:tcW w:w="564" w:type="dxa"/>
            <w:tcBorders>
              <w:left w:val="single" w:color="000000" w:sz="2" w:space="0"/>
              <w:right w:val="single" w:color="000000" w:sz="2" w:space="0"/>
            </w:tcBorders>
            <w:vAlign w:val="top"/>
          </w:tcPr>
          <w:p w14:paraId="448C335F">
            <w:pPr>
              <w:spacing w:before="152" w:line="195" w:lineRule="auto"/>
              <w:ind w:left="24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26" w:type="dxa"/>
            <w:tcBorders>
              <w:left w:val="single" w:color="000000" w:sz="2" w:space="0"/>
              <w:right w:val="single" w:color="000000" w:sz="2" w:space="0"/>
            </w:tcBorders>
            <w:vAlign w:val="top"/>
          </w:tcPr>
          <w:p w14:paraId="55254CB4">
            <w:pPr>
              <w:spacing w:before="152"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412" w:type="dxa"/>
            <w:vMerge w:val="continue"/>
            <w:tcBorders>
              <w:top w:val="nil"/>
              <w:left w:val="single" w:color="000000" w:sz="2" w:space="0"/>
              <w:bottom w:val="nil"/>
            </w:tcBorders>
            <w:vAlign w:val="top"/>
          </w:tcPr>
          <w:p w14:paraId="7C017212">
            <w:pPr>
              <w:rPr>
                <w:rFonts w:ascii="Arial"/>
                <w:sz w:val="21"/>
              </w:rPr>
            </w:pPr>
          </w:p>
        </w:tc>
        <w:tc>
          <w:tcPr>
            <w:tcW w:w="1392" w:type="dxa"/>
            <w:tcBorders>
              <w:right w:val="single" w:color="000000" w:sz="6" w:space="0"/>
            </w:tcBorders>
            <w:vAlign w:val="top"/>
          </w:tcPr>
          <w:p w14:paraId="69921331">
            <w:pPr>
              <w:spacing w:before="152" w:line="195" w:lineRule="auto"/>
              <w:ind w:left="5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r>
      <w:tr w14:paraId="2F9A2C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495" w:type="dxa"/>
            <w:vMerge w:val="continue"/>
            <w:tcBorders>
              <w:top w:val="nil"/>
              <w:left w:val="single" w:color="000000" w:sz="6" w:space="0"/>
              <w:bottom w:val="nil"/>
              <w:right w:val="single" w:color="000000" w:sz="2" w:space="0"/>
            </w:tcBorders>
            <w:vAlign w:val="top"/>
          </w:tcPr>
          <w:p w14:paraId="27E44ECE">
            <w:pPr>
              <w:rPr>
                <w:rFonts w:ascii="Arial"/>
                <w:sz w:val="21"/>
              </w:rPr>
            </w:pPr>
          </w:p>
        </w:tc>
        <w:tc>
          <w:tcPr>
            <w:tcW w:w="1070" w:type="dxa"/>
            <w:vMerge w:val="continue"/>
            <w:tcBorders>
              <w:top w:val="nil"/>
              <w:left w:val="single" w:color="000000" w:sz="2" w:space="0"/>
              <w:bottom w:val="nil"/>
              <w:right w:val="single" w:color="000000" w:sz="2" w:space="0"/>
            </w:tcBorders>
            <w:vAlign w:val="top"/>
          </w:tcPr>
          <w:p w14:paraId="1D2C4D31">
            <w:pPr>
              <w:rPr>
                <w:rFonts w:ascii="Arial"/>
                <w:sz w:val="21"/>
              </w:rPr>
            </w:pPr>
          </w:p>
        </w:tc>
        <w:tc>
          <w:tcPr>
            <w:tcW w:w="1688" w:type="dxa"/>
            <w:tcBorders>
              <w:left w:val="single" w:color="000000" w:sz="2" w:space="0"/>
            </w:tcBorders>
            <w:vAlign w:val="top"/>
          </w:tcPr>
          <w:p w14:paraId="02790FC1">
            <w:pPr>
              <w:pStyle w:val="6"/>
              <w:spacing w:before="116" w:line="227" w:lineRule="auto"/>
              <w:ind w:left="446"/>
              <w:rPr>
                <w:rFonts w:ascii="Times New Roman" w:hAnsi="Times New Roman" w:eastAsia="Times New Roman" w:cs="Times New Roman"/>
                <w:sz w:val="20"/>
                <w:szCs w:val="20"/>
              </w:rPr>
            </w:pPr>
            <w:r>
              <w:rPr>
                <w:spacing w:val="5"/>
                <w:sz w:val="20"/>
                <w:szCs w:val="20"/>
              </w:rPr>
              <w:t>柴油机</w:t>
            </w:r>
            <w:r>
              <w:rPr>
                <w:spacing w:val="-41"/>
                <w:sz w:val="20"/>
                <w:szCs w:val="20"/>
              </w:rPr>
              <w:t xml:space="preserve"> </w:t>
            </w:r>
            <w:r>
              <w:rPr>
                <w:rFonts w:ascii="Times New Roman" w:hAnsi="Times New Roman" w:eastAsia="Times New Roman" w:cs="Times New Roman"/>
                <w:spacing w:val="5"/>
                <w:sz w:val="20"/>
                <w:szCs w:val="20"/>
              </w:rPr>
              <w:t>2</w:t>
            </w:r>
          </w:p>
        </w:tc>
        <w:tc>
          <w:tcPr>
            <w:tcW w:w="563" w:type="dxa"/>
            <w:vAlign w:val="top"/>
          </w:tcPr>
          <w:p w14:paraId="60D66B2A">
            <w:pPr>
              <w:spacing w:before="159"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88</w:t>
            </w:r>
          </w:p>
        </w:tc>
        <w:tc>
          <w:tcPr>
            <w:tcW w:w="591" w:type="dxa"/>
            <w:tcBorders>
              <w:right w:val="single" w:color="000000" w:sz="2" w:space="0"/>
            </w:tcBorders>
            <w:vAlign w:val="top"/>
          </w:tcPr>
          <w:p w14:paraId="529E74D5">
            <w:pPr>
              <w:spacing w:before="152" w:line="195" w:lineRule="auto"/>
              <w:ind w:left="188"/>
              <w:rPr>
                <w:rFonts w:ascii="Times New Roman" w:hAnsi="Times New Roman" w:eastAsia="Times New Roman" w:cs="Times New Roman"/>
                <w:sz w:val="20"/>
                <w:szCs w:val="20"/>
              </w:rPr>
            </w:pPr>
            <w:r>
              <w:rPr>
                <w:rFonts w:ascii="Times New Roman" w:hAnsi="Times New Roman" w:eastAsia="Times New Roman" w:cs="Times New Roman"/>
                <w:sz w:val="20"/>
                <w:szCs w:val="20"/>
              </w:rPr>
              <w:t>68</w:t>
            </w:r>
          </w:p>
        </w:tc>
        <w:tc>
          <w:tcPr>
            <w:tcW w:w="564" w:type="dxa"/>
            <w:tcBorders>
              <w:left w:val="single" w:color="000000" w:sz="2" w:space="0"/>
              <w:right w:val="single" w:color="000000" w:sz="2" w:space="0"/>
            </w:tcBorders>
            <w:vAlign w:val="top"/>
          </w:tcPr>
          <w:p w14:paraId="449727B9">
            <w:pPr>
              <w:spacing w:before="152" w:line="195" w:lineRule="auto"/>
              <w:ind w:left="24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26" w:type="dxa"/>
            <w:tcBorders>
              <w:left w:val="single" w:color="000000" w:sz="2" w:space="0"/>
              <w:right w:val="single" w:color="000000" w:sz="2" w:space="0"/>
            </w:tcBorders>
            <w:vAlign w:val="top"/>
          </w:tcPr>
          <w:p w14:paraId="70B61CAF">
            <w:pPr>
              <w:spacing w:before="152"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412" w:type="dxa"/>
            <w:vMerge w:val="continue"/>
            <w:tcBorders>
              <w:top w:val="nil"/>
              <w:left w:val="single" w:color="000000" w:sz="2" w:space="0"/>
              <w:bottom w:val="nil"/>
            </w:tcBorders>
            <w:vAlign w:val="top"/>
          </w:tcPr>
          <w:p w14:paraId="318D3AA2">
            <w:pPr>
              <w:rPr>
                <w:rFonts w:ascii="Arial"/>
                <w:sz w:val="21"/>
              </w:rPr>
            </w:pPr>
          </w:p>
        </w:tc>
        <w:tc>
          <w:tcPr>
            <w:tcW w:w="1392" w:type="dxa"/>
            <w:tcBorders>
              <w:right w:val="single" w:color="000000" w:sz="6" w:space="0"/>
            </w:tcBorders>
            <w:vAlign w:val="top"/>
          </w:tcPr>
          <w:p w14:paraId="4E229705">
            <w:pPr>
              <w:spacing w:before="152" w:line="195" w:lineRule="auto"/>
              <w:ind w:left="5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r>
      <w:tr w14:paraId="0626E7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495" w:type="dxa"/>
            <w:vMerge w:val="continue"/>
            <w:tcBorders>
              <w:top w:val="nil"/>
              <w:left w:val="single" w:color="000000" w:sz="6" w:space="0"/>
              <w:bottom w:val="nil"/>
              <w:right w:val="single" w:color="000000" w:sz="2" w:space="0"/>
            </w:tcBorders>
            <w:vAlign w:val="top"/>
          </w:tcPr>
          <w:p w14:paraId="5503B8FF">
            <w:pPr>
              <w:rPr>
                <w:rFonts w:ascii="Arial"/>
                <w:sz w:val="21"/>
              </w:rPr>
            </w:pPr>
          </w:p>
        </w:tc>
        <w:tc>
          <w:tcPr>
            <w:tcW w:w="1070" w:type="dxa"/>
            <w:vMerge w:val="continue"/>
            <w:tcBorders>
              <w:top w:val="nil"/>
              <w:left w:val="single" w:color="000000" w:sz="2" w:space="0"/>
              <w:bottom w:val="nil"/>
              <w:right w:val="single" w:color="000000" w:sz="2" w:space="0"/>
            </w:tcBorders>
            <w:vAlign w:val="top"/>
          </w:tcPr>
          <w:p w14:paraId="3B5D5EF9">
            <w:pPr>
              <w:rPr>
                <w:rFonts w:ascii="Arial"/>
                <w:sz w:val="21"/>
              </w:rPr>
            </w:pPr>
          </w:p>
        </w:tc>
        <w:tc>
          <w:tcPr>
            <w:tcW w:w="1688" w:type="dxa"/>
            <w:tcBorders>
              <w:left w:val="single" w:color="000000" w:sz="2" w:space="0"/>
            </w:tcBorders>
            <w:vAlign w:val="top"/>
          </w:tcPr>
          <w:p w14:paraId="3CAF7E37">
            <w:pPr>
              <w:pStyle w:val="6"/>
              <w:spacing w:before="118" w:line="228" w:lineRule="auto"/>
              <w:ind w:left="446"/>
              <w:rPr>
                <w:rFonts w:ascii="Times New Roman" w:hAnsi="Times New Roman" w:eastAsia="Times New Roman" w:cs="Times New Roman"/>
                <w:sz w:val="20"/>
                <w:szCs w:val="20"/>
              </w:rPr>
            </w:pPr>
            <w:r>
              <w:rPr>
                <w:spacing w:val="5"/>
                <w:sz w:val="20"/>
                <w:szCs w:val="20"/>
              </w:rPr>
              <w:t>钻井泵</w:t>
            </w:r>
            <w:r>
              <w:rPr>
                <w:spacing w:val="-21"/>
                <w:sz w:val="20"/>
                <w:szCs w:val="20"/>
              </w:rPr>
              <w:t xml:space="preserve"> </w:t>
            </w:r>
            <w:r>
              <w:rPr>
                <w:rFonts w:ascii="Times New Roman" w:hAnsi="Times New Roman" w:eastAsia="Times New Roman" w:cs="Times New Roman"/>
                <w:spacing w:val="5"/>
                <w:sz w:val="20"/>
                <w:szCs w:val="20"/>
              </w:rPr>
              <w:t>1</w:t>
            </w:r>
          </w:p>
        </w:tc>
        <w:tc>
          <w:tcPr>
            <w:tcW w:w="563" w:type="dxa"/>
            <w:vAlign w:val="top"/>
          </w:tcPr>
          <w:p w14:paraId="69C14CA7">
            <w:pPr>
              <w:spacing w:before="162" w:line="195" w:lineRule="auto"/>
              <w:ind w:left="177"/>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591" w:type="dxa"/>
            <w:tcBorders>
              <w:right w:val="single" w:color="000000" w:sz="2" w:space="0"/>
            </w:tcBorders>
            <w:vAlign w:val="top"/>
          </w:tcPr>
          <w:p w14:paraId="750151EC">
            <w:pPr>
              <w:spacing w:before="154" w:line="195" w:lineRule="auto"/>
              <w:ind w:left="188"/>
              <w:rPr>
                <w:rFonts w:ascii="Times New Roman" w:hAnsi="Times New Roman" w:eastAsia="Times New Roman" w:cs="Times New Roman"/>
                <w:sz w:val="20"/>
                <w:szCs w:val="20"/>
              </w:rPr>
            </w:pPr>
            <w:r>
              <w:rPr>
                <w:rFonts w:ascii="Times New Roman" w:hAnsi="Times New Roman" w:eastAsia="Times New Roman" w:cs="Times New Roman"/>
                <w:sz w:val="20"/>
                <w:szCs w:val="20"/>
              </w:rPr>
              <w:t>68</w:t>
            </w:r>
          </w:p>
        </w:tc>
        <w:tc>
          <w:tcPr>
            <w:tcW w:w="564" w:type="dxa"/>
            <w:tcBorders>
              <w:left w:val="single" w:color="000000" w:sz="2" w:space="0"/>
              <w:right w:val="single" w:color="000000" w:sz="2" w:space="0"/>
            </w:tcBorders>
            <w:vAlign w:val="top"/>
          </w:tcPr>
          <w:p w14:paraId="482B5433">
            <w:pPr>
              <w:spacing w:before="155" w:line="195" w:lineRule="auto"/>
              <w:ind w:left="24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26" w:type="dxa"/>
            <w:tcBorders>
              <w:left w:val="single" w:color="000000" w:sz="2" w:space="0"/>
              <w:right w:val="single" w:color="000000" w:sz="2" w:space="0"/>
            </w:tcBorders>
            <w:vAlign w:val="top"/>
          </w:tcPr>
          <w:p w14:paraId="6B872D9A">
            <w:pPr>
              <w:spacing w:before="154" w:line="195" w:lineRule="auto"/>
              <w:ind w:left="460"/>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1412" w:type="dxa"/>
            <w:vMerge w:val="continue"/>
            <w:tcBorders>
              <w:top w:val="nil"/>
              <w:left w:val="single" w:color="000000" w:sz="2" w:space="0"/>
              <w:bottom w:val="nil"/>
            </w:tcBorders>
            <w:vAlign w:val="top"/>
          </w:tcPr>
          <w:p w14:paraId="402C7ADF">
            <w:pPr>
              <w:rPr>
                <w:rFonts w:ascii="Arial"/>
                <w:sz w:val="21"/>
              </w:rPr>
            </w:pPr>
          </w:p>
        </w:tc>
        <w:tc>
          <w:tcPr>
            <w:tcW w:w="1392" w:type="dxa"/>
            <w:tcBorders>
              <w:right w:val="single" w:color="000000" w:sz="6" w:space="0"/>
            </w:tcBorders>
            <w:vAlign w:val="top"/>
          </w:tcPr>
          <w:p w14:paraId="7F84F8C8">
            <w:pPr>
              <w:spacing w:before="154" w:line="195" w:lineRule="auto"/>
              <w:ind w:left="5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r>
      <w:tr w14:paraId="0EB795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495" w:type="dxa"/>
            <w:vMerge w:val="continue"/>
            <w:tcBorders>
              <w:top w:val="nil"/>
              <w:left w:val="single" w:color="000000" w:sz="6" w:space="0"/>
              <w:bottom w:val="nil"/>
              <w:right w:val="single" w:color="000000" w:sz="2" w:space="0"/>
            </w:tcBorders>
            <w:vAlign w:val="top"/>
          </w:tcPr>
          <w:p w14:paraId="4F18E02E">
            <w:pPr>
              <w:rPr>
                <w:rFonts w:ascii="Arial"/>
                <w:sz w:val="21"/>
              </w:rPr>
            </w:pPr>
          </w:p>
        </w:tc>
        <w:tc>
          <w:tcPr>
            <w:tcW w:w="1070" w:type="dxa"/>
            <w:vMerge w:val="continue"/>
            <w:tcBorders>
              <w:top w:val="nil"/>
              <w:left w:val="single" w:color="000000" w:sz="2" w:space="0"/>
              <w:bottom w:val="nil"/>
              <w:right w:val="single" w:color="000000" w:sz="2" w:space="0"/>
            </w:tcBorders>
            <w:vAlign w:val="top"/>
          </w:tcPr>
          <w:p w14:paraId="78C0B3C3">
            <w:pPr>
              <w:rPr>
                <w:rFonts w:ascii="Arial"/>
                <w:sz w:val="21"/>
              </w:rPr>
            </w:pPr>
          </w:p>
        </w:tc>
        <w:tc>
          <w:tcPr>
            <w:tcW w:w="1688" w:type="dxa"/>
            <w:tcBorders>
              <w:left w:val="single" w:color="000000" w:sz="2" w:space="0"/>
            </w:tcBorders>
            <w:vAlign w:val="top"/>
          </w:tcPr>
          <w:p w14:paraId="37B788E4">
            <w:pPr>
              <w:pStyle w:val="6"/>
              <w:spacing w:before="117" w:line="228" w:lineRule="auto"/>
              <w:ind w:left="446"/>
              <w:rPr>
                <w:rFonts w:ascii="Times New Roman" w:hAnsi="Times New Roman" w:eastAsia="Times New Roman" w:cs="Times New Roman"/>
                <w:sz w:val="20"/>
                <w:szCs w:val="20"/>
              </w:rPr>
            </w:pPr>
            <w:r>
              <w:rPr>
                <w:spacing w:val="5"/>
                <w:sz w:val="20"/>
                <w:szCs w:val="20"/>
              </w:rPr>
              <w:t>钻井泵</w:t>
            </w:r>
            <w:r>
              <w:rPr>
                <w:spacing w:val="-41"/>
                <w:sz w:val="20"/>
                <w:szCs w:val="20"/>
              </w:rPr>
              <w:t xml:space="preserve"> </w:t>
            </w:r>
            <w:r>
              <w:rPr>
                <w:rFonts w:ascii="Times New Roman" w:hAnsi="Times New Roman" w:eastAsia="Times New Roman" w:cs="Times New Roman"/>
                <w:spacing w:val="5"/>
                <w:sz w:val="20"/>
                <w:szCs w:val="20"/>
              </w:rPr>
              <w:t>2</w:t>
            </w:r>
          </w:p>
        </w:tc>
        <w:tc>
          <w:tcPr>
            <w:tcW w:w="563" w:type="dxa"/>
            <w:vAlign w:val="top"/>
          </w:tcPr>
          <w:p w14:paraId="47490439">
            <w:pPr>
              <w:spacing w:before="161" w:line="195" w:lineRule="auto"/>
              <w:ind w:left="17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72</w:t>
            </w:r>
          </w:p>
        </w:tc>
        <w:tc>
          <w:tcPr>
            <w:tcW w:w="591" w:type="dxa"/>
            <w:tcBorders>
              <w:right w:val="single" w:color="000000" w:sz="2" w:space="0"/>
            </w:tcBorders>
            <w:vAlign w:val="top"/>
          </w:tcPr>
          <w:p w14:paraId="505B5315">
            <w:pPr>
              <w:spacing w:before="154" w:line="195" w:lineRule="auto"/>
              <w:ind w:left="188"/>
              <w:rPr>
                <w:rFonts w:ascii="Times New Roman" w:hAnsi="Times New Roman" w:eastAsia="Times New Roman" w:cs="Times New Roman"/>
                <w:sz w:val="20"/>
                <w:szCs w:val="20"/>
              </w:rPr>
            </w:pPr>
            <w:r>
              <w:rPr>
                <w:rFonts w:ascii="Times New Roman" w:hAnsi="Times New Roman" w:eastAsia="Times New Roman" w:cs="Times New Roman"/>
                <w:sz w:val="20"/>
                <w:szCs w:val="20"/>
              </w:rPr>
              <w:t>68</w:t>
            </w:r>
          </w:p>
        </w:tc>
        <w:tc>
          <w:tcPr>
            <w:tcW w:w="564" w:type="dxa"/>
            <w:tcBorders>
              <w:left w:val="single" w:color="000000" w:sz="2" w:space="0"/>
              <w:right w:val="single" w:color="000000" w:sz="2" w:space="0"/>
            </w:tcBorders>
            <w:vAlign w:val="top"/>
          </w:tcPr>
          <w:p w14:paraId="43C4BAA7">
            <w:pPr>
              <w:spacing w:before="154" w:line="195" w:lineRule="auto"/>
              <w:ind w:left="24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26" w:type="dxa"/>
            <w:tcBorders>
              <w:left w:val="single" w:color="000000" w:sz="2" w:space="0"/>
              <w:right w:val="single" w:color="000000" w:sz="2" w:space="0"/>
            </w:tcBorders>
            <w:vAlign w:val="top"/>
          </w:tcPr>
          <w:p w14:paraId="56A23E8E">
            <w:pPr>
              <w:spacing w:before="154" w:line="195" w:lineRule="auto"/>
              <w:ind w:left="460"/>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1412" w:type="dxa"/>
            <w:vMerge w:val="continue"/>
            <w:tcBorders>
              <w:top w:val="nil"/>
              <w:left w:val="single" w:color="000000" w:sz="2" w:space="0"/>
              <w:bottom w:val="nil"/>
            </w:tcBorders>
            <w:vAlign w:val="top"/>
          </w:tcPr>
          <w:p w14:paraId="08A6C519">
            <w:pPr>
              <w:rPr>
                <w:rFonts w:ascii="Arial"/>
                <w:sz w:val="21"/>
              </w:rPr>
            </w:pPr>
          </w:p>
        </w:tc>
        <w:tc>
          <w:tcPr>
            <w:tcW w:w="1392" w:type="dxa"/>
            <w:tcBorders>
              <w:right w:val="single" w:color="000000" w:sz="6" w:space="0"/>
            </w:tcBorders>
            <w:vAlign w:val="top"/>
          </w:tcPr>
          <w:p w14:paraId="5411A8EE">
            <w:pPr>
              <w:spacing w:before="154" w:line="195" w:lineRule="auto"/>
              <w:ind w:left="5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r>
      <w:tr w14:paraId="46D474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495" w:type="dxa"/>
            <w:vMerge w:val="continue"/>
            <w:tcBorders>
              <w:top w:val="nil"/>
              <w:left w:val="single" w:color="000000" w:sz="6" w:space="0"/>
              <w:bottom w:val="nil"/>
              <w:right w:val="single" w:color="000000" w:sz="2" w:space="0"/>
            </w:tcBorders>
            <w:vAlign w:val="top"/>
          </w:tcPr>
          <w:p w14:paraId="548DAFAA">
            <w:pPr>
              <w:rPr>
                <w:rFonts w:ascii="Arial"/>
                <w:sz w:val="21"/>
              </w:rPr>
            </w:pPr>
          </w:p>
        </w:tc>
        <w:tc>
          <w:tcPr>
            <w:tcW w:w="1070" w:type="dxa"/>
            <w:vMerge w:val="continue"/>
            <w:tcBorders>
              <w:top w:val="nil"/>
              <w:left w:val="single" w:color="000000" w:sz="2" w:space="0"/>
              <w:bottom w:val="nil"/>
              <w:right w:val="single" w:color="000000" w:sz="2" w:space="0"/>
            </w:tcBorders>
            <w:vAlign w:val="top"/>
          </w:tcPr>
          <w:p w14:paraId="5956F0F7">
            <w:pPr>
              <w:rPr>
                <w:rFonts w:ascii="Arial"/>
                <w:sz w:val="21"/>
              </w:rPr>
            </w:pPr>
          </w:p>
        </w:tc>
        <w:tc>
          <w:tcPr>
            <w:tcW w:w="1688" w:type="dxa"/>
            <w:tcBorders>
              <w:left w:val="single" w:color="000000" w:sz="2" w:space="0"/>
            </w:tcBorders>
            <w:vAlign w:val="top"/>
          </w:tcPr>
          <w:p w14:paraId="03DCAA69">
            <w:pPr>
              <w:pStyle w:val="6"/>
              <w:spacing w:before="117" w:line="228" w:lineRule="auto"/>
              <w:ind w:left="445"/>
              <w:rPr>
                <w:rFonts w:ascii="Times New Roman" w:hAnsi="Times New Roman" w:eastAsia="Times New Roman" w:cs="Times New Roman"/>
                <w:sz w:val="20"/>
                <w:szCs w:val="20"/>
              </w:rPr>
            </w:pPr>
            <w:r>
              <w:rPr>
                <w:spacing w:val="5"/>
                <w:sz w:val="20"/>
                <w:szCs w:val="20"/>
              </w:rPr>
              <w:t>振动筛</w:t>
            </w:r>
            <w:r>
              <w:rPr>
                <w:spacing w:val="-20"/>
                <w:sz w:val="20"/>
                <w:szCs w:val="20"/>
              </w:rPr>
              <w:t xml:space="preserve"> </w:t>
            </w:r>
            <w:r>
              <w:rPr>
                <w:rFonts w:ascii="Times New Roman" w:hAnsi="Times New Roman" w:eastAsia="Times New Roman" w:cs="Times New Roman"/>
                <w:spacing w:val="5"/>
                <w:sz w:val="20"/>
                <w:szCs w:val="20"/>
              </w:rPr>
              <w:t>1</w:t>
            </w:r>
          </w:p>
        </w:tc>
        <w:tc>
          <w:tcPr>
            <w:tcW w:w="563" w:type="dxa"/>
            <w:vAlign w:val="top"/>
          </w:tcPr>
          <w:p w14:paraId="347CEE9E">
            <w:pPr>
              <w:spacing w:before="160" w:line="195" w:lineRule="auto"/>
              <w:ind w:left="177"/>
              <w:rPr>
                <w:rFonts w:ascii="Times New Roman" w:hAnsi="Times New Roman" w:eastAsia="Times New Roman" w:cs="Times New Roman"/>
                <w:sz w:val="20"/>
                <w:szCs w:val="20"/>
              </w:rPr>
            </w:pPr>
            <w:r>
              <w:rPr>
                <w:rFonts w:ascii="Times New Roman" w:hAnsi="Times New Roman" w:eastAsia="Times New Roman" w:cs="Times New Roman"/>
                <w:sz w:val="20"/>
                <w:szCs w:val="20"/>
              </w:rPr>
              <w:t>97</w:t>
            </w:r>
          </w:p>
        </w:tc>
        <w:tc>
          <w:tcPr>
            <w:tcW w:w="591" w:type="dxa"/>
            <w:tcBorders>
              <w:right w:val="single" w:color="000000" w:sz="2" w:space="0"/>
            </w:tcBorders>
            <w:vAlign w:val="top"/>
          </w:tcPr>
          <w:p w14:paraId="050414B1">
            <w:pPr>
              <w:spacing w:before="153" w:line="195" w:lineRule="auto"/>
              <w:ind w:left="188"/>
              <w:rPr>
                <w:rFonts w:ascii="Times New Roman" w:hAnsi="Times New Roman" w:eastAsia="Times New Roman" w:cs="Times New Roman"/>
                <w:sz w:val="20"/>
                <w:szCs w:val="20"/>
              </w:rPr>
            </w:pPr>
            <w:r>
              <w:rPr>
                <w:rFonts w:ascii="Times New Roman" w:hAnsi="Times New Roman" w:eastAsia="Times New Roman" w:cs="Times New Roman"/>
                <w:sz w:val="20"/>
                <w:szCs w:val="20"/>
              </w:rPr>
              <w:t>62</w:t>
            </w:r>
          </w:p>
        </w:tc>
        <w:tc>
          <w:tcPr>
            <w:tcW w:w="564" w:type="dxa"/>
            <w:tcBorders>
              <w:left w:val="single" w:color="000000" w:sz="2" w:space="0"/>
              <w:right w:val="single" w:color="000000" w:sz="2" w:space="0"/>
            </w:tcBorders>
            <w:vAlign w:val="top"/>
          </w:tcPr>
          <w:p w14:paraId="68C7B0F4">
            <w:pPr>
              <w:spacing w:before="153" w:line="195" w:lineRule="auto"/>
              <w:ind w:left="24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26" w:type="dxa"/>
            <w:tcBorders>
              <w:left w:val="single" w:color="000000" w:sz="2" w:space="0"/>
              <w:right w:val="single" w:color="000000" w:sz="2" w:space="0"/>
            </w:tcBorders>
            <w:vAlign w:val="top"/>
          </w:tcPr>
          <w:p w14:paraId="1B1D72D6">
            <w:pPr>
              <w:spacing w:before="153" w:line="195" w:lineRule="auto"/>
              <w:ind w:left="4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w:t>
            </w:r>
          </w:p>
        </w:tc>
        <w:tc>
          <w:tcPr>
            <w:tcW w:w="1412" w:type="dxa"/>
            <w:vMerge w:val="continue"/>
            <w:tcBorders>
              <w:top w:val="nil"/>
              <w:left w:val="single" w:color="000000" w:sz="2" w:space="0"/>
              <w:bottom w:val="nil"/>
            </w:tcBorders>
            <w:vAlign w:val="top"/>
          </w:tcPr>
          <w:p w14:paraId="0CA73115">
            <w:pPr>
              <w:rPr>
                <w:rFonts w:ascii="Arial"/>
                <w:sz w:val="21"/>
              </w:rPr>
            </w:pPr>
          </w:p>
        </w:tc>
        <w:tc>
          <w:tcPr>
            <w:tcW w:w="1392" w:type="dxa"/>
            <w:tcBorders>
              <w:right w:val="single" w:color="000000" w:sz="6" w:space="0"/>
            </w:tcBorders>
            <w:vAlign w:val="top"/>
          </w:tcPr>
          <w:p w14:paraId="7345E4A2">
            <w:pPr>
              <w:spacing w:before="156" w:line="192" w:lineRule="auto"/>
              <w:ind w:left="53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r>
      <w:tr w14:paraId="50B619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495" w:type="dxa"/>
            <w:vMerge w:val="continue"/>
            <w:tcBorders>
              <w:top w:val="nil"/>
              <w:left w:val="single" w:color="000000" w:sz="6" w:space="0"/>
              <w:bottom w:val="nil"/>
              <w:right w:val="single" w:color="000000" w:sz="2" w:space="0"/>
            </w:tcBorders>
            <w:vAlign w:val="top"/>
          </w:tcPr>
          <w:p w14:paraId="6E545686">
            <w:pPr>
              <w:rPr>
                <w:rFonts w:ascii="Arial"/>
                <w:sz w:val="21"/>
              </w:rPr>
            </w:pPr>
          </w:p>
        </w:tc>
        <w:tc>
          <w:tcPr>
            <w:tcW w:w="1070" w:type="dxa"/>
            <w:vMerge w:val="continue"/>
            <w:tcBorders>
              <w:top w:val="nil"/>
              <w:left w:val="single" w:color="000000" w:sz="2" w:space="0"/>
              <w:right w:val="single" w:color="000000" w:sz="2" w:space="0"/>
            </w:tcBorders>
            <w:vAlign w:val="top"/>
          </w:tcPr>
          <w:p w14:paraId="65B98001">
            <w:pPr>
              <w:rPr>
                <w:rFonts w:ascii="Arial"/>
                <w:sz w:val="21"/>
              </w:rPr>
            </w:pPr>
          </w:p>
        </w:tc>
        <w:tc>
          <w:tcPr>
            <w:tcW w:w="1688" w:type="dxa"/>
            <w:tcBorders>
              <w:left w:val="single" w:color="000000" w:sz="2" w:space="0"/>
            </w:tcBorders>
            <w:vAlign w:val="top"/>
          </w:tcPr>
          <w:p w14:paraId="2212F8B4">
            <w:pPr>
              <w:pStyle w:val="6"/>
              <w:spacing w:before="118" w:line="228" w:lineRule="auto"/>
              <w:ind w:left="445"/>
              <w:rPr>
                <w:rFonts w:ascii="Times New Roman" w:hAnsi="Times New Roman" w:eastAsia="Times New Roman" w:cs="Times New Roman"/>
                <w:sz w:val="20"/>
                <w:szCs w:val="20"/>
              </w:rPr>
            </w:pPr>
            <w:r>
              <w:rPr>
                <w:spacing w:val="5"/>
                <w:sz w:val="20"/>
                <w:szCs w:val="20"/>
              </w:rPr>
              <w:t>振动筛</w:t>
            </w:r>
            <w:r>
              <w:rPr>
                <w:spacing w:val="-40"/>
                <w:sz w:val="20"/>
                <w:szCs w:val="20"/>
              </w:rPr>
              <w:t xml:space="preserve"> </w:t>
            </w:r>
            <w:r>
              <w:rPr>
                <w:rFonts w:ascii="Times New Roman" w:hAnsi="Times New Roman" w:eastAsia="Times New Roman" w:cs="Times New Roman"/>
                <w:spacing w:val="5"/>
                <w:sz w:val="20"/>
                <w:szCs w:val="20"/>
              </w:rPr>
              <w:t>2</w:t>
            </w:r>
          </w:p>
        </w:tc>
        <w:tc>
          <w:tcPr>
            <w:tcW w:w="563" w:type="dxa"/>
            <w:vAlign w:val="top"/>
          </w:tcPr>
          <w:p w14:paraId="4AC9F4A8">
            <w:pPr>
              <w:spacing w:before="162" w:line="195" w:lineRule="auto"/>
              <w:ind w:left="177"/>
              <w:rPr>
                <w:rFonts w:ascii="Times New Roman" w:hAnsi="Times New Roman" w:eastAsia="Times New Roman" w:cs="Times New Roman"/>
                <w:sz w:val="20"/>
                <w:szCs w:val="20"/>
              </w:rPr>
            </w:pPr>
            <w:r>
              <w:rPr>
                <w:rFonts w:ascii="Times New Roman" w:hAnsi="Times New Roman" w:eastAsia="Times New Roman" w:cs="Times New Roman"/>
                <w:sz w:val="20"/>
                <w:szCs w:val="20"/>
              </w:rPr>
              <w:t>96</w:t>
            </w:r>
          </w:p>
        </w:tc>
        <w:tc>
          <w:tcPr>
            <w:tcW w:w="591" w:type="dxa"/>
            <w:tcBorders>
              <w:right w:val="single" w:color="000000" w:sz="2" w:space="0"/>
            </w:tcBorders>
            <w:vAlign w:val="top"/>
          </w:tcPr>
          <w:p w14:paraId="32DC15FB">
            <w:pPr>
              <w:spacing w:before="157" w:line="192" w:lineRule="auto"/>
              <w:ind w:left="189"/>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564" w:type="dxa"/>
            <w:tcBorders>
              <w:left w:val="single" w:color="000000" w:sz="2" w:space="0"/>
              <w:right w:val="single" w:color="000000" w:sz="2" w:space="0"/>
            </w:tcBorders>
            <w:vAlign w:val="top"/>
          </w:tcPr>
          <w:p w14:paraId="0A3DB714">
            <w:pPr>
              <w:spacing w:before="155" w:line="195" w:lineRule="auto"/>
              <w:ind w:left="24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26" w:type="dxa"/>
            <w:tcBorders>
              <w:left w:val="single" w:color="000000" w:sz="2" w:space="0"/>
              <w:right w:val="single" w:color="000000" w:sz="2" w:space="0"/>
            </w:tcBorders>
            <w:vAlign w:val="top"/>
          </w:tcPr>
          <w:p w14:paraId="30FEDCE6">
            <w:pPr>
              <w:spacing w:before="154" w:line="195" w:lineRule="auto"/>
              <w:ind w:left="4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w:t>
            </w:r>
          </w:p>
        </w:tc>
        <w:tc>
          <w:tcPr>
            <w:tcW w:w="1412" w:type="dxa"/>
            <w:vMerge w:val="continue"/>
            <w:tcBorders>
              <w:top w:val="nil"/>
              <w:left w:val="single" w:color="000000" w:sz="2" w:space="0"/>
            </w:tcBorders>
            <w:vAlign w:val="top"/>
          </w:tcPr>
          <w:p w14:paraId="78C6A5C2">
            <w:pPr>
              <w:rPr>
                <w:rFonts w:ascii="Arial"/>
                <w:sz w:val="21"/>
              </w:rPr>
            </w:pPr>
          </w:p>
        </w:tc>
        <w:tc>
          <w:tcPr>
            <w:tcW w:w="1392" w:type="dxa"/>
            <w:tcBorders>
              <w:right w:val="single" w:color="000000" w:sz="6" w:space="0"/>
            </w:tcBorders>
            <w:vAlign w:val="top"/>
          </w:tcPr>
          <w:p w14:paraId="1714E0BB">
            <w:pPr>
              <w:spacing w:before="157" w:line="192" w:lineRule="auto"/>
              <w:ind w:left="53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r>
      <w:tr w14:paraId="25933F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495" w:type="dxa"/>
            <w:vMerge w:val="continue"/>
            <w:tcBorders>
              <w:top w:val="nil"/>
              <w:left w:val="single" w:color="000000" w:sz="6" w:space="0"/>
              <w:bottom w:val="single" w:color="000000" w:sz="6" w:space="0"/>
              <w:right w:val="single" w:color="000000" w:sz="2" w:space="0"/>
            </w:tcBorders>
            <w:vAlign w:val="top"/>
          </w:tcPr>
          <w:p w14:paraId="2A9FF6DB">
            <w:pPr>
              <w:rPr>
                <w:rFonts w:ascii="Arial"/>
                <w:sz w:val="21"/>
              </w:rPr>
            </w:pPr>
          </w:p>
        </w:tc>
        <w:tc>
          <w:tcPr>
            <w:tcW w:w="8406" w:type="dxa"/>
            <w:gridSpan w:val="8"/>
            <w:tcBorders>
              <w:left w:val="single" w:color="000000" w:sz="2" w:space="0"/>
              <w:bottom w:val="single" w:color="000000" w:sz="6" w:space="0"/>
              <w:right w:val="single" w:color="000000" w:sz="6" w:space="0"/>
            </w:tcBorders>
            <w:vAlign w:val="top"/>
          </w:tcPr>
          <w:p w14:paraId="3D0C530F">
            <w:pPr>
              <w:pStyle w:val="6"/>
              <w:spacing w:before="118" w:line="227" w:lineRule="auto"/>
              <w:ind w:left="215"/>
              <w:rPr>
                <w:sz w:val="20"/>
                <w:szCs w:val="20"/>
              </w:rPr>
            </w:pPr>
            <w:r>
              <w:rPr>
                <w:spacing w:val="5"/>
                <w:sz w:val="20"/>
                <w:szCs w:val="20"/>
              </w:rPr>
              <w:t>注：</w:t>
            </w:r>
            <w:r>
              <w:rPr>
                <w:spacing w:val="-54"/>
                <w:sz w:val="20"/>
                <w:szCs w:val="20"/>
              </w:rPr>
              <w:t xml:space="preserve"> </w:t>
            </w:r>
            <w:r>
              <w:rPr>
                <w:spacing w:val="5"/>
                <w:sz w:val="20"/>
                <w:szCs w:val="20"/>
              </w:rPr>
              <w:t>以扎格</w:t>
            </w:r>
            <w:r>
              <w:rPr>
                <w:spacing w:val="-39"/>
                <w:sz w:val="20"/>
                <w:szCs w:val="20"/>
              </w:rPr>
              <w:t xml:space="preserve"> </w:t>
            </w:r>
            <w:r>
              <w:rPr>
                <w:rFonts w:ascii="Times New Roman" w:hAnsi="Times New Roman" w:eastAsia="Times New Roman" w:cs="Times New Roman"/>
                <w:spacing w:val="5"/>
                <w:sz w:val="20"/>
                <w:szCs w:val="20"/>
              </w:rPr>
              <w:t xml:space="preserve">9X </w:t>
            </w:r>
            <w:r>
              <w:rPr>
                <w:spacing w:val="5"/>
                <w:sz w:val="20"/>
                <w:szCs w:val="20"/>
              </w:rPr>
              <w:t>井场西南角为坐标原点。</w:t>
            </w:r>
          </w:p>
        </w:tc>
      </w:tr>
    </w:tbl>
    <w:p w14:paraId="556A4505">
      <w:pPr>
        <w:rPr>
          <w:rFonts w:ascii="Arial"/>
          <w:sz w:val="21"/>
        </w:rPr>
      </w:pPr>
    </w:p>
    <w:p w14:paraId="0F948B05">
      <w:pPr>
        <w:rPr>
          <w:rFonts w:ascii="Arial" w:hAnsi="Arial" w:eastAsia="Arial" w:cs="Arial"/>
          <w:sz w:val="21"/>
          <w:szCs w:val="21"/>
        </w:rPr>
        <w:sectPr>
          <w:footerReference r:id="rId67" w:type="default"/>
          <w:pgSz w:w="11906" w:h="16839"/>
          <w:pgMar w:top="400" w:right="1410" w:bottom="1240" w:left="1579" w:header="0" w:footer="1078" w:gutter="0"/>
          <w:cols w:space="720" w:num="1"/>
        </w:sectPr>
      </w:pPr>
    </w:p>
    <w:p w14:paraId="0CE17DFA">
      <w:pPr>
        <w:spacing w:before="56"/>
      </w:pPr>
    </w:p>
    <w:p w14:paraId="176C73C4">
      <w:pPr>
        <w:spacing w:before="56"/>
      </w:pPr>
    </w:p>
    <w:p w14:paraId="5D16BFD7">
      <w:pPr>
        <w:spacing w:before="55"/>
      </w:pPr>
    </w:p>
    <w:p w14:paraId="02E2E3E1">
      <w:pPr>
        <w:spacing w:before="55"/>
      </w:pPr>
    </w:p>
    <w:tbl>
      <w:tblPr>
        <w:tblStyle w:val="5"/>
        <w:tblW w:w="8901"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5"/>
        <w:gridCol w:w="1508"/>
        <w:gridCol w:w="407"/>
        <w:gridCol w:w="850"/>
        <w:gridCol w:w="146"/>
        <w:gridCol w:w="422"/>
        <w:gridCol w:w="567"/>
        <w:gridCol w:w="568"/>
        <w:gridCol w:w="424"/>
        <w:gridCol w:w="707"/>
        <w:gridCol w:w="283"/>
        <w:gridCol w:w="970"/>
        <w:gridCol w:w="162"/>
        <w:gridCol w:w="1392"/>
      </w:tblGrid>
      <w:tr w14:paraId="60212A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2" w:hRule="atLeast"/>
        </w:trPr>
        <w:tc>
          <w:tcPr>
            <w:tcW w:w="495" w:type="dxa"/>
            <w:vMerge w:val="restart"/>
            <w:tcBorders>
              <w:top w:val="single" w:color="000000" w:sz="6" w:space="0"/>
              <w:left w:val="single" w:color="000000" w:sz="6" w:space="0"/>
              <w:bottom w:val="nil"/>
              <w:right w:val="single" w:color="000000" w:sz="2" w:space="0"/>
            </w:tcBorders>
            <w:vAlign w:val="top"/>
          </w:tcPr>
          <w:p w14:paraId="0BAF7F2D">
            <w:pPr>
              <w:rPr>
                <w:rFonts w:ascii="Arial"/>
                <w:sz w:val="21"/>
              </w:rPr>
            </w:pPr>
          </w:p>
        </w:tc>
        <w:tc>
          <w:tcPr>
            <w:tcW w:w="8406" w:type="dxa"/>
            <w:gridSpan w:val="13"/>
            <w:tcBorders>
              <w:top w:val="single" w:color="000000" w:sz="6" w:space="0"/>
              <w:left w:val="single" w:color="000000" w:sz="2" w:space="0"/>
              <w:bottom w:val="single" w:color="000000" w:sz="10" w:space="0"/>
              <w:right w:val="single" w:color="000000" w:sz="6" w:space="0"/>
            </w:tcBorders>
            <w:vAlign w:val="top"/>
          </w:tcPr>
          <w:p w14:paraId="6FCC85E4">
            <w:pPr>
              <w:pStyle w:val="6"/>
              <w:spacing w:before="41" w:line="359" w:lineRule="auto"/>
              <w:ind w:left="107" w:right="100" w:firstLine="480"/>
              <w:jc w:val="both"/>
            </w:pPr>
            <w:r>
              <w:rPr>
                <w:spacing w:val="1"/>
              </w:rPr>
              <w:t>钻井过程为连续作业过程，钻井阶段噪声处理难度较大，</w:t>
            </w:r>
            <w:r>
              <w:t>一般采用噪声源</w:t>
            </w:r>
            <w:r>
              <w:rPr>
                <w:spacing w:val="1"/>
              </w:rPr>
              <w:t>及声传播途径控制措施降噪：柴油机、钻机、钻井泵等均选</w:t>
            </w:r>
            <w:r>
              <w:t>用低噪声设备并安装防振基座以实现基础减振，并定期维护保养</w:t>
            </w:r>
            <w:r>
              <w:rPr>
                <w:spacing w:val="-1"/>
              </w:rPr>
              <w:t>，确保设备正常运行。</w:t>
            </w:r>
          </w:p>
          <w:p w14:paraId="4489AB5A">
            <w:pPr>
              <w:pStyle w:val="6"/>
              <w:spacing w:line="359" w:lineRule="auto"/>
              <w:ind w:left="111" w:right="100" w:firstLine="479"/>
            </w:pPr>
            <w:r>
              <w:rPr>
                <w:spacing w:val="1"/>
              </w:rPr>
              <w:t>按照噪声预测模式，结合各噪声源到预测点距离，通</w:t>
            </w:r>
            <w:r>
              <w:t>过计算，得出项目施</w:t>
            </w:r>
            <w:r>
              <w:rPr>
                <w:spacing w:val="-1"/>
              </w:rPr>
              <w:t>工期噪声源对场界四周的贡献值。</w:t>
            </w:r>
          </w:p>
          <w:p w14:paraId="4A094CF3">
            <w:pPr>
              <w:spacing w:line="213" w:lineRule="auto"/>
              <w:ind w:left="2428"/>
              <w:rPr>
                <w:rFonts w:ascii="黑体" w:hAnsi="黑体" w:eastAsia="黑体" w:cs="黑体"/>
                <w:sz w:val="24"/>
                <w:szCs w:val="24"/>
              </w:rPr>
            </w:pPr>
            <w:r>
              <w:rPr>
                <w:rFonts w:ascii="黑体" w:hAnsi="黑体" w:eastAsia="黑体" w:cs="黑体"/>
                <w:spacing w:val="-1"/>
                <w:sz w:val="24"/>
                <w:szCs w:val="24"/>
              </w:rPr>
              <w:t>表</w:t>
            </w:r>
            <w:r>
              <w:rPr>
                <w:rFonts w:ascii="Times New Roman" w:hAnsi="Times New Roman" w:eastAsia="Times New Roman" w:cs="Times New Roman"/>
                <w:spacing w:val="-1"/>
                <w:sz w:val="24"/>
                <w:szCs w:val="24"/>
              </w:rPr>
              <w:t xml:space="preserve">4-4  </w:t>
            </w:r>
            <w:r>
              <w:rPr>
                <w:rFonts w:ascii="黑体" w:hAnsi="黑体" w:eastAsia="黑体" w:cs="黑体"/>
                <w:spacing w:val="-1"/>
                <w:sz w:val="24"/>
                <w:szCs w:val="24"/>
              </w:rPr>
              <w:t>钻井阶段场界噪声贡献情况</w:t>
            </w:r>
          </w:p>
        </w:tc>
      </w:tr>
      <w:tr w14:paraId="02A18F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495" w:type="dxa"/>
            <w:vMerge w:val="continue"/>
            <w:tcBorders>
              <w:top w:val="nil"/>
              <w:left w:val="single" w:color="000000" w:sz="6" w:space="0"/>
              <w:bottom w:val="nil"/>
              <w:right w:val="single" w:color="000000" w:sz="2" w:space="0"/>
            </w:tcBorders>
            <w:vAlign w:val="top"/>
          </w:tcPr>
          <w:p w14:paraId="4D76CD5E">
            <w:pPr>
              <w:rPr>
                <w:rFonts w:ascii="Arial"/>
                <w:sz w:val="21"/>
              </w:rPr>
            </w:pPr>
          </w:p>
        </w:tc>
        <w:tc>
          <w:tcPr>
            <w:tcW w:w="2911" w:type="dxa"/>
            <w:gridSpan w:val="4"/>
            <w:vMerge w:val="restart"/>
            <w:tcBorders>
              <w:top w:val="single" w:color="000000" w:sz="10" w:space="0"/>
              <w:left w:val="single" w:color="000000" w:sz="2" w:space="0"/>
              <w:bottom w:val="nil"/>
            </w:tcBorders>
            <w:vAlign w:val="top"/>
          </w:tcPr>
          <w:p w14:paraId="12BD7085">
            <w:pPr>
              <w:pStyle w:val="6"/>
              <w:spacing w:before="235" w:line="228" w:lineRule="auto"/>
              <w:ind w:left="987"/>
              <w:rPr>
                <w:sz w:val="20"/>
                <w:szCs w:val="20"/>
              </w:rPr>
            </w:pPr>
            <w:r>
              <w:rPr>
                <w:spacing w:val="7"/>
                <w:sz w:val="20"/>
                <w:szCs w:val="20"/>
              </w:rPr>
              <w:t>预测点名称</w:t>
            </w:r>
          </w:p>
        </w:tc>
        <w:tc>
          <w:tcPr>
            <w:tcW w:w="1981" w:type="dxa"/>
            <w:gridSpan w:val="4"/>
            <w:tcBorders>
              <w:top w:val="single" w:color="000000" w:sz="10" w:space="0"/>
            </w:tcBorders>
            <w:vAlign w:val="top"/>
          </w:tcPr>
          <w:p w14:paraId="6CAC6E3A">
            <w:pPr>
              <w:pStyle w:val="6"/>
              <w:spacing w:before="57" w:line="228" w:lineRule="auto"/>
              <w:ind w:left="247"/>
              <w:rPr>
                <w:sz w:val="20"/>
                <w:szCs w:val="20"/>
              </w:rPr>
            </w:pPr>
            <w:r>
              <w:rPr>
                <w:spacing w:val="6"/>
                <w:sz w:val="20"/>
                <w:szCs w:val="20"/>
              </w:rPr>
              <w:t>贡献值</w:t>
            </w:r>
            <w:r>
              <w:rPr>
                <w:spacing w:val="-37"/>
                <w:sz w:val="20"/>
                <w:szCs w:val="20"/>
              </w:rPr>
              <w:t xml:space="preserve"> </w:t>
            </w:r>
            <w:r>
              <w:rPr>
                <w:rFonts w:ascii="Times New Roman" w:hAnsi="Times New Roman" w:eastAsia="Times New Roman" w:cs="Times New Roman"/>
                <w:sz w:val="20"/>
                <w:szCs w:val="20"/>
              </w:rPr>
              <w:t>dB</w:t>
            </w:r>
            <w:r>
              <w:rPr>
                <w:spacing w:val="6"/>
                <w:sz w:val="20"/>
                <w:szCs w:val="20"/>
              </w:rPr>
              <w:t>（</w:t>
            </w:r>
            <w:r>
              <w:rPr>
                <w:rFonts w:ascii="Times New Roman" w:hAnsi="Times New Roman" w:eastAsia="Times New Roman" w:cs="Times New Roman"/>
                <w:spacing w:val="6"/>
                <w:sz w:val="20"/>
                <w:szCs w:val="20"/>
              </w:rPr>
              <w:t>A</w:t>
            </w:r>
            <w:r>
              <w:rPr>
                <w:spacing w:val="6"/>
                <w:sz w:val="20"/>
                <w:szCs w:val="20"/>
              </w:rPr>
              <w:t>）</w:t>
            </w:r>
          </w:p>
        </w:tc>
        <w:tc>
          <w:tcPr>
            <w:tcW w:w="1960" w:type="dxa"/>
            <w:gridSpan w:val="3"/>
            <w:tcBorders>
              <w:top w:val="single" w:color="000000" w:sz="10" w:space="0"/>
            </w:tcBorders>
            <w:vAlign w:val="top"/>
          </w:tcPr>
          <w:p w14:paraId="4CF46A84">
            <w:pPr>
              <w:pStyle w:val="6"/>
              <w:spacing w:before="57" w:line="228" w:lineRule="auto"/>
              <w:ind w:left="239"/>
              <w:rPr>
                <w:sz w:val="20"/>
                <w:szCs w:val="20"/>
              </w:rPr>
            </w:pPr>
            <w:r>
              <w:rPr>
                <w:spacing w:val="6"/>
                <w:sz w:val="20"/>
                <w:szCs w:val="20"/>
              </w:rPr>
              <w:t>标准值</w:t>
            </w:r>
            <w:r>
              <w:rPr>
                <w:spacing w:val="-38"/>
                <w:sz w:val="20"/>
                <w:szCs w:val="20"/>
              </w:rPr>
              <w:t xml:space="preserve"> </w:t>
            </w:r>
            <w:r>
              <w:rPr>
                <w:rFonts w:ascii="Times New Roman" w:hAnsi="Times New Roman" w:eastAsia="Times New Roman" w:cs="Times New Roman"/>
                <w:sz w:val="20"/>
                <w:szCs w:val="20"/>
              </w:rPr>
              <w:t>dB</w:t>
            </w:r>
            <w:r>
              <w:rPr>
                <w:spacing w:val="6"/>
                <w:sz w:val="20"/>
                <w:szCs w:val="20"/>
              </w:rPr>
              <w:t>（</w:t>
            </w:r>
            <w:r>
              <w:rPr>
                <w:rFonts w:ascii="Times New Roman" w:hAnsi="Times New Roman" w:eastAsia="Times New Roman" w:cs="Times New Roman"/>
                <w:spacing w:val="6"/>
                <w:sz w:val="20"/>
                <w:szCs w:val="20"/>
              </w:rPr>
              <w:t>A</w:t>
            </w:r>
            <w:r>
              <w:rPr>
                <w:spacing w:val="6"/>
                <w:sz w:val="20"/>
                <w:szCs w:val="20"/>
              </w:rPr>
              <w:t>）</w:t>
            </w:r>
          </w:p>
        </w:tc>
        <w:tc>
          <w:tcPr>
            <w:tcW w:w="1554" w:type="dxa"/>
            <w:gridSpan w:val="2"/>
            <w:vMerge w:val="restart"/>
            <w:tcBorders>
              <w:top w:val="single" w:color="000000" w:sz="10" w:space="0"/>
              <w:bottom w:val="nil"/>
              <w:right w:val="single" w:color="000000" w:sz="6" w:space="0"/>
            </w:tcBorders>
            <w:vAlign w:val="top"/>
          </w:tcPr>
          <w:p w14:paraId="3E005225">
            <w:pPr>
              <w:pStyle w:val="6"/>
              <w:spacing w:before="235" w:line="228" w:lineRule="auto"/>
              <w:ind w:left="308"/>
              <w:rPr>
                <w:sz w:val="20"/>
                <w:szCs w:val="20"/>
              </w:rPr>
            </w:pPr>
            <w:r>
              <w:rPr>
                <w:spacing w:val="7"/>
                <w:sz w:val="20"/>
                <w:szCs w:val="20"/>
              </w:rPr>
              <w:t>达标情况</w:t>
            </w:r>
          </w:p>
        </w:tc>
      </w:tr>
      <w:tr w14:paraId="6139FC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495" w:type="dxa"/>
            <w:vMerge w:val="continue"/>
            <w:tcBorders>
              <w:top w:val="nil"/>
              <w:left w:val="single" w:color="000000" w:sz="6" w:space="0"/>
              <w:bottom w:val="nil"/>
              <w:right w:val="single" w:color="000000" w:sz="2" w:space="0"/>
            </w:tcBorders>
            <w:vAlign w:val="top"/>
          </w:tcPr>
          <w:p w14:paraId="3D09F55E">
            <w:pPr>
              <w:rPr>
                <w:rFonts w:ascii="Arial"/>
                <w:sz w:val="21"/>
              </w:rPr>
            </w:pPr>
          </w:p>
        </w:tc>
        <w:tc>
          <w:tcPr>
            <w:tcW w:w="2911" w:type="dxa"/>
            <w:gridSpan w:val="4"/>
            <w:vMerge w:val="continue"/>
            <w:tcBorders>
              <w:top w:val="nil"/>
              <w:left w:val="single" w:color="000000" w:sz="2" w:space="0"/>
            </w:tcBorders>
            <w:vAlign w:val="top"/>
          </w:tcPr>
          <w:p w14:paraId="4FDD3215">
            <w:pPr>
              <w:rPr>
                <w:rFonts w:ascii="Arial"/>
                <w:sz w:val="21"/>
              </w:rPr>
            </w:pPr>
          </w:p>
        </w:tc>
        <w:tc>
          <w:tcPr>
            <w:tcW w:w="989" w:type="dxa"/>
            <w:gridSpan w:val="2"/>
            <w:vAlign w:val="top"/>
          </w:tcPr>
          <w:p w14:paraId="1DD2CB39">
            <w:pPr>
              <w:pStyle w:val="6"/>
              <w:spacing w:before="65" w:line="231" w:lineRule="auto"/>
              <w:ind w:left="287"/>
              <w:rPr>
                <w:sz w:val="20"/>
                <w:szCs w:val="20"/>
              </w:rPr>
            </w:pPr>
            <w:r>
              <w:rPr>
                <w:spacing w:val="5"/>
                <w:sz w:val="20"/>
                <w:szCs w:val="20"/>
              </w:rPr>
              <w:t>昼间</w:t>
            </w:r>
          </w:p>
        </w:tc>
        <w:tc>
          <w:tcPr>
            <w:tcW w:w="992" w:type="dxa"/>
            <w:gridSpan w:val="2"/>
            <w:tcBorders>
              <w:right w:val="single" w:color="000000" w:sz="2" w:space="0"/>
            </w:tcBorders>
            <w:vAlign w:val="top"/>
          </w:tcPr>
          <w:p w14:paraId="797EFFD2">
            <w:pPr>
              <w:pStyle w:val="6"/>
              <w:spacing w:before="65" w:line="228" w:lineRule="auto"/>
              <w:ind w:left="295"/>
              <w:rPr>
                <w:sz w:val="20"/>
                <w:szCs w:val="20"/>
              </w:rPr>
            </w:pPr>
            <w:r>
              <w:rPr>
                <w:spacing w:val="3"/>
                <w:sz w:val="20"/>
                <w:szCs w:val="20"/>
              </w:rPr>
              <w:t>夜间</w:t>
            </w:r>
          </w:p>
        </w:tc>
        <w:tc>
          <w:tcPr>
            <w:tcW w:w="990" w:type="dxa"/>
            <w:gridSpan w:val="2"/>
            <w:tcBorders>
              <w:left w:val="single" w:color="000000" w:sz="2" w:space="0"/>
              <w:right w:val="single" w:color="000000" w:sz="2" w:space="0"/>
            </w:tcBorders>
            <w:vAlign w:val="top"/>
          </w:tcPr>
          <w:p w14:paraId="4541316D">
            <w:pPr>
              <w:pStyle w:val="6"/>
              <w:spacing w:before="65" w:line="231" w:lineRule="auto"/>
              <w:ind w:left="293"/>
              <w:rPr>
                <w:sz w:val="20"/>
                <w:szCs w:val="20"/>
              </w:rPr>
            </w:pPr>
            <w:r>
              <w:rPr>
                <w:spacing w:val="5"/>
                <w:sz w:val="20"/>
                <w:szCs w:val="20"/>
              </w:rPr>
              <w:t>昼间</w:t>
            </w:r>
          </w:p>
        </w:tc>
        <w:tc>
          <w:tcPr>
            <w:tcW w:w="970" w:type="dxa"/>
            <w:tcBorders>
              <w:left w:val="single" w:color="000000" w:sz="2" w:space="0"/>
            </w:tcBorders>
            <w:vAlign w:val="top"/>
          </w:tcPr>
          <w:p w14:paraId="22F5D91A">
            <w:pPr>
              <w:pStyle w:val="6"/>
              <w:spacing w:before="65" w:line="228" w:lineRule="auto"/>
              <w:ind w:left="289"/>
              <w:rPr>
                <w:sz w:val="20"/>
                <w:szCs w:val="20"/>
              </w:rPr>
            </w:pPr>
            <w:r>
              <w:rPr>
                <w:spacing w:val="3"/>
                <w:sz w:val="20"/>
                <w:szCs w:val="20"/>
              </w:rPr>
              <w:t>夜间</w:t>
            </w:r>
          </w:p>
        </w:tc>
        <w:tc>
          <w:tcPr>
            <w:tcW w:w="1554" w:type="dxa"/>
            <w:gridSpan w:val="2"/>
            <w:vMerge w:val="continue"/>
            <w:tcBorders>
              <w:top w:val="nil"/>
              <w:right w:val="single" w:color="000000" w:sz="6" w:space="0"/>
            </w:tcBorders>
            <w:vAlign w:val="top"/>
          </w:tcPr>
          <w:p w14:paraId="4B60CF7C">
            <w:pPr>
              <w:rPr>
                <w:rFonts w:ascii="Arial"/>
                <w:sz w:val="21"/>
              </w:rPr>
            </w:pPr>
          </w:p>
        </w:tc>
      </w:tr>
      <w:tr w14:paraId="50B644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495" w:type="dxa"/>
            <w:vMerge w:val="continue"/>
            <w:tcBorders>
              <w:top w:val="nil"/>
              <w:left w:val="single" w:color="000000" w:sz="6" w:space="0"/>
              <w:bottom w:val="nil"/>
              <w:right w:val="single" w:color="000000" w:sz="2" w:space="0"/>
            </w:tcBorders>
            <w:vAlign w:val="top"/>
          </w:tcPr>
          <w:p w14:paraId="23CD98EA">
            <w:pPr>
              <w:rPr>
                <w:rFonts w:ascii="Arial"/>
                <w:sz w:val="21"/>
              </w:rPr>
            </w:pPr>
          </w:p>
        </w:tc>
        <w:tc>
          <w:tcPr>
            <w:tcW w:w="1508" w:type="dxa"/>
            <w:vMerge w:val="restart"/>
            <w:tcBorders>
              <w:left w:val="single" w:color="000000" w:sz="2" w:space="0"/>
              <w:bottom w:val="nil"/>
            </w:tcBorders>
            <w:vAlign w:val="top"/>
          </w:tcPr>
          <w:p w14:paraId="7EC38FBE">
            <w:pPr>
              <w:spacing w:line="265" w:lineRule="auto"/>
              <w:rPr>
                <w:rFonts w:ascii="Arial"/>
                <w:sz w:val="21"/>
              </w:rPr>
            </w:pPr>
          </w:p>
          <w:p w14:paraId="651111F0">
            <w:pPr>
              <w:spacing w:line="266" w:lineRule="auto"/>
              <w:rPr>
                <w:rFonts w:ascii="Arial"/>
                <w:sz w:val="21"/>
              </w:rPr>
            </w:pPr>
          </w:p>
          <w:p w14:paraId="027F06D7">
            <w:pPr>
              <w:pStyle w:val="6"/>
              <w:spacing w:before="65" w:line="228" w:lineRule="auto"/>
              <w:ind w:left="314"/>
              <w:rPr>
                <w:sz w:val="20"/>
                <w:szCs w:val="20"/>
              </w:rPr>
            </w:pPr>
            <w:r>
              <w:rPr>
                <w:spacing w:val="2"/>
                <w:sz w:val="20"/>
                <w:szCs w:val="20"/>
              </w:rPr>
              <w:t>扎格</w:t>
            </w:r>
            <w:r>
              <w:rPr>
                <w:spacing w:val="-36"/>
                <w:sz w:val="20"/>
                <w:szCs w:val="20"/>
              </w:rPr>
              <w:t xml:space="preserve"> </w:t>
            </w:r>
            <w:r>
              <w:rPr>
                <w:rFonts w:ascii="Times New Roman" w:hAnsi="Times New Roman" w:eastAsia="Times New Roman" w:cs="Times New Roman"/>
                <w:spacing w:val="2"/>
                <w:sz w:val="20"/>
                <w:szCs w:val="20"/>
              </w:rPr>
              <w:t>9X</w:t>
            </w:r>
            <w:r>
              <w:rPr>
                <w:rFonts w:ascii="Times New Roman" w:hAnsi="Times New Roman" w:eastAsia="Times New Roman" w:cs="Times New Roman"/>
                <w:spacing w:val="8"/>
                <w:sz w:val="20"/>
                <w:szCs w:val="20"/>
              </w:rPr>
              <w:t xml:space="preserve"> </w:t>
            </w:r>
            <w:r>
              <w:rPr>
                <w:spacing w:val="2"/>
                <w:sz w:val="20"/>
                <w:szCs w:val="20"/>
              </w:rPr>
              <w:t>井</w:t>
            </w:r>
          </w:p>
        </w:tc>
        <w:tc>
          <w:tcPr>
            <w:tcW w:w="1403" w:type="dxa"/>
            <w:gridSpan w:val="3"/>
            <w:vAlign w:val="top"/>
          </w:tcPr>
          <w:p w14:paraId="6C0DBB0A">
            <w:pPr>
              <w:pStyle w:val="6"/>
              <w:spacing w:before="66" w:line="228" w:lineRule="auto"/>
              <w:ind w:left="392"/>
              <w:rPr>
                <w:sz w:val="20"/>
                <w:szCs w:val="20"/>
              </w:rPr>
            </w:pPr>
            <w:r>
              <w:rPr>
                <w:spacing w:val="4"/>
                <w:sz w:val="20"/>
                <w:szCs w:val="20"/>
              </w:rPr>
              <w:t>东场界</w:t>
            </w:r>
          </w:p>
        </w:tc>
        <w:tc>
          <w:tcPr>
            <w:tcW w:w="989" w:type="dxa"/>
            <w:gridSpan w:val="2"/>
            <w:vAlign w:val="top"/>
          </w:tcPr>
          <w:p w14:paraId="5FBCA063">
            <w:pPr>
              <w:spacing w:before="103"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45.4</w:t>
            </w:r>
          </w:p>
        </w:tc>
        <w:tc>
          <w:tcPr>
            <w:tcW w:w="992" w:type="dxa"/>
            <w:gridSpan w:val="2"/>
            <w:tcBorders>
              <w:right w:val="single" w:color="000000" w:sz="2" w:space="0"/>
            </w:tcBorders>
            <w:vAlign w:val="top"/>
          </w:tcPr>
          <w:p w14:paraId="6EB53166">
            <w:pPr>
              <w:spacing w:before="103"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45.4</w:t>
            </w:r>
          </w:p>
        </w:tc>
        <w:tc>
          <w:tcPr>
            <w:tcW w:w="990" w:type="dxa"/>
            <w:gridSpan w:val="2"/>
            <w:tcBorders>
              <w:left w:val="single" w:color="000000" w:sz="2" w:space="0"/>
              <w:right w:val="single" w:color="000000" w:sz="2" w:space="0"/>
            </w:tcBorders>
            <w:vAlign w:val="top"/>
          </w:tcPr>
          <w:p w14:paraId="025DDF3E">
            <w:pPr>
              <w:spacing w:before="103" w:line="195" w:lineRule="auto"/>
              <w:ind w:left="39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970" w:type="dxa"/>
            <w:tcBorders>
              <w:left w:val="single" w:color="000000" w:sz="2" w:space="0"/>
            </w:tcBorders>
            <w:vAlign w:val="top"/>
          </w:tcPr>
          <w:p w14:paraId="144F1F7E">
            <w:pPr>
              <w:spacing w:before="106" w:line="192" w:lineRule="auto"/>
              <w:ind w:left="393"/>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1554" w:type="dxa"/>
            <w:gridSpan w:val="2"/>
            <w:tcBorders>
              <w:right w:val="single" w:color="000000" w:sz="6" w:space="0"/>
            </w:tcBorders>
            <w:vAlign w:val="top"/>
          </w:tcPr>
          <w:p w14:paraId="3A3325E0">
            <w:pPr>
              <w:pStyle w:val="6"/>
              <w:spacing w:before="67" w:line="228" w:lineRule="auto"/>
              <w:ind w:left="517"/>
              <w:rPr>
                <w:sz w:val="20"/>
                <w:szCs w:val="20"/>
              </w:rPr>
            </w:pPr>
            <w:r>
              <w:rPr>
                <w:spacing w:val="5"/>
                <w:sz w:val="20"/>
                <w:szCs w:val="20"/>
              </w:rPr>
              <w:t>达标</w:t>
            </w:r>
          </w:p>
        </w:tc>
      </w:tr>
      <w:tr w14:paraId="1AF999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495" w:type="dxa"/>
            <w:vMerge w:val="continue"/>
            <w:tcBorders>
              <w:top w:val="nil"/>
              <w:left w:val="single" w:color="000000" w:sz="6" w:space="0"/>
              <w:bottom w:val="nil"/>
              <w:right w:val="single" w:color="000000" w:sz="2" w:space="0"/>
            </w:tcBorders>
            <w:vAlign w:val="top"/>
          </w:tcPr>
          <w:p w14:paraId="74F43DD7">
            <w:pPr>
              <w:rPr>
                <w:rFonts w:ascii="Arial"/>
                <w:sz w:val="21"/>
              </w:rPr>
            </w:pPr>
          </w:p>
        </w:tc>
        <w:tc>
          <w:tcPr>
            <w:tcW w:w="1508" w:type="dxa"/>
            <w:vMerge w:val="continue"/>
            <w:tcBorders>
              <w:top w:val="nil"/>
              <w:left w:val="single" w:color="000000" w:sz="2" w:space="0"/>
              <w:bottom w:val="nil"/>
            </w:tcBorders>
            <w:vAlign w:val="top"/>
          </w:tcPr>
          <w:p w14:paraId="4C6BF7C2">
            <w:pPr>
              <w:rPr>
                <w:rFonts w:ascii="Arial"/>
                <w:sz w:val="21"/>
              </w:rPr>
            </w:pPr>
          </w:p>
        </w:tc>
        <w:tc>
          <w:tcPr>
            <w:tcW w:w="1403" w:type="dxa"/>
            <w:gridSpan w:val="3"/>
            <w:vAlign w:val="top"/>
          </w:tcPr>
          <w:p w14:paraId="2C383F08">
            <w:pPr>
              <w:pStyle w:val="6"/>
              <w:spacing w:before="68" w:line="228" w:lineRule="auto"/>
              <w:ind w:left="387"/>
              <w:rPr>
                <w:sz w:val="20"/>
                <w:szCs w:val="20"/>
              </w:rPr>
            </w:pPr>
            <w:r>
              <w:rPr>
                <w:spacing w:val="6"/>
                <w:sz w:val="20"/>
                <w:szCs w:val="20"/>
              </w:rPr>
              <w:t>南场界</w:t>
            </w:r>
          </w:p>
        </w:tc>
        <w:tc>
          <w:tcPr>
            <w:tcW w:w="989" w:type="dxa"/>
            <w:gridSpan w:val="2"/>
            <w:vAlign w:val="top"/>
          </w:tcPr>
          <w:p w14:paraId="02F895BB">
            <w:pPr>
              <w:spacing w:before="104"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39.9</w:t>
            </w:r>
          </w:p>
        </w:tc>
        <w:tc>
          <w:tcPr>
            <w:tcW w:w="992" w:type="dxa"/>
            <w:gridSpan w:val="2"/>
            <w:tcBorders>
              <w:right w:val="single" w:color="000000" w:sz="2" w:space="0"/>
            </w:tcBorders>
            <w:vAlign w:val="top"/>
          </w:tcPr>
          <w:p w14:paraId="5AC76CB3">
            <w:pPr>
              <w:spacing w:before="104" w:line="195" w:lineRule="auto"/>
              <w:ind w:left="3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39.9</w:t>
            </w:r>
          </w:p>
        </w:tc>
        <w:tc>
          <w:tcPr>
            <w:tcW w:w="990" w:type="dxa"/>
            <w:gridSpan w:val="2"/>
            <w:tcBorders>
              <w:left w:val="single" w:color="000000" w:sz="2" w:space="0"/>
              <w:right w:val="single" w:color="000000" w:sz="2" w:space="0"/>
            </w:tcBorders>
            <w:vAlign w:val="top"/>
          </w:tcPr>
          <w:p w14:paraId="1A681E75">
            <w:pPr>
              <w:spacing w:before="104" w:line="195" w:lineRule="auto"/>
              <w:ind w:left="39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970" w:type="dxa"/>
            <w:tcBorders>
              <w:left w:val="single" w:color="000000" w:sz="2" w:space="0"/>
            </w:tcBorders>
            <w:vAlign w:val="top"/>
          </w:tcPr>
          <w:p w14:paraId="73119943">
            <w:pPr>
              <w:spacing w:before="107" w:line="192" w:lineRule="auto"/>
              <w:ind w:left="393"/>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1554" w:type="dxa"/>
            <w:gridSpan w:val="2"/>
            <w:tcBorders>
              <w:right w:val="single" w:color="000000" w:sz="6" w:space="0"/>
            </w:tcBorders>
            <w:vAlign w:val="top"/>
          </w:tcPr>
          <w:p w14:paraId="013EBDE5">
            <w:pPr>
              <w:pStyle w:val="6"/>
              <w:spacing w:before="68" w:line="228" w:lineRule="auto"/>
              <w:ind w:left="517"/>
              <w:rPr>
                <w:sz w:val="20"/>
                <w:szCs w:val="20"/>
              </w:rPr>
            </w:pPr>
            <w:r>
              <w:rPr>
                <w:spacing w:val="5"/>
                <w:sz w:val="20"/>
                <w:szCs w:val="20"/>
              </w:rPr>
              <w:t>达标</w:t>
            </w:r>
          </w:p>
        </w:tc>
      </w:tr>
      <w:tr w14:paraId="58C309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495" w:type="dxa"/>
            <w:vMerge w:val="continue"/>
            <w:tcBorders>
              <w:top w:val="nil"/>
              <w:left w:val="single" w:color="000000" w:sz="6" w:space="0"/>
              <w:bottom w:val="nil"/>
              <w:right w:val="single" w:color="000000" w:sz="2" w:space="0"/>
            </w:tcBorders>
            <w:vAlign w:val="top"/>
          </w:tcPr>
          <w:p w14:paraId="1BCD0457">
            <w:pPr>
              <w:rPr>
                <w:rFonts w:ascii="Arial"/>
                <w:sz w:val="21"/>
              </w:rPr>
            </w:pPr>
          </w:p>
        </w:tc>
        <w:tc>
          <w:tcPr>
            <w:tcW w:w="1508" w:type="dxa"/>
            <w:vMerge w:val="continue"/>
            <w:tcBorders>
              <w:top w:val="nil"/>
              <w:left w:val="single" w:color="000000" w:sz="2" w:space="0"/>
              <w:bottom w:val="nil"/>
            </w:tcBorders>
            <w:vAlign w:val="top"/>
          </w:tcPr>
          <w:p w14:paraId="666C743E">
            <w:pPr>
              <w:rPr>
                <w:rFonts w:ascii="Arial"/>
                <w:sz w:val="21"/>
              </w:rPr>
            </w:pPr>
          </w:p>
        </w:tc>
        <w:tc>
          <w:tcPr>
            <w:tcW w:w="1403" w:type="dxa"/>
            <w:gridSpan w:val="3"/>
            <w:vAlign w:val="top"/>
          </w:tcPr>
          <w:p w14:paraId="3DBF72EF">
            <w:pPr>
              <w:pStyle w:val="6"/>
              <w:spacing w:before="67" w:line="228" w:lineRule="auto"/>
              <w:ind w:left="390"/>
              <w:rPr>
                <w:sz w:val="20"/>
                <w:szCs w:val="20"/>
              </w:rPr>
            </w:pPr>
            <w:r>
              <w:rPr>
                <w:spacing w:val="5"/>
                <w:sz w:val="20"/>
                <w:szCs w:val="20"/>
              </w:rPr>
              <w:t>西场界</w:t>
            </w:r>
          </w:p>
        </w:tc>
        <w:tc>
          <w:tcPr>
            <w:tcW w:w="989" w:type="dxa"/>
            <w:gridSpan w:val="2"/>
            <w:vAlign w:val="top"/>
          </w:tcPr>
          <w:p w14:paraId="005777DD">
            <w:pPr>
              <w:spacing w:before="105"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46.4</w:t>
            </w:r>
          </w:p>
        </w:tc>
        <w:tc>
          <w:tcPr>
            <w:tcW w:w="992" w:type="dxa"/>
            <w:gridSpan w:val="2"/>
            <w:tcBorders>
              <w:right w:val="single" w:color="000000" w:sz="2" w:space="0"/>
            </w:tcBorders>
            <w:vAlign w:val="top"/>
          </w:tcPr>
          <w:p w14:paraId="293A96C4">
            <w:pPr>
              <w:spacing w:before="105"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46.4</w:t>
            </w:r>
          </w:p>
        </w:tc>
        <w:tc>
          <w:tcPr>
            <w:tcW w:w="990" w:type="dxa"/>
            <w:gridSpan w:val="2"/>
            <w:tcBorders>
              <w:left w:val="single" w:color="000000" w:sz="2" w:space="0"/>
              <w:right w:val="single" w:color="000000" w:sz="2" w:space="0"/>
            </w:tcBorders>
            <w:vAlign w:val="top"/>
          </w:tcPr>
          <w:p w14:paraId="49A2FAC3">
            <w:pPr>
              <w:spacing w:before="105" w:line="195" w:lineRule="auto"/>
              <w:ind w:left="39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970" w:type="dxa"/>
            <w:tcBorders>
              <w:left w:val="single" w:color="000000" w:sz="2" w:space="0"/>
            </w:tcBorders>
            <w:vAlign w:val="top"/>
          </w:tcPr>
          <w:p w14:paraId="063E419F">
            <w:pPr>
              <w:spacing w:before="108" w:line="192" w:lineRule="auto"/>
              <w:ind w:left="393"/>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1554" w:type="dxa"/>
            <w:gridSpan w:val="2"/>
            <w:tcBorders>
              <w:right w:val="single" w:color="000000" w:sz="6" w:space="0"/>
            </w:tcBorders>
            <w:vAlign w:val="top"/>
          </w:tcPr>
          <w:p w14:paraId="2918EA89">
            <w:pPr>
              <w:pStyle w:val="6"/>
              <w:spacing w:before="67" w:line="228" w:lineRule="auto"/>
              <w:ind w:left="517"/>
              <w:rPr>
                <w:sz w:val="20"/>
                <w:szCs w:val="20"/>
              </w:rPr>
            </w:pPr>
            <w:r>
              <w:rPr>
                <w:spacing w:val="5"/>
                <w:sz w:val="20"/>
                <w:szCs w:val="20"/>
              </w:rPr>
              <w:t>达标</w:t>
            </w:r>
          </w:p>
        </w:tc>
      </w:tr>
      <w:tr w14:paraId="4848D4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495" w:type="dxa"/>
            <w:vMerge w:val="continue"/>
            <w:tcBorders>
              <w:top w:val="nil"/>
              <w:left w:val="single" w:color="000000" w:sz="6" w:space="0"/>
              <w:bottom w:val="nil"/>
              <w:right w:val="single" w:color="000000" w:sz="2" w:space="0"/>
            </w:tcBorders>
            <w:vAlign w:val="top"/>
          </w:tcPr>
          <w:p w14:paraId="1351187C">
            <w:pPr>
              <w:rPr>
                <w:rFonts w:ascii="Arial"/>
                <w:sz w:val="21"/>
              </w:rPr>
            </w:pPr>
          </w:p>
        </w:tc>
        <w:tc>
          <w:tcPr>
            <w:tcW w:w="1508" w:type="dxa"/>
            <w:vMerge w:val="continue"/>
            <w:tcBorders>
              <w:top w:val="nil"/>
              <w:left w:val="single" w:color="000000" w:sz="2" w:space="0"/>
              <w:bottom w:val="single" w:color="000000" w:sz="10" w:space="0"/>
            </w:tcBorders>
            <w:vAlign w:val="top"/>
          </w:tcPr>
          <w:p w14:paraId="56721F10">
            <w:pPr>
              <w:rPr>
                <w:rFonts w:ascii="Arial"/>
                <w:sz w:val="21"/>
              </w:rPr>
            </w:pPr>
          </w:p>
        </w:tc>
        <w:tc>
          <w:tcPr>
            <w:tcW w:w="1403" w:type="dxa"/>
            <w:gridSpan w:val="3"/>
            <w:tcBorders>
              <w:bottom w:val="single" w:color="000000" w:sz="10" w:space="0"/>
            </w:tcBorders>
            <w:vAlign w:val="top"/>
          </w:tcPr>
          <w:p w14:paraId="7CB74A2F">
            <w:pPr>
              <w:pStyle w:val="6"/>
              <w:spacing w:before="67" w:line="228" w:lineRule="auto"/>
              <w:ind w:left="388"/>
              <w:rPr>
                <w:sz w:val="20"/>
                <w:szCs w:val="20"/>
              </w:rPr>
            </w:pPr>
            <w:r>
              <w:rPr>
                <w:spacing w:val="5"/>
                <w:sz w:val="20"/>
                <w:szCs w:val="20"/>
              </w:rPr>
              <w:t>北场界</w:t>
            </w:r>
          </w:p>
        </w:tc>
        <w:tc>
          <w:tcPr>
            <w:tcW w:w="989" w:type="dxa"/>
            <w:gridSpan w:val="2"/>
            <w:tcBorders>
              <w:bottom w:val="single" w:color="000000" w:sz="10" w:space="0"/>
            </w:tcBorders>
            <w:vAlign w:val="top"/>
          </w:tcPr>
          <w:p w14:paraId="1BDA5902">
            <w:pPr>
              <w:spacing w:before="105"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44.4</w:t>
            </w:r>
          </w:p>
        </w:tc>
        <w:tc>
          <w:tcPr>
            <w:tcW w:w="992" w:type="dxa"/>
            <w:gridSpan w:val="2"/>
            <w:tcBorders>
              <w:bottom w:val="single" w:color="000000" w:sz="10" w:space="0"/>
              <w:right w:val="single" w:color="000000" w:sz="2" w:space="0"/>
            </w:tcBorders>
            <w:vAlign w:val="top"/>
          </w:tcPr>
          <w:p w14:paraId="4F93F9DD">
            <w:pPr>
              <w:spacing w:before="105"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44.4</w:t>
            </w:r>
          </w:p>
        </w:tc>
        <w:tc>
          <w:tcPr>
            <w:tcW w:w="990" w:type="dxa"/>
            <w:gridSpan w:val="2"/>
            <w:tcBorders>
              <w:left w:val="single" w:color="000000" w:sz="2" w:space="0"/>
              <w:bottom w:val="single" w:color="000000" w:sz="10" w:space="0"/>
              <w:right w:val="single" w:color="000000" w:sz="2" w:space="0"/>
            </w:tcBorders>
            <w:vAlign w:val="top"/>
          </w:tcPr>
          <w:p w14:paraId="1F927F83">
            <w:pPr>
              <w:spacing w:before="105" w:line="195" w:lineRule="auto"/>
              <w:ind w:left="39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970" w:type="dxa"/>
            <w:tcBorders>
              <w:left w:val="single" w:color="000000" w:sz="2" w:space="0"/>
              <w:bottom w:val="single" w:color="000000" w:sz="10" w:space="0"/>
            </w:tcBorders>
            <w:vAlign w:val="top"/>
          </w:tcPr>
          <w:p w14:paraId="05908B53">
            <w:pPr>
              <w:spacing w:before="108" w:line="192" w:lineRule="auto"/>
              <w:ind w:left="393"/>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1554" w:type="dxa"/>
            <w:gridSpan w:val="2"/>
            <w:tcBorders>
              <w:bottom w:val="single" w:color="000000" w:sz="10" w:space="0"/>
              <w:right w:val="single" w:color="000000" w:sz="6" w:space="0"/>
            </w:tcBorders>
            <w:vAlign w:val="top"/>
          </w:tcPr>
          <w:p w14:paraId="066C93EE">
            <w:pPr>
              <w:pStyle w:val="6"/>
              <w:spacing w:before="67" w:line="228" w:lineRule="auto"/>
              <w:ind w:left="517"/>
              <w:rPr>
                <w:sz w:val="20"/>
                <w:szCs w:val="20"/>
              </w:rPr>
            </w:pPr>
            <w:r>
              <w:rPr>
                <w:spacing w:val="5"/>
                <w:sz w:val="20"/>
                <w:szCs w:val="20"/>
              </w:rPr>
              <w:t>达标</w:t>
            </w:r>
          </w:p>
        </w:tc>
      </w:tr>
      <w:tr w14:paraId="44001B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7" w:hRule="atLeast"/>
        </w:trPr>
        <w:tc>
          <w:tcPr>
            <w:tcW w:w="495" w:type="dxa"/>
            <w:vMerge w:val="continue"/>
            <w:tcBorders>
              <w:top w:val="nil"/>
              <w:left w:val="single" w:color="000000" w:sz="6" w:space="0"/>
              <w:bottom w:val="nil"/>
              <w:right w:val="single" w:color="000000" w:sz="2" w:space="0"/>
            </w:tcBorders>
            <w:vAlign w:val="top"/>
          </w:tcPr>
          <w:p w14:paraId="1D25B8C0">
            <w:pPr>
              <w:rPr>
                <w:rFonts w:ascii="Arial"/>
                <w:sz w:val="21"/>
              </w:rPr>
            </w:pPr>
          </w:p>
        </w:tc>
        <w:tc>
          <w:tcPr>
            <w:tcW w:w="8406" w:type="dxa"/>
            <w:gridSpan w:val="13"/>
            <w:tcBorders>
              <w:top w:val="single" w:color="000000" w:sz="10" w:space="0"/>
              <w:left w:val="single" w:color="000000" w:sz="2" w:space="0"/>
              <w:bottom w:val="single" w:color="000000" w:sz="10" w:space="0"/>
              <w:right w:val="single" w:color="000000" w:sz="6" w:space="0"/>
            </w:tcBorders>
            <w:vAlign w:val="top"/>
          </w:tcPr>
          <w:p w14:paraId="3FD63078">
            <w:pPr>
              <w:pStyle w:val="6"/>
              <w:spacing w:before="32" w:line="359" w:lineRule="auto"/>
              <w:ind w:left="110" w:right="41" w:firstLine="507"/>
              <w:jc w:val="both"/>
            </w:pPr>
            <w:r>
              <w:rPr>
                <w:spacing w:val="-3"/>
              </w:rPr>
              <w:t>由预测结果可知，东、西、南、北场界的噪声贡献值最大值</w:t>
            </w:r>
            <w:r>
              <w:rPr>
                <w:spacing w:val="-56"/>
              </w:rPr>
              <w:t xml:space="preserve"> </w:t>
            </w:r>
            <w:r>
              <w:rPr>
                <w:rFonts w:ascii="Times New Roman" w:hAnsi="Times New Roman" w:eastAsia="Times New Roman" w:cs="Times New Roman"/>
                <w:spacing w:val="-3"/>
              </w:rPr>
              <w:t>46.4dB</w:t>
            </w:r>
            <w:r>
              <w:rPr>
                <w:spacing w:val="-3"/>
              </w:rPr>
              <w:t>（</w:t>
            </w:r>
            <w:r>
              <w:rPr>
                <w:rFonts w:ascii="Times New Roman" w:hAnsi="Times New Roman" w:eastAsia="Times New Roman" w:cs="Times New Roman"/>
                <w:spacing w:val="-3"/>
              </w:rPr>
              <w:t>A</w:t>
            </w:r>
            <w:r>
              <w:rPr>
                <w:spacing w:val="-30"/>
              </w:rPr>
              <w:t>），</w:t>
            </w:r>
            <w:r>
              <w:rPr>
                <w:spacing w:val="-1"/>
              </w:rPr>
              <w:t>符合《建筑施工噪声排放标准》（</w:t>
            </w:r>
            <w:r>
              <w:rPr>
                <w:rFonts w:ascii="Times New Roman" w:hAnsi="Times New Roman" w:eastAsia="Times New Roman" w:cs="Times New Roman"/>
                <w:spacing w:val="-1"/>
              </w:rPr>
              <w:t>GB12523-2025</w:t>
            </w:r>
            <w:r>
              <w:rPr>
                <w:spacing w:val="-1"/>
              </w:rPr>
              <w:t>）要求，对区域声环境质量影</w:t>
            </w:r>
            <w:r>
              <w:rPr>
                <w:spacing w:val="-3"/>
              </w:rPr>
              <w:t>响可接受。</w:t>
            </w:r>
          </w:p>
          <w:p w14:paraId="11053900">
            <w:pPr>
              <w:pStyle w:val="6"/>
              <w:spacing w:before="1" w:line="220" w:lineRule="auto"/>
              <w:ind w:left="584"/>
            </w:pPr>
            <w:r>
              <w:rPr>
                <w:rFonts w:ascii="Times New Roman" w:hAnsi="Times New Roman" w:eastAsia="Times New Roman" w:cs="Times New Roman"/>
                <w:spacing w:val="-6"/>
              </w:rPr>
              <w:t>2</w:t>
            </w:r>
            <w:r>
              <w:rPr>
                <w:rFonts w:ascii="Times New Roman" w:hAnsi="Times New Roman" w:eastAsia="Times New Roman" w:cs="Times New Roman"/>
                <w:spacing w:val="-31"/>
              </w:rPr>
              <w:t xml:space="preserve"> </w:t>
            </w:r>
            <w:r>
              <w:rPr>
                <w:spacing w:val="-6"/>
              </w:rPr>
              <w:t>、试油阶段</w:t>
            </w:r>
          </w:p>
          <w:p w14:paraId="55EA5045">
            <w:pPr>
              <w:pStyle w:val="6"/>
              <w:spacing w:before="180" w:line="219" w:lineRule="auto"/>
              <w:jc w:val="right"/>
            </w:pPr>
            <w:r>
              <w:rPr>
                <w:spacing w:val="-4"/>
              </w:rPr>
              <w:t>试油阶段的噪声主要为抽油机产生的噪声，设备源强及采取的措</w:t>
            </w:r>
            <w:r>
              <w:rPr>
                <w:spacing w:val="-5"/>
              </w:rPr>
              <w:t>施见下表。</w:t>
            </w:r>
          </w:p>
          <w:p w14:paraId="6D61F8F9">
            <w:pPr>
              <w:spacing w:before="184" w:line="206" w:lineRule="auto"/>
              <w:ind w:left="2788"/>
              <w:rPr>
                <w:rFonts w:ascii="黑体" w:hAnsi="黑体" w:eastAsia="黑体" w:cs="黑体"/>
                <w:sz w:val="24"/>
                <w:szCs w:val="24"/>
              </w:rPr>
            </w:pPr>
            <w:r>
              <w:rPr>
                <w:rFonts w:ascii="黑体" w:hAnsi="黑体" w:eastAsia="黑体" w:cs="黑体"/>
                <w:spacing w:val="-1"/>
                <w:sz w:val="24"/>
                <w:szCs w:val="24"/>
              </w:rPr>
              <w:t>表</w:t>
            </w:r>
            <w:r>
              <w:rPr>
                <w:rFonts w:ascii="Times New Roman" w:hAnsi="Times New Roman" w:eastAsia="Times New Roman" w:cs="Times New Roman"/>
                <w:spacing w:val="-1"/>
                <w:sz w:val="24"/>
                <w:szCs w:val="24"/>
              </w:rPr>
              <w:t xml:space="preserve">4-5  </w:t>
            </w:r>
            <w:r>
              <w:rPr>
                <w:rFonts w:ascii="黑体" w:hAnsi="黑体" w:eastAsia="黑体" w:cs="黑体"/>
                <w:spacing w:val="-1"/>
                <w:sz w:val="24"/>
                <w:szCs w:val="24"/>
              </w:rPr>
              <w:t>试油阶段噪声源强表</w:t>
            </w:r>
          </w:p>
        </w:tc>
      </w:tr>
      <w:tr w14:paraId="355C2B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495" w:type="dxa"/>
            <w:vMerge w:val="continue"/>
            <w:tcBorders>
              <w:top w:val="nil"/>
              <w:left w:val="single" w:color="000000" w:sz="6" w:space="0"/>
              <w:bottom w:val="nil"/>
              <w:right w:val="single" w:color="000000" w:sz="2" w:space="0"/>
            </w:tcBorders>
            <w:vAlign w:val="top"/>
          </w:tcPr>
          <w:p w14:paraId="2CCC9AE0">
            <w:pPr>
              <w:rPr>
                <w:rFonts w:ascii="Arial"/>
                <w:sz w:val="21"/>
              </w:rPr>
            </w:pPr>
          </w:p>
        </w:tc>
        <w:tc>
          <w:tcPr>
            <w:tcW w:w="1915" w:type="dxa"/>
            <w:gridSpan w:val="2"/>
            <w:vMerge w:val="restart"/>
            <w:tcBorders>
              <w:top w:val="single" w:color="000000" w:sz="10" w:space="0"/>
              <w:left w:val="single" w:color="000000" w:sz="2" w:space="0"/>
              <w:bottom w:val="nil"/>
              <w:right w:val="single" w:color="000000" w:sz="2" w:space="0"/>
            </w:tcBorders>
            <w:vAlign w:val="top"/>
          </w:tcPr>
          <w:p w14:paraId="7690A214">
            <w:pPr>
              <w:pStyle w:val="6"/>
              <w:spacing w:before="244" w:line="228" w:lineRule="auto"/>
              <w:ind w:left="796"/>
              <w:rPr>
                <w:sz w:val="20"/>
                <w:szCs w:val="20"/>
              </w:rPr>
            </w:pPr>
            <w:r>
              <w:rPr>
                <w:spacing w:val="4"/>
                <w:sz w:val="20"/>
                <w:szCs w:val="20"/>
              </w:rPr>
              <w:t>井场</w:t>
            </w:r>
          </w:p>
        </w:tc>
        <w:tc>
          <w:tcPr>
            <w:tcW w:w="850" w:type="dxa"/>
            <w:vMerge w:val="restart"/>
            <w:tcBorders>
              <w:top w:val="single" w:color="000000" w:sz="10" w:space="0"/>
              <w:left w:val="single" w:color="000000" w:sz="2" w:space="0"/>
              <w:bottom w:val="nil"/>
            </w:tcBorders>
            <w:vAlign w:val="top"/>
          </w:tcPr>
          <w:p w14:paraId="6FE75278">
            <w:pPr>
              <w:pStyle w:val="6"/>
              <w:spacing w:before="244" w:line="228" w:lineRule="auto"/>
              <w:ind w:left="211"/>
              <w:rPr>
                <w:sz w:val="20"/>
                <w:szCs w:val="20"/>
              </w:rPr>
            </w:pPr>
            <w:r>
              <w:rPr>
                <w:spacing w:val="4"/>
                <w:sz w:val="20"/>
                <w:szCs w:val="20"/>
              </w:rPr>
              <w:t>装置</w:t>
            </w:r>
          </w:p>
        </w:tc>
        <w:tc>
          <w:tcPr>
            <w:tcW w:w="1703" w:type="dxa"/>
            <w:gridSpan w:val="4"/>
            <w:tcBorders>
              <w:top w:val="single" w:color="000000" w:sz="10" w:space="0"/>
              <w:bottom w:val="single" w:color="000000" w:sz="2" w:space="0"/>
              <w:right w:val="single" w:color="000000" w:sz="2" w:space="0"/>
            </w:tcBorders>
            <w:vAlign w:val="top"/>
          </w:tcPr>
          <w:p w14:paraId="32821DCF">
            <w:pPr>
              <w:pStyle w:val="6"/>
              <w:spacing w:before="66" w:line="229" w:lineRule="auto"/>
              <w:ind w:left="226"/>
              <w:rPr>
                <w:sz w:val="20"/>
                <w:szCs w:val="20"/>
              </w:rPr>
            </w:pPr>
            <w:r>
              <w:rPr>
                <w:spacing w:val="7"/>
                <w:sz w:val="20"/>
                <w:szCs w:val="20"/>
              </w:rPr>
              <w:t>空间相对位置</w:t>
            </w:r>
          </w:p>
        </w:tc>
        <w:tc>
          <w:tcPr>
            <w:tcW w:w="1131" w:type="dxa"/>
            <w:gridSpan w:val="2"/>
            <w:vMerge w:val="restart"/>
            <w:tcBorders>
              <w:top w:val="single" w:color="000000" w:sz="10" w:space="0"/>
              <w:left w:val="single" w:color="000000" w:sz="2" w:space="0"/>
              <w:bottom w:val="nil"/>
              <w:right w:val="single" w:color="000000" w:sz="2" w:space="0"/>
            </w:tcBorders>
            <w:vAlign w:val="top"/>
          </w:tcPr>
          <w:p w14:paraId="480BC90E">
            <w:pPr>
              <w:pStyle w:val="6"/>
              <w:spacing w:before="106" w:line="258" w:lineRule="auto"/>
              <w:ind w:left="157" w:right="179" w:firstLine="197"/>
              <w:rPr>
                <w:sz w:val="20"/>
                <w:szCs w:val="20"/>
              </w:rPr>
            </w:pPr>
            <w:r>
              <w:rPr>
                <w:spacing w:val="5"/>
                <w:sz w:val="20"/>
                <w:szCs w:val="20"/>
              </w:rPr>
              <w:t>源强</w:t>
            </w:r>
            <w:r>
              <w:rPr>
                <w:sz w:val="20"/>
                <w:szCs w:val="20"/>
              </w:rPr>
              <w:t xml:space="preserve"> </w:t>
            </w:r>
            <w:r>
              <w:rPr>
                <w:rFonts w:ascii="Times New Roman" w:hAnsi="Times New Roman" w:eastAsia="Times New Roman" w:cs="Times New Roman"/>
                <w:sz w:val="20"/>
                <w:szCs w:val="20"/>
              </w:rPr>
              <w:t>dB</w:t>
            </w:r>
            <w:r>
              <w:rPr>
                <w:spacing w:val="3"/>
                <w:sz w:val="20"/>
                <w:szCs w:val="20"/>
              </w:rPr>
              <w:t>（</w:t>
            </w:r>
            <w:r>
              <w:rPr>
                <w:rFonts w:ascii="Times New Roman" w:hAnsi="Times New Roman" w:eastAsia="Times New Roman" w:cs="Times New Roman"/>
                <w:spacing w:val="3"/>
                <w:sz w:val="20"/>
                <w:szCs w:val="20"/>
              </w:rPr>
              <w:t>A</w:t>
            </w:r>
            <w:r>
              <w:rPr>
                <w:spacing w:val="3"/>
                <w:sz w:val="20"/>
                <w:szCs w:val="20"/>
              </w:rPr>
              <w:t>）</w:t>
            </w:r>
          </w:p>
        </w:tc>
        <w:tc>
          <w:tcPr>
            <w:tcW w:w="1415" w:type="dxa"/>
            <w:gridSpan w:val="3"/>
            <w:vMerge w:val="restart"/>
            <w:tcBorders>
              <w:top w:val="single" w:color="000000" w:sz="10" w:space="0"/>
              <w:left w:val="single" w:color="000000" w:sz="2" w:space="0"/>
              <w:bottom w:val="nil"/>
            </w:tcBorders>
            <w:vAlign w:val="top"/>
          </w:tcPr>
          <w:p w14:paraId="5B2ACF7A">
            <w:pPr>
              <w:pStyle w:val="6"/>
              <w:spacing w:before="243" w:line="228" w:lineRule="auto"/>
              <w:ind w:left="309"/>
              <w:rPr>
                <w:sz w:val="20"/>
                <w:szCs w:val="20"/>
              </w:rPr>
            </w:pPr>
            <w:r>
              <w:rPr>
                <w:spacing w:val="3"/>
                <w:sz w:val="20"/>
                <w:szCs w:val="20"/>
              </w:rPr>
              <w:t>降噪措施</w:t>
            </w:r>
          </w:p>
        </w:tc>
        <w:tc>
          <w:tcPr>
            <w:tcW w:w="1392" w:type="dxa"/>
            <w:vMerge w:val="restart"/>
            <w:tcBorders>
              <w:top w:val="single" w:color="000000" w:sz="10" w:space="0"/>
              <w:bottom w:val="nil"/>
              <w:right w:val="single" w:color="000000" w:sz="6" w:space="0"/>
            </w:tcBorders>
            <w:vAlign w:val="top"/>
          </w:tcPr>
          <w:p w14:paraId="4AEABBC4">
            <w:pPr>
              <w:pStyle w:val="6"/>
              <w:spacing w:before="106" w:line="228" w:lineRule="auto"/>
              <w:ind w:left="137"/>
              <w:rPr>
                <w:sz w:val="20"/>
                <w:szCs w:val="20"/>
              </w:rPr>
            </w:pPr>
            <w:r>
              <w:rPr>
                <w:spacing w:val="4"/>
                <w:sz w:val="20"/>
                <w:szCs w:val="20"/>
              </w:rPr>
              <w:t>降噪后源强</w:t>
            </w:r>
          </w:p>
          <w:p w14:paraId="1B3443D9">
            <w:pPr>
              <w:pStyle w:val="6"/>
              <w:spacing w:before="24"/>
              <w:ind w:left="234"/>
              <w:rPr>
                <w:sz w:val="20"/>
                <w:szCs w:val="20"/>
              </w:rPr>
            </w:pPr>
            <w:r>
              <w:rPr>
                <w:rFonts w:ascii="Times New Roman" w:hAnsi="Times New Roman" w:eastAsia="Times New Roman" w:cs="Times New Roman"/>
                <w:sz w:val="20"/>
                <w:szCs w:val="20"/>
              </w:rPr>
              <w:t>dB</w:t>
            </w:r>
            <w:r>
              <w:rPr>
                <w:spacing w:val="7"/>
                <w:sz w:val="20"/>
                <w:szCs w:val="20"/>
              </w:rPr>
              <w:t>（</w:t>
            </w:r>
            <w:r>
              <w:rPr>
                <w:rFonts w:ascii="Times New Roman" w:hAnsi="Times New Roman" w:eastAsia="Times New Roman" w:cs="Times New Roman"/>
                <w:spacing w:val="7"/>
                <w:sz w:val="20"/>
                <w:szCs w:val="20"/>
              </w:rPr>
              <w:t>A</w:t>
            </w:r>
            <w:r>
              <w:rPr>
                <w:spacing w:val="7"/>
                <w:sz w:val="20"/>
                <w:szCs w:val="20"/>
              </w:rPr>
              <w:t>）</w:t>
            </w:r>
          </w:p>
        </w:tc>
      </w:tr>
      <w:tr w14:paraId="066B1E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495" w:type="dxa"/>
            <w:vMerge w:val="continue"/>
            <w:tcBorders>
              <w:top w:val="nil"/>
              <w:left w:val="single" w:color="000000" w:sz="6" w:space="0"/>
              <w:bottom w:val="nil"/>
              <w:right w:val="single" w:color="000000" w:sz="2" w:space="0"/>
            </w:tcBorders>
            <w:vAlign w:val="top"/>
          </w:tcPr>
          <w:p w14:paraId="45C09F33">
            <w:pPr>
              <w:rPr>
                <w:rFonts w:ascii="Arial"/>
                <w:sz w:val="21"/>
              </w:rPr>
            </w:pPr>
          </w:p>
        </w:tc>
        <w:tc>
          <w:tcPr>
            <w:tcW w:w="1915" w:type="dxa"/>
            <w:gridSpan w:val="2"/>
            <w:vMerge w:val="continue"/>
            <w:tcBorders>
              <w:top w:val="nil"/>
              <w:left w:val="single" w:color="000000" w:sz="2" w:space="0"/>
              <w:right w:val="single" w:color="000000" w:sz="2" w:space="0"/>
            </w:tcBorders>
            <w:vAlign w:val="top"/>
          </w:tcPr>
          <w:p w14:paraId="3D4F3E8A">
            <w:pPr>
              <w:rPr>
                <w:rFonts w:ascii="Arial"/>
                <w:sz w:val="21"/>
              </w:rPr>
            </w:pPr>
          </w:p>
        </w:tc>
        <w:tc>
          <w:tcPr>
            <w:tcW w:w="850" w:type="dxa"/>
            <w:vMerge w:val="continue"/>
            <w:tcBorders>
              <w:top w:val="nil"/>
              <w:left w:val="single" w:color="000000" w:sz="2" w:space="0"/>
            </w:tcBorders>
            <w:vAlign w:val="top"/>
          </w:tcPr>
          <w:p w14:paraId="0B4EFF38">
            <w:pPr>
              <w:rPr>
                <w:rFonts w:ascii="Arial"/>
                <w:sz w:val="21"/>
              </w:rPr>
            </w:pPr>
          </w:p>
        </w:tc>
        <w:tc>
          <w:tcPr>
            <w:tcW w:w="568" w:type="dxa"/>
            <w:gridSpan w:val="2"/>
            <w:tcBorders>
              <w:top w:val="single" w:color="000000" w:sz="2" w:space="0"/>
            </w:tcBorders>
            <w:vAlign w:val="top"/>
          </w:tcPr>
          <w:p w14:paraId="030185C9">
            <w:pPr>
              <w:spacing w:before="120" w:line="192" w:lineRule="auto"/>
              <w:ind w:left="20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X</w:t>
            </w:r>
          </w:p>
        </w:tc>
        <w:tc>
          <w:tcPr>
            <w:tcW w:w="567" w:type="dxa"/>
            <w:tcBorders>
              <w:top w:val="single" w:color="000000" w:sz="2" w:space="0"/>
              <w:right w:val="single" w:color="000000" w:sz="2" w:space="0"/>
            </w:tcBorders>
            <w:vAlign w:val="top"/>
          </w:tcPr>
          <w:p w14:paraId="4262CBF2">
            <w:pPr>
              <w:spacing w:before="120" w:line="192"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Y</w:t>
            </w:r>
          </w:p>
        </w:tc>
        <w:tc>
          <w:tcPr>
            <w:tcW w:w="568" w:type="dxa"/>
            <w:tcBorders>
              <w:top w:val="single" w:color="000000" w:sz="2" w:space="0"/>
              <w:left w:val="single" w:color="000000" w:sz="2" w:space="0"/>
              <w:right w:val="single" w:color="000000" w:sz="2" w:space="0"/>
            </w:tcBorders>
            <w:vAlign w:val="top"/>
          </w:tcPr>
          <w:p w14:paraId="0FD530BA">
            <w:pPr>
              <w:spacing w:before="120" w:line="192"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Z</w:t>
            </w:r>
          </w:p>
        </w:tc>
        <w:tc>
          <w:tcPr>
            <w:tcW w:w="1131" w:type="dxa"/>
            <w:gridSpan w:val="2"/>
            <w:vMerge w:val="continue"/>
            <w:tcBorders>
              <w:top w:val="nil"/>
              <w:left w:val="single" w:color="000000" w:sz="2" w:space="0"/>
              <w:right w:val="single" w:color="000000" w:sz="2" w:space="0"/>
            </w:tcBorders>
            <w:vAlign w:val="top"/>
          </w:tcPr>
          <w:p w14:paraId="183384D3">
            <w:pPr>
              <w:rPr>
                <w:rFonts w:ascii="Arial"/>
                <w:sz w:val="21"/>
              </w:rPr>
            </w:pPr>
          </w:p>
        </w:tc>
        <w:tc>
          <w:tcPr>
            <w:tcW w:w="1415" w:type="dxa"/>
            <w:gridSpan w:val="3"/>
            <w:vMerge w:val="continue"/>
            <w:tcBorders>
              <w:top w:val="nil"/>
              <w:left w:val="single" w:color="000000" w:sz="2" w:space="0"/>
            </w:tcBorders>
            <w:vAlign w:val="top"/>
          </w:tcPr>
          <w:p w14:paraId="04FDB4B4">
            <w:pPr>
              <w:rPr>
                <w:rFonts w:ascii="Arial"/>
                <w:sz w:val="21"/>
              </w:rPr>
            </w:pPr>
          </w:p>
        </w:tc>
        <w:tc>
          <w:tcPr>
            <w:tcW w:w="1392" w:type="dxa"/>
            <w:vMerge w:val="continue"/>
            <w:tcBorders>
              <w:top w:val="nil"/>
              <w:right w:val="single" w:color="000000" w:sz="6" w:space="0"/>
            </w:tcBorders>
            <w:vAlign w:val="top"/>
          </w:tcPr>
          <w:p w14:paraId="23D847C1">
            <w:pPr>
              <w:rPr>
                <w:rFonts w:ascii="Arial"/>
                <w:sz w:val="21"/>
              </w:rPr>
            </w:pPr>
          </w:p>
        </w:tc>
      </w:tr>
      <w:tr w14:paraId="1E6388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495" w:type="dxa"/>
            <w:vMerge w:val="continue"/>
            <w:tcBorders>
              <w:top w:val="nil"/>
              <w:left w:val="single" w:color="000000" w:sz="6" w:space="0"/>
              <w:bottom w:val="nil"/>
              <w:right w:val="single" w:color="000000" w:sz="2" w:space="0"/>
            </w:tcBorders>
            <w:vAlign w:val="top"/>
          </w:tcPr>
          <w:p w14:paraId="09337943">
            <w:pPr>
              <w:rPr>
                <w:rFonts w:ascii="Arial"/>
                <w:sz w:val="21"/>
              </w:rPr>
            </w:pPr>
          </w:p>
        </w:tc>
        <w:tc>
          <w:tcPr>
            <w:tcW w:w="1915" w:type="dxa"/>
            <w:gridSpan w:val="2"/>
            <w:vMerge w:val="restart"/>
            <w:tcBorders>
              <w:left w:val="single" w:color="000000" w:sz="2" w:space="0"/>
              <w:bottom w:val="nil"/>
              <w:right w:val="single" w:color="000000" w:sz="2" w:space="0"/>
            </w:tcBorders>
            <w:vAlign w:val="top"/>
          </w:tcPr>
          <w:p w14:paraId="0EAE5716">
            <w:pPr>
              <w:spacing w:line="360" w:lineRule="auto"/>
              <w:rPr>
                <w:rFonts w:ascii="Arial"/>
                <w:sz w:val="21"/>
              </w:rPr>
            </w:pPr>
          </w:p>
          <w:p w14:paraId="6B606931">
            <w:pPr>
              <w:pStyle w:val="6"/>
              <w:spacing w:before="65" w:line="228" w:lineRule="auto"/>
              <w:ind w:left="643"/>
              <w:rPr>
                <w:rFonts w:ascii="Times New Roman" w:hAnsi="Times New Roman" w:eastAsia="Times New Roman" w:cs="Times New Roman"/>
                <w:sz w:val="20"/>
                <w:szCs w:val="20"/>
              </w:rPr>
            </w:pPr>
            <w:r>
              <w:rPr>
                <w:spacing w:val="2"/>
                <w:sz w:val="20"/>
                <w:szCs w:val="20"/>
              </w:rPr>
              <w:t>扎格</w:t>
            </w:r>
            <w:r>
              <w:rPr>
                <w:spacing w:val="-35"/>
                <w:sz w:val="20"/>
                <w:szCs w:val="20"/>
              </w:rPr>
              <w:t xml:space="preserve"> </w:t>
            </w:r>
            <w:r>
              <w:rPr>
                <w:rFonts w:ascii="Times New Roman" w:hAnsi="Times New Roman" w:eastAsia="Times New Roman" w:cs="Times New Roman"/>
                <w:spacing w:val="2"/>
                <w:sz w:val="20"/>
                <w:szCs w:val="20"/>
              </w:rPr>
              <w:t>9X</w:t>
            </w:r>
          </w:p>
        </w:tc>
        <w:tc>
          <w:tcPr>
            <w:tcW w:w="850" w:type="dxa"/>
            <w:tcBorders>
              <w:left w:val="single" w:color="000000" w:sz="2" w:space="0"/>
            </w:tcBorders>
            <w:vAlign w:val="top"/>
          </w:tcPr>
          <w:p w14:paraId="094A7EC2">
            <w:pPr>
              <w:pStyle w:val="6"/>
              <w:spacing w:before="72" w:line="227" w:lineRule="auto"/>
              <w:ind w:left="104"/>
              <w:rPr>
                <w:sz w:val="20"/>
                <w:szCs w:val="20"/>
              </w:rPr>
            </w:pPr>
            <w:r>
              <w:rPr>
                <w:spacing w:val="7"/>
                <w:sz w:val="20"/>
                <w:szCs w:val="20"/>
              </w:rPr>
              <w:t>抽油机</w:t>
            </w:r>
          </w:p>
        </w:tc>
        <w:tc>
          <w:tcPr>
            <w:tcW w:w="568" w:type="dxa"/>
            <w:gridSpan w:val="2"/>
            <w:vAlign w:val="top"/>
          </w:tcPr>
          <w:p w14:paraId="6DE5CE9B">
            <w:pPr>
              <w:spacing w:before="117"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82</w:t>
            </w:r>
          </w:p>
        </w:tc>
        <w:tc>
          <w:tcPr>
            <w:tcW w:w="567" w:type="dxa"/>
            <w:tcBorders>
              <w:right w:val="single" w:color="000000" w:sz="2" w:space="0"/>
            </w:tcBorders>
            <w:vAlign w:val="top"/>
          </w:tcPr>
          <w:p w14:paraId="38DBF0D3">
            <w:pPr>
              <w:spacing w:before="110"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82</w:t>
            </w:r>
          </w:p>
        </w:tc>
        <w:tc>
          <w:tcPr>
            <w:tcW w:w="568" w:type="dxa"/>
            <w:tcBorders>
              <w:left w:val="single" w:color="000000" w:sz="2" w:space="0"/>
              <w:right w:val="single" w:color="000000" w:sz="2" w:space="0"/>
            </w:tcBorders>
            <w:vAlign w:val="top"/>
          </w:tcPr>
          <w:p w14:paraId="73EF1CCC">
            <w:pPr>
              <w:spacing w:before="110" w:line="195" w:lineRule="auto"/>
              <w:ind w:left="24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31" w:type="dxa"/>
            <w:gridSpan w:val="2"/>
            <w:tcBorders>
              <w:left w:val="single" w:color="000000" w:sz="2" w:space="0"/>
              <w:right w:val="single" w:color="000000" w:sz="2" w:space="0"/>
            </w:tcBorders>
            <w:vAlign w:val="top"/>
          </w:tcPr>
          <w:p w14:paraId="04DAD792">
            <w:pPr>
              <w:spacing w:before="113"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1415" w:type="dxa"/>
            <w:gridSpan w:val="3"/>
            <w:vMerge w:val="restart"/>
            <w:tcBorders>
              <w:left w:val="single" w:color="000000" w:sz="2" w:space="0"/>
              <w:bottom w:val="nil"/>
            </w:tcBorders>
            <w:vAlign w:val="top"/>
          </w:tcPr>
          <w:p w14:paraId="17416B9E">
            <w:pPr>
              <w:pStyle w:val="6"/>
              <w:spacing w:before="156" w:line="228" w:lineRule="auto"/>
              <w:ind w:left="181"/>
              <w:rPr>
                <w:sz w:val="20"/>
                <w:szCs w:val="20"/>
              </w:rPr>
            </w:pPr>
            <w:r>
              <w:rPr>
                <w:spacing w:val="8"/>
                <w:sz w:val="20"/>
                <w:szCs w:val="20"/>
              </w:rPr>
              <w:t>选用低噪声</w:t>
            </w:r>
          </w:p>
          <w:p w14:paraId="4DCA0C7B">
            <w:pPr>
              <w:pStyle w:val="6"/>
              <w:spacing w:before="23" w:line="229" w:lineRule="auto"/>
              <w:ind w:left="113"/>
              <w:rPr>
                <w:sz w:val="20"/>
                <w:szCs w:val="20"/>
              </w:rPr>
            </w:pPr>
            <w:r>
              <w:rPr>
                <w:spacing w:val="-4"/>
                <w:sz w:val="20"/>
                <w:szCs w:val="20"/>
              </w:rPr>
              <w:t>设备、基础减</w:t>
            </w:r>
          </w:p>
          <w:p w14:paraId="07ACD616">
            <w:pPr>
              <w:pStyle w:val="6"/>
              <w:spacing w:before="25" w:line="228" w:lineRule="auto"/>
              <w:ind w:left="601"/>
              <w:rPr>
                <w:sz w:val="20"/>
                <w:szCs w:val="20"/>
              </w:rPr>
            </w:pPr>
            <w:r>
              <w:rPr>
                <w:spacing w:val="1"/>
                <w:sz w:val="20"/>
                <w:szCs w:val="20"/>
              </w:rPr>
              <w:t>振</w:t>
            </w:r>
          </w:p>
        </w:tc>
        <w:tc>
          <w:tcPr>
            <w:tcW w:w="1392" w:type="dxa"/>
            <w:tcBorders>
              <w:right w:val="single" w:color="000000" w:sz="6" w:space="0"/>
            </w:tcBorders>
            <w:vAlign w:val="top"/>
          </w:tcPr>
          <w:p w14:paraId="734ECF77">
            <w:pPr>
              <w:spacing w:before="110" w:line="195" w:lineRule="auto"/>
              <w:ind w:left="534"/>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r>
      <w:tr w14:paraId="6E5986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495" w:type="dxa"/>
            <w:vMerge w:val="continue"/>
            <w:tcBorders>
              <w:top w:val="nil"/>
              <w:left w:val="single" w:color="000000" w:sz="6" w:space="0"/>
              <w:bottom w:val="nil"/>
              <w:right w:val="single" w:color="000000" w:sz="2" w:space="0"/>
            </w:tcBorders>
            <w:vAlign w:val="top"/>
          </w:tcPr>
          <w:p w14:paraId="7D2283B8">
            <w:pPr>
              <w:rPr>
                <w:rFonts w:ascii="Arial"/>
                <w:sz w:val="21"/>
              </w:rPr>
            </w:pPr>
          </w:p>
        </w:tc>
        <w:tc>
          <w:tcPr>
            <w:tcW w:w="1915" w:type="dxa"/>
            <w:gridSpan w:val="2"/>
            <w:vMerge w:val="continue"/>
            <w:tcBorders>
              <w:top w:val="nil"/>
              <w:left w:val="single" w:color="000000" w:sz="2" w:space="0"/>
              <w:bottom w:val="nil"/>
              <w:right w:val="single" w:color="000000" w:sz="2" w:space="0"/>
            </w:tcBorders>
            <w:vAlign w:val="top"/>
          </w:tcPr>
          <w:p w14:paraId="25095433">
            <w:pPr>
              <w:rPr>
                <w:rFonts w:ascii="Arial"/>
                <w:sz w:val="21"/>
              </w:rPr>
            </w:pPr>
          </w:p>
        </w:tc>
        <w:tc>
          <w:tcPr>
            <w:tcW w:w="850" w:type="dxa"/>
            <w:tcBorders>
              <w:left w:val="single" w:color="000000" w:sz="2" w:space="0"/>
            </w:tcBorders>
            <w:vAlign w:val="top"/>
          </w:tcPr>
          <w:p w14:paraId="53252F48">
            <w:pPr>
              <w:pStyle w:val="6"/>
              <w:spacing w:before="72" w:line="227" w:lineRule="auto"/>
              <w:ind w:left="28"/>
              <w:rPr>
                <w:rFonts w:ascii="Times New Roman" w:hAnsi="Times New Roman" w:eastAsia="Times New Roman" w:cs="Times New Roman"/>
                <w:sz w:val="20"/>
                <w:szCs w:val="20"/>
              </w:rPr>
            </w:pPr>
            <w:r>
              <w:rPr>
                <w:spacing w:val="5"/>
                <w:sz w:val="20"/>
                <w:szCs w:val="20"/>
              </w:rPr>
              <w:t>柴油机</w:t>
            </w:r>
            <w:r>
              <w:rPr>
                <w:spacing w:val="-26"/>
                <w:sz w:val="20"/>
                <w:szCs w:val="20"/>
              </w:rPr>
              <w:t xml:space="preserve"> </w:t>
            </w:r>
            <w:r>
              <w:rPr>
                <w:rFonts w:ascii="Times New Roman" w:hAnsi="Times New Roman" w:eastAsia="Times New Roman" w:cs="Times New Roman"/>
                <w:spacing w:val="5"/>
                <w:sz w:val="20"/>
                <w:szCs w:val="20"/>
              </w:rPr>
              <w:t>1</w:t>
            </w:r>
          </w:p>
        </w:tc>
        <w:tc>
          <w:tcPr>
            <w:tcW w:w="568" w:type="dxa"/>
            <w:gridSpan w:val="2"/>
            <w:vAlign w:val="top"/>
          </w:tcPr>
          <w:p w14:paraId="45D96B08">
            <w:pPr>
              <w:spacing w:before="118"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567" w:type="dxa"/>
            <w:tcBorders>
              <w:right w:val="single" w:color="000000" w:sz="2" w:space="0"/>
            </w:tcBorders>
            <w:vAlign w:val="top"/>
          </w:tcPr>
          <w:p w14:paraId="71E1CFDD">
            <w:pPr>
              <w:spacing w:before="110" w:line="195" w:lineRule="auto"/>
              <w:ind w:left="171"/>
              <w:rPr>
                <w:rFonts w:ascii="Times New Roman" w:hAnsi="Times New Roman" w:eastAsia="Times New Roman" w:cs="Times New Roman"/>
                <w:sz w:val="20"/>
                <w:szCs w:val="20"/>
              </w:rPr>
            </w:pPr>
            <w:r>
              <w:rPr>
                <w:rFonts w:ascii="Times New Roman" w:hAnsi="Times New Roman" w:eastAsia="Times New Roman" w:cs="Times New Roman"/>
                <w:sz w:val="20"/>
                <w:szCs w:val="20"/>
              </w:rPr>
              <w:t>68</w:t>
            </w:r>
          </w:p>
        </w:tc>
        <w:tc>
          <w:tcPr>
            <w:tcW w:w="568" w:type="dxa"/>
            <w:tcBorders>
              <w:left w:val="single" w:color="000000" w:sz="2" w:space="0"/>
              <w:right w:val="single" w:color="000000" w:sz="2" w:space="0"/>
            </w:tcBorders>
            <w:vAlign w:val="top"/>
          </w:tcPr>
          <w:p w14:paraId="10BA6650">
            <w:pPr>
              <w:spacing w:before="111" w:line="195" w:lineRule="auto"/>
              <w:ind w:left="24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31" w:type="dxa"/>
            <w:gridSpan w:val="2"/>
            <w:tcBorders>
              <w:left w:val="single" w:color="000000" w:sz="2" w:space="0"/>
              <w:right w:val="single" w:color="000000" w:sz="2" w:space="0"/>
            </w:tcBorders>
            <w:vAlign w:val="top"/>
          </w:tcPr>
          <w:p w14:paraId="6C2D2FF1">
            <w:pPr>
              <w:spacing w:before="110" w:line="195" w:lineRule="auto"/>
              <w:ind w:left="4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415" w:type="dxa"/>
            <w:gridSpan w:val="3"/>
            <w:vMerge w:val="continue"/>
            <w:tcBorders>
              <w:top w:val="nil"/>
              <w:left w:val="single" w:color="000000" w:sz="2" w:space="0"/>
              <w:bottom w:val="nil"/>
            </w:tcBorders>
            <w:vAlign w:val="top"/>
          </w:tcPr>
          <w:p w14:paraId="3D981813">
            <w:pPr>
              <w:rPr>
                <w:rFonts w:ascii="Arial"/>
                <w:sz w:val="21"/>
              </w:rPr>
            </w:pPr>
          </w:p>
        </w:tc>
        <w:tc>
          <w:tcPr>
            <w:tcW w:w="1392" w:type="dxa"/>
            <w:tcBorders>
              <w:right w:val="single" w:color="000000" w:sz="6" w:space="0"/>
            </w:tcBorders>
            <w:vAlign w:val="top"/>
          </w:tcPr>
          <w:p w14:paraId="16E5A96B">
            <w:pPr>
              <w:spacing w:before="110" w:line="195" w:lineRule="auto"/>
              <w:ind w:left="5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r>
      <w:tr w14:paraId="54227A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495" w:type="dxa"/>
            <w:vMerge w:val="continue"/>
            <w:tcBorders>
              <w:top w:val="nil"/>
              <w:left w:val="single" w:color="000000" w:sz="6" w:space="0"/>
              <w:bottom w:val="nil"/>
              <w:right w:val="single" w:color="000000" w:sz="2" w:space="0"/>
            </w:tcBorders>
            <w:vAlign w:val="top"/>
          </w:tcPr>
          <w:p w14:paraId="690BC0D3">
            <w:pPr>
              <w:rPr>
                <w:rFonts w:ascii="Arial"/>
                <w:sz w:val="21"/>
              </w:rPr>
            </w:pPr>
          </w:p>
        </w:tc>
        <w:tc>
          <w:tcPr>
            <w:tcW w:w="1915" w:type="dxa"/>
            <w:gridSpan w:val="2"/>
            <w:vMerge w:val="continue"/>
            <w:tcBorders>
              <w:top w:val="nil"/>
              <w:left w:val="single" w:color="000000" w:sz="2" w:space="0"/>
              <w:right w:val="single" w:color="000000" w:sz="2" w:space="0"/>
            </w:tcBorders>
            <w:vAlign w:val="top"/>
          </w:tcPr>
          <w:p w14:paraId="05986D57">
            <w:pPr>
              <w:rPr>
                <w:rFonts w:ascii="Arial"/>
                <w:sz w:val="21"/>
              </w:rPr>
            </w:pPr>
          </w:p>
        </w:tc>
        <w:tc>
          <w:tcPr>
            <w:tcW w:w="850" w:type="dxa"/>
            <w:tcBorders>
              <w:left w:val="single" w:color="000000" w:sz="2" w:space="0"/>
            </w:tcBorders>
            <w:vAlign w:val="top"/>
          </w:tcPr>
          <w:p w14:paraId="4FA8BD8F">
            <w:pPr>
              <w:pStyle w:val="6"/>
              <w:spacing w:before="72" w:line="227" w:lineRule="auto"/>
              <w:ind w:left="28"/>
              <w:rPr>
                <w:rFonts w:ascii="Times New Roman" w:hAnsi="Times New Roman" w:eastAsia="Times New Roman" w:cs="Times New Roman"/>
                <w:sz w:val="20"/>
                <w:szCs w:val="20"/>
              </w:rPr>
            </w:pPr>
            <w:r>
              <w:rPr>
                <w:spacing w:val="5"/>
                <w:sz w:val="20"/>
                <w:szCs w:val="20"/>
              </w:rPr>
              <w:t>柴油机</w:t>
            </w:r>
            <w:r>
              <w:rPr>
                <w:spacing w:val="-46"/>
                <w:sz w:val="20"/>
                <w:szCs w:val="20"/>
              </w:rPr>
              <w:t xml:space="preserve"> </w:t>
            </w:r>
            <w:r>
              <w:rPr>
                <w:rFonts w:ascii="Times New Roman" w:hAnsi="Times New Roman" w:eastAsia="Times New Roman" w:cs="Times New Roman"/>
                <w:spacing w:val="5"/>
                <w:sz w:val="20"/>
                <w:szCs w:val="20"/>
              </w:rPr>
              <w:t>2</w:t>
            </w:r>
          </w:p>
        </w:tc>
        <w:tc>
          <w:tcPr>
            <w:tcW w:w="568" w:type="dxa"/>
            <w:gridSpan w:val="2"/>
            <w:vAlign w:val="top"/>
          </w:tcPr>
          <w:p w14:paraId="4EAA4B2D">
            <w:pPr>
              <w:spacing w:before="118"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88</w:t>
            </w:r>
          </w:p>
        </w:tc>
        <w:tc>
          <w:tcPr>
            <w:tcW w:w="567" w:type="dxa"/>
            <w:tcBorders>
              <w:right w:val="single" w:color="000000" w:sz="2" w:space="0"/>
            </w:tcBorders>
            <w:vAlign w:val="top"/>
          </w:tcPr>
          <w:p w14:paraId="4AE812DF">
            <w:pPr>
              <w:spacing w:before="111" w:line="195" w:lineRule="auto"/>
              <w:ind w:left="171"/>
              <w:rPr>
                <w:rFonts w:ascii="Times New Roman" w:hAnsi="Times New Roman" w:eastAsia="Times New Roman" w:cs="Times New Roman"/>
                <w:sz w:val="20"/>
                <w:szCs w:val="20"/>
              </w:rPr>
            </w:pPr>
            <w:r>
              <w:rPr>
                <w:rFonts w:ascii="Times New Roman" w:hAnsi="Times New Roman" w:eastAsia="Times New Roman" w:cs="Times New Roman"/>
                <w:sz w:val="20"/>
                <w:szCs w:val="20"/>
              </w:rPr>
              <w:t>68</w:t>
            </w:r>
          </w:p>
        </w:tc>
        <w:tc>
          <w:tcPr>
            <w:tcW w:w="568" w:type="dxa"/>
            <w:tcBorders>
              <w:left w:val="single" w:color="000000" w:sz="2" w:space="0"/>
              <w:right w:val="single" w:color="000000" w:sz="2" w:space="0"/>
            </w:tcBorders>
            <w:vAlign w:val="top"/>
          </w:tcPr>
          <w:p w14:paraId="01979314">
            <w:pPr>
              <w:spacing w:before="111" w:line="195" w:lineRule="auto"/>
              <w:ind w:left="24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31" w:type="dxa"/>
            <w:gridSpan w:val="2"/>
            <w:tcBorders>
              <w:left w:val="single" w:color="000000" w:sz="2" w:space="0"/>
              <w:right w:val="single" w:color="000000" w:sz="2" w:space="0"/>
            </w:tcBorders>
            <w:vAlign w:val="top"/>
          </w:tcPr>
          <w:p w14:paraId="102CBEA7">
            <w:pPr>
              <w:spacing w:before="111" w:line="195" w:lineRule="auto"/>
              <w:ind w:left="4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415" w:type="dxa"/>
            <w:gridSpan w:val="3"/>
            <w:vMerge w:val="continue"/>
            <w:tcBorders>
              <w:top w:val="nil"/>
              <w:left w:val="single" w:color="000000" w:sz="2" w:space="0"/>
            </w:tcBorders>
            <w:vAlign w:val="top"/>
          </w:tcPr>
          <w:p w14:paraId="7AE31736">
            <w:pPr>
              <w:rPr>
                <w:rFonts w:ascii="Arial"/>
                <w:sz w:val="21"/>
              </w:rPr>
            </w:pPr>
          </w:p>
        </w:tc>
        <w:tc>
          <w:tcPr>
            <w:tcW w:w="1392" w:type="dxa"/>
            <w:tcBorders>
              <w:right w:val="single" w:color="000000" w:sz="6" w:space="0"/>
            </w:tcBorders>
            <w:vAlign w:val="top"/>
          </w:tcPr>
          <w:p w14:paraId="21EABBA9">
            <w:pPr>
              <w:spacing w:before="111" w:line="195" w:lineRule="auto"/>
              <w:ind w:left="5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r>
      <w:tr w14:paraId="10629A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495" w:type="dxa"/>
            <w:vMerge w:val="continue"/>
            <w:tcBorders>
              <w:top w:val="nil"/>
              <w:left w:val="single" w:color="000000" w:sz="6" w:space="0"/>
              <w:bottom w:val="nil"/>
              <w:right w:val="single" w:color="000000" w:sz="2" w:space="0"/>
            </w:tcBorders>
            <w:vAlign w:val="top"/>
          </w:tcPr>
          <w:p w14:paraId="2AF63B1F">
            <w:pPr>
              <w:rPr>
                <w:rFonts w:ascii="Arial"/>
                <w:sz w:val="21"/>
              </w:rPr>
            </w:pPr>
          </w:p>
        </w:tc>
        <w:tc>
          <w:tcPr>
            <w:tcW w:w="8406" w:type="dxa"/>
            <w:gridSpan w:val="13"/>
            <w:tcBorders>
              <w:left w:val="single" w:color="000000" w:sz="2" w:space="0"/>
              <w:bottom w:val="single" w:color="000000" w:sz="10" w:space="0"/>
              <w:right w:val="single" w:color="000000" w:sz="6" w:space="0"/>
            </w:tcBorders>
            <w:vAlign w:val="top"/>
          </w:tcPr>
          <w:p w14:paraId="7F88A14F">
            <w:pPr>
              <w:pStyle w:val="6"/>
              <w:spacing w:before="72" w:line="227" w:lineRule="auto"/>
              <w:ind w:left="215"/>
              <w:rPr>
                <w:sz w:val="20"/>
                <w:szCs w:val="20"/>
              </w:rPr>
            </w:pPr>
            <w:r>
              <w:rPr>
                <w:spacing w:val="5"/>
                <w:sz w:val="20"/>
                <w:szCs w:val="20"/>
              </w:rPr>
              <w:t>注：</w:t>
            </w:r>
            <w:r>
              <w:rPr>
                <w:spacing w:val="-54"/>
                <w:sz w:val="20"/>
                <w:szCs w:val="20"/>
              </w:rPr>
              <w:t xml:space="preserve"> </w:t>
            </w:r>
            <w:r>
              <w:rPr>
                <w:spacing w:val="5"/>
                <w:sz w:val="20"/>
                <w:szCs w:val="20"/>
              </w:rPr>
              <w:t>以扎格</w:t>
            </w:r>
            <w:r>
              <w:rPr>
                <w:spacing w:val="-39"/>
                <w:sz w:val="20"/>
                <w:szCs w:val="20"/>
              </w:rPr>
              <w:t xml:space="preserve"> </w:t>
            </w:r>
            <w:r>
              <w:rPr>
                <w:rFonts w:ascii="Times New Roman" w:hAnsi="Times New Roman" w:eastAsia="Times New Roman" w:cs="Times New Roman"/>
                <w:spacing w:val="5"/>
                <w:sz w:val="20"/>
                <w:szCs w:val="20"/>
              </w:rPr>
              <w:t xml:space="preserve">9X </w:t>
            </w:r>
            <w:r>
              <w:rPr>
                <w:spacing w:val="5"/>
                <w:sz w:val="20"/>
                <w:szCs w:val="20"/>
              </w:rPr>
              <w:t>井场西南角为坐标原点。</w:t>
            </w:r>
          </w:p>
        </w:tc>
      </w:tr>
      <w:tr w14:paraId="26B22D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495" w:type="dxa"/>
            <w:vMerge w:val="continue"/>
            <w:tcBorders>
              <w:top w:val="nil"/>
              <w:left w:val="single" w:color="000000" w:sz="6" w:space="0"/>
              <w:bottom w:val="nil"/>
              <w:right w:val="single" w:color="000000" w:sz="2" w:space="0"/>
            </w:tcBorders>
            <w:vAlign w:val="top"/>
          </w:tcPr>
          <w:p w14:paraId="6E3D0F31">
            <w:pPr>
              <w:rPr>
                <w:rFonts w:ascii="Arial"/>
                <w:sz w:val="21"/>
              </w:rPr>
            </w:pPr>
          </w:p>
        </w:tc>
        <w:tc>
          <w:tcPr>
            <w:tcW w:w="8406" w:type="dxa"/>
            <w:gridSpan w:val="13"/>
            <w:tcBorders>
              <w:top w:val="single" w:color="000000" w:sz="10" w:space="0"/>
              <w:left w:val="single" w:color="000000" w:sz="2" w:space="0"/>
              <w:bottom w:val="single" w:color="000000" w:sz="10" w:space="0"/>
              <w:right w:val="single" w:color="000000" w:sz="6" w:space="0"/>
            </w:tcBorders>
            <w:vAlign w:val="top"/>
          </w:tcPr>
          <w:p w14:paraId="19E1A20D">
            <w:pPr>
              <w:pStyle w:val="6"/>
              <w:spacing w:before="36" w:line="360" w:lineRule="auto"/>
              <w:ind w:left="112" w:right="100" w:firstLine="478"/>
            </w:pPr>
            <w:r>
              <w:rPr>
                <w:spacing w:val="1"/>
              </w:rPr>
              <w:t>按照噪声预测模式，结合各噪声源到预测点距离，通</w:t>
            </w:r>
            <w:r>
              <w:t>过计算，得出项目试</w:t>
            </w:r>
            <w:r>
              <w:rPr>
                <w:spacing w:val="-1"/>
              </w:rPr>
              <w:t>油阶段噪声源对场界四周的贡献值。</w:t>
            </w:r>
          </w:p>
          <w:p w14:paraId="38056912">
            <w:pPr>
              <w:spacing w:line="204" w:lineRule="auto"/>
              <w:ind w:left="2428"/>
              <w:rPr>
                <w:rFonts w:ascii="黑体" w:hAnsi="黑体" w:eastAsia="黑体" w:cs="黑体"/>
                <w:sz w:val="24"/>
                <w:szCs w:val="24"/>
              </w:rPr>
            </w:pPr>
            <w:r>
              <w:rPr>
                <w:rFonts w:ascii="黑体" w:hAnsi="黑体" w:eastAsia="黑体" w:cs="黑体"/>
                <w:spacing w:val="-1"/>
                <w:sz w:val="24"/>
                <w:szCs w:val="24"/>
              </w:rPr>
              <w:t>表</w:t>
            </w:r>
            <w:r>
              <w:rPr>
                <w:rFonts w:ascii="Times New Roman" w:hAnsi="Times New Roman" w:eastAsia="Times New Roman" w:cs="Times New Roman"/>
                <w:spacing w:val="-1"/>
                <w:sz w:val="24"/>
                <w:szCs w:val="24"/>
              </w:rPr>
              <w:t xml:space="preserve">4-6  </w:t>
            </w:r>
            <w:r>
              <w:rPr>
                <w:rFonts w:ascii="黑体" w:hAnsi="黑体" w:eastAsia="黑体" w:cs="黑体"/>
                <w:spacing w:val="-1"/>
                <w:sz w:val="24"/>
                <w:szCs w:val="24"/>
              </w:rPr>
              <w:t>试油阶段场界噪声贡献情况</w:t>
            </w:r>
          </w:p>
        </w:tc>
      </w:tr>
      <w:tr w14:paraId="17E1E8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495" w:type="dxa"/>
            <w:vMerge w:val="continue"/>
            <w:tcBorders>
              <w:top w:val="nil"/>
              <w:left w:val="single" w:color="000000" w:sz="6" w:space="0"/>
              <w:bottom w:val="nil"/>
              <w:right w:val="single" w:color="000000" w:sz="2" w:space="0"/>
            </w:tcBorders>
            <w:vAlign w:val="top"/>
          </w:tcPr>
          <w:p w14:paraId="73B93DCA">
            <w:pPr>
              <w:rPr>
                <w:rFonts w:ascii="Arial"/>
                <w:sz w:val="21"/>
              </w:rPr>
            </w:pPr>
          </w:p>
        </w:tc>
        <w:tc>
          <w:tcPr>
            <w:tcW w:w="2911" w:type="dxa"/>
            <w:gridSpan w:val="4"/>
            <w:vMerge w:val="restart"/>
            <w:tcBorders>
              <w:top w:val="single" w:color="000000" w:sz="10" w:space="0"/>
              <w:left w:val="single" w:color="000000" w:sz="2" w:space="0"/>
              <w:bottom w:val="nil"/>
            </w:tcBorders>
            <w:vAlign w:val="top"/>
          </w:tcPr>
          <w:p w14:paraId="057AB793">
            <w:pPr>
              <w:pStyle w:val="6"/>
              <w:spacing w:before="247" w:line="228" w:lineRule="auto"/>
              <w:ind w:left="987"/>
              <w:rPr>
                <w:sz w:val="20"/>
                <w:szCs w:val="20"/>
              </w:rPr>
            </w:pPr>
            <w:r>
              <w:rPr>
                <w:spacing w:val="7"/>
                <w:sz w:val="20"/>
                <w:szCs w:val="20"/>
              </w:rPr>
              <w:t>预测点名称</w:t>
            </w:r>
          </w:p>
        </w:tc>
        <w:tc>
          <w:tcPr>
            <w:tcW w:w="1981" w:type="dxa"/>
            <w:gridSpan w:val="4"/>
            <w:tcBorders>
              <w:top w:val="single" w:color="000000" w:sz="10" w:space="0"/>
            </w:tcBorders>
            <w:vAlign w:val="top"/>
          </w:tcPr>
          <w:p w14:paraId="0CC79F2B">
            <w:pPr>
              <w:pStyle w:val="6"/>
              <w:spacing w:before="69" w:line="228" w:lineRule="auto"/>
              <w:ind w:left="247"/>
              <w:rPr>
                <w:sz w:val="20"/>
                <w:szCs w:val="20"/>
              </w:rPr>
            </w:pPr>
            <w:r>
              <w:rPr>
                <w:spacing w:val="6"/>
                <w:sz w:val="20"/>
                <w:szCs w:val="20"/>
              </w:rPr>
              <w:t>贡献值</w:t>
            </w:r>
            <w:r>
              <w:rPr>
                <w:spacing w:val="-37"/>
                <w:sz w:val="20"/>
                <w:szCs w:val="20"/>
              </w:rPr>
              <w:t xml:space="preserve"> </w:t>
            </w:r>
            <w:r>
              <w:rPr>
                <w:rFonts w:ascii="Times New Roman" w:hAnsi="Times New Roman" w:eastAsia="Times New Roman" w:cs="Times New Roman"/>
                <w:sz w:val="20"/>
                <w:szCs w:val="20"/>
              </w:rPr>
              <w:t>dB</w:t>
            </w:r>
            <w:r>
              <w:rPr>
                <w:spacing w:val="6"/>
                <w:sz w:val="20"/>
                <w:szCs w:val="20"/>
              </w:rPr>
              <w:t>（</w:t>
            </w:r>
            <w:r>
              <w:rPr>
                <w:rFonts w:ascii="Times New Roman" w:hAnsi="Times New Roman" w:eastAsia="Times New Roman" w:cs="Times New Roman"/>
                <w:spacing w:val="6"/>
                <w:sz w:val="20"/>
                <w:szCs w:val="20"/>
              </w:rPr>
              <w:t>A</w:t>
            </w:r>
            <w:r>
              <w:rPr>
                <w:spacing w:val="6"/>
                <w:sz w:val="20"/>
                <w:szCs w:val="20"/>
              </w:rPr>
              <w:t>）</w:t>
            </w:r>
          </w:p>
        </w:tc>
        <w:tc>
          <w:tcPr>
            <w:tcW w:w="1960" w:type="dxa"/>
            <w:gridSpan w:val="3"/>
            <w:tcBorders>
              <w:top w:val="single" w:color="000000" w:sz="10" w:space="0"/>
            </w:tcBorders>
            <w:vAlign w:val="top"/>
          </w:tcPr>
          <w:p w14:paraId="79A94229">
            <w:pPr>
              <w:pStyle w:val="6"/>
              <w:spacing w:before="69" w:line="228" w:lineRule="auto"/>
              <w:ind w:left="239"/>
              <w:rPr>
                <w:sz w:val="20"/>
                <w:szCs w:val="20"/>
              </w:rPr>
            </w:pPr>
            <w:r>
              <w:rPr>
                <w:spacing w:val="6"/>
                <w:sz w:val="20"/>
                <w:szCs w:val="20"/>
              </w:rPr>
              <w:t>标准值</w:t>
            </w:r>
            <w:r>
              <w:rPr>
                <w:spacing w:val="-38"/>
                <w:sz w:val="20"/>
                <w:szCs w:val="20"/>
              </w:rPr>
              <w:t xml:space="preserve"> </w:t>
            </w:r>
            <w:r>
              <w:rPr>
                <w:rFonts w:ascii="Times New Roman" w:hAnsi="Times New Roman" w:eastAsia="Times New Roman" w:cs="Times New Roman"/>
                <w:sz w:val="20"/>
                <w:szCs w:val="20"/>
              </w:rPr>
              <w:t>dB</w:t>
            </w:r>
            <w:r>
              <w:rPr>
                <w:spacing w:val="6"/>
                <w:sz w:val="20"/>
                <w:szCs w:val="20"/>
              </w:rPr>
              <w:t>（</w:t>
            </w:r>
            <w:r>
              <w:rPr>
                <w:rFonts w:ascii="Times New Roman" w:hAnsi="Times New Roman" w:eastAsia="Times New Roman" w:cs="Times New Roman"/>
                <w:spacing w:val="6"/>
                <w:sz w:val="20"/>
                <w:szCs w:val="20"/>
              </w:rPr>
              <w:t>A</w:t>
            </w:r>
            <w:r>
              <w:rPr>
                <w:spacing w:val="6"/>
                <w:sz w:val="20"/>
                <w:szCs w:val="20"/>
              </w:rPr>
              <w:t>）</w:t>
            </w:r>
          </w:p>
        </w:tc>
        <w:tc>
          <w:tcPr>
            <w:tcW w:w="1554" w:type="dxa"/>
            <w:gridSpan w:val="2"/>
            <w:vMerge w:val="restart"/>
            <w:tcBorders>
              <w:top w:val="single" w:color="000000" w:sz="10" w:space="0"/>
              <w:bottom w:val="nil"/>
              <w:right w:val="single" w:color="000000" w:sz="6" w:space="0"/>
            </w:tcBorders>
            <w:vAlign w:val="top"/>
          </w:tcPr>
          <w:p w14:paraId="06A3E9F1">
            <w:pPr>
              <w:pStyle w:val="6"/>
              <w:spacing w:before="247" w:line="228" w:lineRule="auto"/>
              <w:ind w:left="308"/>
              <w:rPr>
                <w:sz w:val="20"/>
                <w:szCs w:val="20"/>
              </w:rPr>
            </w:pPr>
            <w:r>
              <w:rPr>
                <w:spacing w:val="7"/>
                <w:sz w:val="20"/>
                <w:szCs w:val="20"/>
              </w:rPr>
              <w:t>达标情况</w:t>
            </w:r>
          </w:p>
        </w:tc>
      </w:tr>
      <w:tr w14:paraId="372684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495" w:type="dxa"/>
            <w:vMerge w:val="continue"/>
            <w:tcBorders>
              <w:top w:val="nil"/>
              <w:left w:val="single" w:color="000000" w:sz="6" w:space="0"/>
              <w:bottom w:val="nil"/>
              <w:right w:val="single" w:color="000000" w:sz="2" w:space="0"/>
            </w:tcBorders>
            <w:vAlign w:val="top"/>
          </w:tcPr>
          <w:p w14:paraId="3BF300D4">
            <w:pPr>
              <w:rPr>
                <w:rFonts w:ascii="Arial"/>
                <w:sz w:val="21"/>
              </w:rPr>
            </w:pPr>
          </w:p>
        </w:tc>
        <w:tc>
          <w:tcPr>
            <w:tcW w:w="2911" w:type="dxa"/>
            <w:gridSpan w:val="4"/>
            <w:vMerge w:val="continue"/>
            <w:tcBorders>
              <w:top w:val="nil"/>
              <w:left w:val="single" w:color="000000" w:sz="2" w:space="0"/>
            </w:tcBorders>
            <w:vAlign w:val="top"/>
          </w:tcPr>
          <w:p w14:paraId="0C041C64">
            <w:pPr>
              <w:rPr>
                <w:rFonts w:ascii="Arial"/>
                <w:sz w:val="21"/>
              </w:rPr>
            </w:pPr>
          </w:p>
        </w:tc>
        <w:tc>
          <w:tcPr>
            <w:tcW w:w="989" w:type="dxa"/>
            <w:gridSpan w:val="2"/>
            <w:vAlign w:val="top"/>
          </w:tcPr>
          <w:p w14:paraId="345B338F">
            <w:pPr>
              <w:pStyle w:val="6"/>
              <w:spacing w:before="74" w:line="231" w:lineRule="auto"/>
              <w:ind w:left="287"/>
              <w:rPr>
                <w:sz w:val="20"/>
                <w:szCs w:val="20"/>
              </w:rPr>
            </w:pPr>
            <w:r>
              <w:rPr>
                <w:spacing w:val="5"/>
                <w:sz w:val="20"/>
                <w:szCs w:val="20"/>
              </w:rPr>
              <w:t>昼间</w:t>
            </w:r>
          </w:p>
        </w:tc>
        <w:tc>
          <w:tcPr>
            <w:tcW w:w="992" w:type="dxa"/>
            <w:gridSpan w:val="2"/>
            <w:tcBorders>
              <w:right w:val="single" w:color="000000" w:sz="2" w:space="0"/>
            </w:tcBorders>
            <w:vAlign w:val="top"/>
          </w:tcPr>
          <w:p w14:paraId="6A66C629">
            <w:pPr>
              <w:pStyle w:val="6"/>
              <w:spacing w:before="74" w:line="228" w:lineRule="auto"/>
              <w:ind w:left="295"/>
              <w:rPr>
                <w:sz w:val="20"/>
                <w:szCs w:val="20"/>
              </w:rPr>
            </w:pPr>
            <w:r>
              <w:rPr>
                <w:spacing w:val="3"/>
                <w:sz w:val="20"/>
                <w:szCs w:val="20"/>
              </w:rPr>
              <w:t>夜间</w:t>
            </w:r>
          </w:p>
        </w:tc>
        <w:tc>
          <w:tcPr>
            <w:tcW w:w="990" w:type="dxa"/>
            <w:gridSpan w:val="2"/>
            <w:tcBorders>
              <w:left w:val="single" w:color="000000" w:sz="2" w:space="0"/>
              <w:right w:val="single" w:color="000000" w:sz="2" w:space="0"/>
            </w:tcBorders>
            <w:vAlign w:val="top"/>
          </w:tcPr>
          <w:p w14:paraId="4408AE70">
            <w:pPr>
              <w:pStyle w:val="6"/>
              <w:spacing w:before="74" w:line="231" w:lineRule="auto"/>
              <w:ind w:left="293"/>
              <w:rPr>
                <w:sz w:val="20"/>
                <w:szCs w:val="20"/>
              </w:rPr>
            </w:pPr>
            <w:r>
              <w:rPr>
                <w:spacing w:val="5"/>
                <w:sz w:val="20"/>
                <w:szCs w:val="20"/>
              </w:rPr>
              <w:t>昼间</w:t>
            </w:r>
          </w:p>
        </w:tc>
        <w:tc>
          <w:tcPr>
            <w:tcW w:w="970" w:type="dxa"/>
            <w:tcBorders>
              <w:left w:val="single" w:color="000000" w:sz="2" w:space="0"/>
            </w:tcBorders>
            <w:vAlign w:val="top"/>
          </w:tcPr>
          <w:p w14:paraId="192D4ECD">
            <w:pPr>
              <w:pStyle w:val="6"/>
              <w:spacing w:before="74" w:line="228" w:lineRule="auto"/>
              <w:ind w:left="289"/>
              <w:rPr>
                <w:sz w:val="20"/>
                <w:szCs w:val="20"/>
              </w:rPr>
            </w:pPr>
            <w:r>
              <w:rPr>
                <w:spacing w:val="3"/>
                <w:sz w:val="20"/>
                <w:szCs w:val="20"/>
              </w:rPr>
              <w:t>夜间</w:t>
            </w:r>
          </w:p>
        </w:tc>
        <w:tc>
          <w:tcPr>
            <w:tcW w:w="1554" w:type="dxa"/>
            <w:gridSpan w:val="2"/>
            <w:vMerge w:val="continue"/>
            <w:tcBorders>
              <w:top w:val="nil"/>
              <w:right w:val="single" w:color="000000" w:sz="6" w:space="0"/>
            </w:tcBorders>
            <w:vAlign w:val="top"/>
          </w:tcPr>
          <w:p w14:paraId="43F00E5C">
            <w:pPr>
              <w:rPr>
                <w:rFonts w:ascii="Arial"/>
                <w:sz w:val="21"/>
              </w:rPr>
            </w:pPr>
          </w:p>
        </w:tc>
      </w:tr>
      <w:tr w14:paraId="62F28F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495" w:type="dxa"/>
            <w:vMerge w:val="continue"/>
            <w:tcBorders>
              <w:top w:val="nil"/>
              <w:left w:val="single" w:color="000000" w:sz="6" w:space="0"/>
              <w:bottom w:val="nil"/>
              <w:right w:val="single" w:color="000000" w:sz="2" w:space="0"/>
            </w:tcBorders>
            <w:vAlign w:val="top"/>
          </w:tcPr>
          <w:p w14:paraId="7687630D">
            <w:pPr>
              <w:rPr>
                <w:rFonts w:ascii="Arial"/>
                <w:sz w:val="21"/>
              </w:rPr>
            </w:pPr>
          </w:p>
        </w:tc>
        <w:tc>
          <w:tcPr>
            <w:tcW w:w="1915" w:type="dxa"/>
            <w:gridSpan w:val="2"/>
            <w:vMerge w:val="restart"/>
            <w:tcBorders>
              <w:left w:val="single" w:color="000000" w:sz="2" w:space="0"/>
              <w:bottom w:val="nil"/>
            </w:tcBorders>
            <w:vAlign w:val="top"/>
          </w:tcPr>
          <w:p w14:paraId="4DECA329">
            <w:pPr>
              <w:spacing w:line="269" w:lineRule="auto"/>
              <w:rPr>
                <w:rFonts w:ascii="Arial"/>
                <w:sz w:val="21"/>
              </w:rPr>
            </w:pPr>
          </w:p>
          <w:p w14:paraId="0D314584">
            <w:pPr>
              <w:spacing w:line="270" w:lineRule="auto"/>
              <w:rPr>
                <w:rFonts w:ascii="Arial"/>
                <w:sz w:val="21"/>
              </w:rPr>
            </w:pPr>
          </w:p>
          <w:p w14:paraId="0E8C1D58">
            <w:pPr>
              <w:pStyle w:val="6"/>
              <w:spacing w:before="65" w:line="228" w:lineRule="auto"/>
              <w:ind w:left="518"/>
              <w:rPr>
                <w:sz w:val="20"/>
                <w:szCs w:val="20"/>
              </w:rPr>
            </w:pPr>
            <w:r>
              <w:rPr>
                <w:spacing w:val="2"/>
                <w:sz w:val="20"/>
                <w:szCs w:val="20"/>
              </w:rPr>
              <w:t>扎格</w:t>
            </w:r>
            <w:r>
              <w:rPr>
                <w:spacing w:val="-36"/>
                <w:sz w:val="20"/>
                <w:szCs w:val="20"/>
              </w:rPr>
              <w:t xml:space="preserve"> </w:t>
            </w:r>
            <w:r>
              <w:rPr>
                <w:rFonts w:ascii="Times New Roman" w:hAnsi="Times New Roman" w:eastAsia="Times New Roman" w:cs="Times New Roman"/>
                <w:spacing w:val="2"/>
                <w:sz w:val="20"/>
                <w:szCs w:val="20"/>
              </w:rPr>
              <w:t>9X</w:t>
            </w:r>
            <w:r>
              <w:rPr>
                <w:rFonts w:ascii="Times New Roman" w:hAnsi="Times New Roman" w:eastAsia="Times New Roman" w:cs="Times New Roman"/>
                <w:spacing w:val="11"/>
                <w:sz w:val="20"/>
                <w:szCs w:val="20"/>
              </w:rPr>
              <w:t xml:space="preserve"> </w:t>
            </w:r>
            <w:r>
              <w:rPr>
                <w:spacing w:val="2"/>
                <w:sz w:val="20"/>
                <w:szCs w:val="20"/>
              </w:rPr>
              <w:t>井</w:t>
            </w:r>
          </w:p>
        </w:tc>
        <w:tc>
          <w:tcPr>
            <w:tcW w:w="996" w:type="dxa"/>
            <w:gridSpan w:val="2"/>
            <w:vAlign w:val="top"/>
          </w:tcPr>
          <w:p w14:paraId="4571C834">
            <w:pPr>
              <w:pStyle w:val="6"/>
              <w:spacing w:before="75" w:line="228" w:lineRule="auto"/>
              <w:ind w:left="191"/>
              <w:rPr>
                <w:sz w:val="20"/>
                <w:szCs w:val="20"/>
              </w:rPr>
            </w:pPr>
            <w:r>
              <w:rPr>
                <w:spacing w:val="4"/>
                <w:sz w:val="20"/>
                <w:szCs w:val="20"/>
              </w:rPr>
              <w:t>东场界</w:t>
            </w:r>
          </w:p>
        </w:tc>
        <w:tc>
          <w:tcPr>
            <w:tcW w:w="989" w:type="dxa"/>
            <w:gridSpan w:val="2"/>
            <w:vAlign w:val="top"/>
          </w:tcPr>
          <w:p w14:paraId="335E16BC">
            <w:pPr>
              <w:spacing w:before="113"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39.8</w:t>
            </w:r>
          </w:p>
        </w:tc>
        <w:tc>
          <w:tcPr>
            <w:tcW w:w="992" w:type="dxa"/>
            <w:gridSpan w:val="2"/>
            <w:tcBorders>
              <w:right w:val="single" w:color="000000" w:sz="2" w:space="0"/>
            </w:tcBorders>
            <w:vAlign w:val="top"/>
          </w:tcPr>
          <w:p w14:paraId="489FDCEA">
            <w:pPr>
              <w:spacing w:before="113" w:line="195" w:lineRule="auto"/>
              <w:ind w:left="3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39.8</w:t>
            </w:r>
          </w:p>
        </w:tc>
        <w:tc>
          <w:tcPr>
            <w:tcW w:w="990" w:type="dxa"/>
            <w:gridSpan w:val="2"/>
            <w:tcBorders>
              <w:left w:val="single" w:color="000000" w:sz="2" w:space="0"/>
              <w:right w:val="single" w:color="000000" w:sz="2" w:space="0"/>
            </w:tcBorders>
            <w:vAlign w:val="top"/>
          </w:tcPr>
          <w:p w14:paraId="1446CC68">
            <w:pPr>
              <w:spacing w:before="113" w:line="195" w:lineRule="auto"/>
              <w:ind w:left="39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970" w:type="dxa"/>
            <w:tcBorders>
              <w:left w:val="single" w:color="000000" w:sz="2" w:space="0"/>
            </w:tcBorders>
            <w:vAlign w:val="top"/>
          </w:tcPr>
          <w:p w14:paraId="246B5FA6">
            <w:pPr>
              <w:spacing w:before="116" w:line="192" w:lineRule="auto"/>
              <w:ind w:left="393"/>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1554" w:type="dxa"/>
            <w:gridSpan w:val="2"/>
            <w:tcBorders>
              <w:right w:val="single" w:color="000000" w:sz="6" w:space="0"/>
            </w:tcBorders>
            <w:vAlign w:val="top"/>
          </w:tcPr>
          <w:p w14:paraId="6FF52F67">
            <w:pPr>
              <w:pStyle w:val="6"/>
              <w:spacing w:before="75" w:line="228" w:lineRule="auto"/>
              <w:ind w:left="517"/>
              <w:rPr>
                <w:sz w:val="20"/>
                <w:szCs w:val="20"/>
              </w:rPr>
            </w:pPr>
            <w:r>
              <w:rPr>
                <w:spacing w:val="5"/>
                <w:sz w:val="20"/>
                <w:szCs w:val="20"/>
              </w:rPr>
              <w:t>达标</w:t>
            </w:r>
          </w:p>
        </w:tc>
      </w:tr>
      <w:tr w14:paraId="3838B9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495" w:type="dxa"/>
            <w:vMerge w:val="continue"/>
            <w:tcBorders>
              <w:top w:val="nil"/>
              <w:left w:val="single" w:color="000000" w:sz="6" w:space="0"/>
              <w:bottom w:val="nil"/>
              <w:right w:val="single" w:color="000000" w:sz="2" w:space="0"/>
            </w:tcBorders>
            <w:vAlign w:val="top"/>
          </w:tcPr>
          <w:p w14:paraId="07C9CD6D">
            <w:pPr>
              <w:rPr>
                <w:rFonts w:ascii="Arial"/>
                <w:sz w:val="21"/>
              </w:rPr>
            </w:pPr>
          </w:p>
        </w:tc>
        <w:tc>
          <w:tcPr>
            <w:tcW w:w="1915" w:type="dxa"/>
            <w:gridSpan w:val="2"/>
            <w:vMerge w:val="continue"/>
            <w:tcBorders>
              <w:top w:val="nil"/>
              <w:left w:val="single" w:color="000000" w:sz="2" w:space="0"/>
              <w:bottom w:val="nil"/>
            </w:tcBorders>
            <w:vAlign w:val="top"/>
          </w:tcPr>
          <w:p w14:paraId="071A0B50">
            <w:pPr>
              <w:rPr>
                <w:rFonts w:ascii="Arial"/>
                <w:sz w:val="21"/>
              </w:rPr>
            </w:pPr>
          </w:p>
        </w:tc>
        <w:tc>
          <w:tcPr>
            <w:tcW w:w="996" w:type="dxa"/>
            <w:gridSpan w:val="2"/>
            <w:vAlign w:val="top"/>
          </w:tcPr>
          <w:p w14:paraId="6BCC879B">
            <w:pPr>
              <w:pStyle w:val="6"/>
              <w:spacing w:before="76" w:line="228" w:lineRule="auto"/>
              <w:ind w:left="187"/>
              <w:rPr>
                <w:sz w:val="20"/>
                <w:szCs w:val="20"/>
              </w:rPr>
            </w:pPr>
            <w:r>
              <w:rPr>
                <w:spacing w:val="6"/>
                <w:sz w:val="20"/>
                <w:szCs w:val="20"/>
              </w:rPr>
              <w:t>南场界</w:t>
            </w:r>
          </w:p>
        </w:tc>
        <w:tc>
          <w:tcPr>
            <w:tcW w:w="989" w:type="dxa"/>
            <w:gridSpan w:val="2"/>
            <w:vAlign w:val="top"/>
          </w:tcPr>
          <w:p w14:paraId="24A7EAA7">
            <w:pPr>
              <w:spacing w:before="113"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33.4</w:t>
            </w:r>
          </w:p>
        </w:tc>
        <w:tc>
          <w:tcPr>
            <w:tcW w:w="992" w:type="dxa"/>
            <w:gridSpan w:val="2"/>
            <w:tcBorders>
              <w:right w:val="single" w:color="000000" w:sz="2" w:space="0"/>
            </w:tcBorders>
            <w:vAlign w:val="top"/>
          </w:tcPr>
          <w:p w14:paraId="74C49DEA">
            <w:pPr>
              <w:spacing w:before="113" w:line="195" w:lineRule="auto"/>
              <w:ind w:left="3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33.4</w:t>
            </w:r>
          </w:p>
        </w:tc>
        <w:tc>
          <w:tcPr>
            <w:tcW w:w="990" w:type="dxa"/>
            <w:gridSpan w:val="2"/>
            <w:tcBorders>
              <w:left w:val="single" w:color="000000" w:sz="2" w:space="0"/>
              <w:right w:val="single" w:color="000000" w:sz="2" w:space="0"/>
            </w:tcBorders>
            <w:vAlign w:val="top"/>
          </w:tcPr>
          <w:p w14:paraId="5F8FB225">
            <w:pPr>
              <w:spacing w:before="113" w:line="195" w:lineRule="auto"/>
              <w:ind w:left="39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970" w:type="dxa"/>
            <w:tcBorders>
              <w:left w:val="single" w:color="000000" w:sz="2" w:space="0"/>
            </w:tcBorders>
            <w:vAlign w:val="top"/>
          </w:tcPr>
          <w:p w14:paraId="0C32E2CB">
            <w:pPr>
              <w:spacing w:before="116" w:line="192" w:lineRule="auto"/>
              <w:ind w:left="393"/>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1554" w:type="dxa"/>
            <w:gridSpan w:val="2"/>
            <w:tcBorders>
              <w:right w:val="single" w:color="000000" w:sz="6" w:space="0"/>
            </w:tcBorders>
            <w:vAlign w:val="top"/>
          </w:tcPr>
          <w:p w14:paraId="447AD684">
            <w:pPr>
              <w:pStyle w:val="6"/>
              <w:spacing w:before="76" w:line="228" w:lineRule="auto"/>
              <w:ind w:left="517"/>
              <w:rPr>
                <w:sz w:val="20"/>
                <w:szCs w:val="20"/>
              </w:rPr>
            </w:pPr>
            <w:r>
              <w:rPr>
                <w:spacing w:val="5"/>
                <w:sz w:val="20"/>
                <w:szCs w:val="20"/>
              </w:rPr>
              <w:t>达标</w:t>
            </w:r>
          </w:p>
        </w:tc>
      </w:tr>
      <w:tr w14:paraId="677D09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495" w:type="dxa"/>
            <w:vMerge w:val="continue"/>
            <w:tcBorders>
              <w:top w:val="nil"/>
              <w:left w:val="single" w:color="000000" w:sz="6" w:space="0"/>
              <w:bottom w:val="nil"/>
              <w:right w:val="single" w:color="000000" w:sz="2" w:space="0"/>
            </w:tcBorders>
            <w:vAlign w:val="top"/>
          </w:tcPr>
          <w:p w14:paraId="7E185930">
            <w:pPr>
              <w:rPr>
                <w:rFonts w:ascii="Arial"/>
                <w:sz w:val="21"/>
              </w:rPr>
            </w:pPr>
          </w:p>
        </w:tc>
        <w:tc>
          <w:tcPr>
            <w:tcW w:w="1915" w:type="dxa"/>
            <w:gridSpan w:val="2"/>
            <w:vMerge w:val="continue"/>
            <w:tcBorders>
              <w:top w:val="nil"/>
              <w:left w:val="single" w:color="000000" w:sz="2" w:space="0"/>
              <w:bottom w:val="nil"/>
            </w:tcBorders>
            <w:vAlign w:val="top"/>
          </w:tcPr>
          <w:p w14:paraId="5F5D6C38">
            <w:pPr>
              <w:rPr>
                <w:rFonts w:ascii="Arial"/>
                <w:sz w:val="21"/>
              </w:rPr>
            </w:pPr>
          </w:p>
        </w:tc>
        <w:tc>
          <w:tcPr>
            <w:tcW w:w="996" w:type="dxa"/>
            <w:gridSpan w:val="2"/>
            <w:vAlign w:val="top"/>
          </w:tcPr>
          <w:p w14:paraId="4086E31F">
            <w:pPr>
              <w:pStyle w:val="6"/>
              <w:spacing w:before="76" w:line="228" w:lineRule="auto"/>
              <w:ind w:left="189"/>
              <w:rPr>
                <w:sz w:val="20"/>
                <w:szCs w:val="20"/>
              </w:rPr>
            </w:pPr>
            <w:r>
              <w:rPr>
                <w:spacing w:val="5"/>
                <w:sz w:val="20"/>
                <w:szCs w:val="20"/>
              </w:rPr>
              <w:t>西场界</w:t>
            </w:r>
          </w:p>
        </w:tc>
        <w:tc>
          <w:tcPr>
            <w:tcW w:w="989" w:type="dxa"/>
            <w:gridSpan w:val="2"/>
            <w:vAlign w:val="top"/>
          </w:tcPr>
          <w:p w14:paraId="1EA12749">
            <w:pPr>
              <w:spacing w:before="114"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38.8</w:t>
            </w:r>
          </w:p>
        </w:tc>
        <w:tc>
          <w:tcPr>
            <w:tcW w:w="992" w:type="dxa"/>
            <w:gridSpan w:val="2"/>
            <w:tcBorders>
              <w:right w:val="single" w:color="000000" w:sz="2" w:space="0"/>
            </w:tcBorders>
            <w:vAlign w:val="top"/>
          </w:tcPr>
          <w:p w14:paraId="50482695">
            <w:pPr>
              <w:spacing w:before="114" w:line="195" w:lineRule="auto"/>
              <w:ind w:left="3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38.8</w:t>
            </w:r>
          </w:p>
        </w:tc>
        <w:tc>
          <w:tcPr>
            <w:tcW w:w="990" w:type="dxa"/>
            <w:gridSpan w:val="2"/>
            <w:tcBorders>
              <w:left w:val="single" w:color="000000" w:sz="2" w:space="0"/>
              <w:right w:val="single" w:color="000000" w:sz="2" w:space="0"/>
            </w:tcBorders>
            <w:vAlign w:val="top"/>
          </w:tcPr>
          <w:p w14:paraId="47D2409F">
            <w:pPr>
              <w:spacing w:before="114" w:line="195" w:lineRule="auto"/>
              <w:ind w:left="39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970" w:type="dxa"/>
            <w:tcBorders>
              <w:left w:val="single" w:color="000000" w:sz="2" w:space="0"/>
            </w:tcBorders>
            <w:vAlign w:val="top"/>
          </w:tcPr>
          <w:p w14:paraId="7B797113">
            <w:pPr>
              <w:spacing w:before="117" w:line="192" w:lineRule="auto"/>
              <w:ind w:left="393"/>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1554" w:type="dxa"/>
            <w:gridSpan w:val="2"/>
            <w:tcBorders>
              <w:right w:val="single" w:color="000000" w:sz="6" w:space="0"/>
            </w:tcBorders>
            <w:vAlign w:val="top"/>
          </w:tcPr>
          <w:p w14:paraId="0F484D82">
            <w:pPr>
              <w:pStyle w:val="6"/>
              <w:spacing w:before="76" w:line="228" w:lineRule="auto"/>
              <w:ind w:left="517"/>
              <w:rPr>
                <w:sz w:val="20"/>
                <w:szCs w:val="20"/>
              </w:rPr>
            </w:pPr>
            <w:r>
              <w:rPr>
                <w:spacing w:val="5"/>
                <w:sz w:val="20"/>
                <w:szCs w:val="20"/>
              </w:rPr>
              <w:t>达标</w:t>
            </w:r>
          </w:p>
        </w:tc>
      </w:tr>
      <w:tr w14:paraId="67F7FB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495" w:type="dxa"/>
            <w:vMerge w:val="continue"/>
            <w:tcBorders>
              <w:top w:val="nil"/>
              <w:left w:val="single" w:color="000000" w:sz="6" w:space="0"/>
              <w:bottom w:val="nil"/>
              <w:right w:val="single" w:color="000000" w:sz="2" w:space="0"/>
            </w:tcBorders>
            <w:vAlign w:val="top"/>
          </w:tcPr>
          <w:p w14:paraId="5B72F6A0">
            <w:pPr>
              <w:rPr>
                <w:rFonts w:ascii="Arial"/>
                <w:sz w:val="21"/>
              </w:rPr>
            </w:pPr>
          </w:p>
        </w:tc>
        <w:tc>
          <w:tcPr>
            <w:tcW w:w="1915" w:type="dxa"/>
            <w:gridSpan w:val="2"/>
            <w:vMerge w:val="continue"/>
            <w:tcBorders>
              <w:top w:val="nil"/>
              <w:left w:val="single" w:color="000000" w:sz="2" w:space="0"/>
              <w:bottom w:val="single" w:color="000000" w:sz="10" w:space="0"/>
            </w:tcBorders>
            <w:vAlign w:val="top"/>
          </w:tcPr>
          <w:p w14:paraId="7FF3882B">
            <w:pPr>
              <w:rPr>
                <w:rFonts w:ascii="Arial"/>
                <w:sz w:val="21"/>
              </w:rPr>
            </w:pPr>
          </w:p>
        </w:tc>
        <w:tc>
          <w:tcPr>
            <w:tcW w:w="996" w:type="dxa"/>
            <w:gridSpan w:val="2"/>
            <w:tcBorders>
              <w:bottom w:val="single" w:color="000000" w:sz="10" w:space="0"/>
            </w:tcBorders>
            <w:vAlign w:val="top"/>
          </w:tcPr>
          <w:p w14:paraId="7A43D161">
            <w:pPr>
              <w:pStyle w:val="6"/>
              <w:spacing w:before="76" w:line="228" w:lineRule="auto"/>
              <w:ind w:left="187"/>
              <w:rPr>
                <w:sz w:val="20"/>
                <w:szCs w:val="20"/>
              </w:rPr>
            </w:pPr>
            <w:r>
              <w:rPr>
                <w:spacing w:val="5"/>
                <w:sz w:val="20"/>
                <w:szCs w:val="20"/>
              </w:rPr>
              <w:t>北场界</w:t>
            </w:r>
          </w:p>
        </w:tc>
        <w:tc>
          <w:tcPr>
            <w:tcW w:w="989" w:type="dxa"/>
            <w:gridSpan w:val="2"/>
            <w:tcBorders>
              <w:bottom w:val="single" w:color="000000" w:sz="10" w:space="0"/>
            </w:tcBorders>
            <w:vAlign w:val="top"/>
          </w:tcPr>
          <w:p w14:paraId="74CC60EB">
            <w:pPr>
              <w:spacing w:before="114"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39.8</w:t>
            </w:r>
          </w:p>
        </w:tc>
        <w:tc>
          <w:tcPr>
            <w:tcW w:w="992" w:type="dxa"/>
            <w:gridSpan w:val="2"/>
            <w:tcBorders>
              <w:bottom w:val="single" w:color="000000" w:sz="10" w:space="0"/>
              <w:right w:val="single" w:color="000000" w:sz="2" w:space="0"/>
            </w:tcBorders>
            <w:vAlign w:val="top"/>
          </w:tcPr>
          <w:p w14:paraId="67EB9533">
            <w:pPr>
              <w:spacing w:before="114" w:line="195" w:lineRule="auto"/>
              <w:ind w:left="3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39.8</w:t>
            </w:r>
          </w:p>
        </w:tc>
        <w:tc>
          <w:tcPr>
            <w:tcW w:w="990" w:type="dxa"/>
            <w:gridSpan w:val="2"/>
            <w:tcBorders>
              <w:left w:val="single" w:color="000000" w:sz="2" w:space="0"/>
              <w:bottom w:val="single" w:color="000000" w:sz="10" w:space="0"/>
              <w:right w:val="single" w:color="000000" w:sz="2" w:space="0"/>
            </w:tcBorders>
            <w:vAlign w:val="top"/>
          </w:tcPr>
          <w:p w14:paraId="6292BFAA">
            <w:pPr>
              <w:spacing w:before="114" w:line="195" w:lineRule="auto"/>
              <w:ind w:left="39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970" w:type="dxa"/>
            <w:tcBorders>
              <w:left w:val="single" w:color="000000" w:sz="2" w:space="0"/>
              <w:bottom w:val="single" w:color="000000" w:sz="10" w:space="0"/>
            </w:tcBorders>
            <w:vAlign w:val="top"/>
          </w:tcPr>
          <w:p w14:paraId="585FCD69">
            <w:pPr>
              <w:spacing w:before="117" w:line="192" w:lineRule="auto"/>
              <w:ind w:left="393"/>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1554" w:type="dxa"/>
            <w:gridSpan w:val="2"/>
            <w:tcBorders>
              <w:bottom w:val="single" w:color="000000" w:sz="10" w:space="0"/>
              <w:right w:val="single" w:color="000000" w:sz="6" w:space="0"/>
            </w:tcBorders>
            <w:vAlign w:val="top"/>
          </w:tcPr>
          <w:p w14:paraId="42F831BE">
            <w:pPr>
              <w:pStyle w:val="6"/>
              <w:spacing w:before="76" w:line="228" w:lineRule="auto"/>
              <w:ind w:left="517"/>
              <w:rPr>
                <w:sz w:val="20"/>
                <w:szCs w:val="20"/>
              </w:rPr>
            </w:pPr>
            <w:r>
              <w:rPr>
                <w:spacing w:val="5"/>
                <w:sz w:val="20"/>
                <w:szCs w:val="20"/>
              </w:rPr>
              <w:t>达标</w:t>
            </w:r>
          </w:p>
        </w:tc>
      </w:tr>
      <w:tr w14:paraId="11C049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495" w:type="dxa"/>
            <w:vMerge w:val="continue"/>
            <w:tcBorders>
              <w:top w:val="nil"/>
              <w:left w:val="single" w:color="000000" w:sz="6" w:space="0"/>
              <w:bottom w:val="single" w:color="000000" w:sz="6" w:space="0"/>
              <w:right w:val="single" w:color="000000" w:sz="2" w:space="0"/>
            </w:tcBorders>
            <w:vAlign w:val="top"/>
          </w:tcPr>
          <w:p w14:paraId="7D52FD7A">
            <w:pPr>
              <w:rPr>
                <w:rFonts w:ascii="Arial"/>
                <w:sz w:val="21"/>
              </w:rPr>
            </w:pPr>
          </w:p>
        </w:tc>
        <w:tc>
          <w:tcPr>
            <w:tcW w:w="8406" w:type="dxa"/>
            <w:gridSpan w:val="13"/>
            <w:tcBorders>
              <w:top w:val="single" w:color="000000" w:sz="10" w:space="0"/>
              <w:left w:val="single" w:color="000000" w:sz="2" w:space="0"/>
              <w:bottom w:val="single" w:color="000000" w:sz="6" w:space="0"/>
              <w:right w:val="single" w:color="000000" w:sz="6" w:space="0"/>
            </w:tcBorders>
            <w:vAlign w:val="top"/>
          </w:tcPr>
          <w:p w14:paraId="7C9AB6FB">
            <w:pPr>
              <w:pStyle w:val="6"/>
              <w:spacing w:before="40" w:line="219" w:lineRule="auto"/>
              <w:jc w:val="right"/>
            </w:pPr>
            <w:r>
              <w:rPr>
                <w:spacing w:val="-3"/>
              </w:rPr>
              <w:t>由预测结果可知，东、西、南、北场界的噪声贡献值最大值</w:t>
            </w:r>
            <w:r>
              <w:rPr>
                <w:spacing w:val="-50"/>
              </w:rPr>
              <w:t xml:space="preserve"> </w:t>
            </w:r>
            <w:r>
              <w:rPr>
                <w:rFonts w:ascii="Times New Roman" w:hAnsi="Times New Roman" w:eastAsia="Times New Roman" w:cs="Times New Roman"/>
                <w:spacing w:val="-3"/>
              </w:rPr>
              <w:t>39.8dB</w:t>
            </w:r>
            <w:r>
              <w:rPr>
                <w:spacing w:val="-3"/>
              </w:rPr>
              <w:t>（</w:t>
            </w:r>
            <w:r>
              <w:rPr>
                <w:rFonts w:ascii="Times New Roman" w:hAnsi="Times New Roman" w:eastAsia="Times New Roman" w:cs="Times New Roman"/>
                <w:spacing w:val="-3"/>
              </w:rPr>
              <w:t>A</w:t>
            </w:r>
            <w:r>
              <w:rPr>
                <w:spacing w:val="-33"/>
              </w:rPr>
              <w:t>），</w:t>
            </w:r>
          </w:p>
        </w:tc>
      </w:tr>
    </w:tbl>
    <w:p w14:paraId="17DFA8FE">
      <w:pPr>
        <w:rPr>
          <w:rFonts w:ascii="Arial"/>
          <w:sz w:val="21"/>
        </w:rPr>
      </w:pPr>
    </w:p>
    <w:p w14:paraId="6A581A6F">
      <w:pPr>
        <w:rPr>
          <w:rFonts w:ascii="Arial" w:hAnsi="Arial" w:eastAsia="Arial" w:cs="Arial"/>
          <w:sz w:val="21"/>
          <w:szCs w:val="21"/>
        </w:rPr>
        <w:sectPr>
          <w:footerReference r:id="rId68" w:type="default"/>
          <w:pgSz w:w="11906" w:h="16839"/>
          <w:pgMar w:top="400" w:right="1410" w:bottom="1240" w:left="1579" w:header="0" w:footer="1078" w:gutter="0"/>
          <w:cols w:space="720" w:num="1"/>
        </w:sectPr>
      </w:pPr>
    </w:p>
    <w:p w14:paraId="367D680C">
      <w:pPr>
        <w:spacing w:before="56"/>
      </w:pPr>
    </w:p>
    <w:p w14:paraId="5E4E3F35">
      <w:pPr>
        <w:spacing w:before="56"/>
      </w:pPr>
    </w:p>
    <w:p w14:paraId="27CC423B">
      <w:pPr>
        <w:spacing w:before="55"/>
      </w:pPr>
    </w:p>
    <w:p w14:paraId="5515F7A9">
      <w:pPr>
        <w:spacing w:before="55"/>
      </w:pPr>
    </w:p>
    <w:tbl>
      <w:tblPr>
        <w:tblStyle w:val="5"/>
        <w:tblW w:w="890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95"/>
        <w:gridCol w:w="8406"/>
      </w:tblGrid>
      <w:tr w14:paraId="4ACD67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495" w:type="dxa"/>
            <w:tcBorders>
              <w:right w:val="single" w:color="000000" w:sz="2" w:space="0"/>
            </w:tcBorders>
            <w:vAlign w:val="top"/>
          </w:tcPr>
          <w:p w14:paraId="3CA70DA6">
            <w:pPr>
              <w:rPr>
                <w:rFonts w:ascii="Arial"/>
                <w:sz w:val="21"/>
              </w:rPr>
            </w:pPr>
          </w:p>
        </w:tc>
        <w:tc>
          <w:tcPr>
            <w:tcW w:w="8406" w:type="dxa"/>
            <w:tcBorders>
              <w:left w:val="single" w:color="000000" w:sz="2" w:space="0"/>
            </w:tcBorders>
            <w:vAlign w:val="top"/>
          </w:tcPr>
          <w:p w14:paraId="60AC5670">
            <w:pPr>
              <w:pStyle w:val="6"/>
              <w:spacing w:before="40" w:line="219" w:lineRule="auto"/>
              <w:ind w:left="110"/>
            </w:pPr>
            <w:r>
              <w:rPr>
                <w:spacing w:val="-1"/>
              </w:rPr>
              <w:t>符合《建筑施工噪声排放标准》（</w:t>
            </w:r>
            <w:r>
              <w:rPr>
                <w:rFonts w:ascii="Times New Roman" w:hAnsi="Times New Roman" w:eastAsia="Times New Roman" w:cs="Times New Roman"/>
                <w:spacing w:val="-1"/>
              </w:rPr>
              <w:t>GB12523-2025</w:t>
            </w:r>
            <w:r>
              <w:rPr>
                <w:spacing w:val="-1"/>
              </w:rPr>
              <w:t>）要求。</w:t>
            </w:r>
          </w:p>
          <w:p w14:paraId="73D12408">
            <w:pPr>
              <w:pStyle w:val="6"/>
              <w:spacing w:before="181" w:line="359" w:lineRule="auto"/>
              <w:ind w:left="108" w:right="100" w:firstLine="482"/>
              <w:jc w:val="both"/>
            </w:pPr>
            <w:r>
              <w:rPr>
                <w:spacing w:val="1"/>
              </w:rPr>
              <w:t>综上，施工期通过采取降噪措施后，场界噪声值可</w:t>
            </w:r>
            <w:r>
              <w:t>满足《建筑施工噪声排</w:t>
            </w:r>
            <w:r>
              <w:rPr>
                <w:spacing w:val="1"/>
              </w:rPr>
              <w:t>放标准》（</w:t>
            </w:r>
            <w:r>
              <w:rPr>
                <w:rFonts w:ascii="Times New Roman" w:hAnsi="Times New Roman" w:eastAsia="Times New Roman" w:cs="Times New Roman"/>
              </w:rPr>
              <w:t>GB</w:t>
            </w:r>
            <w:r>
              <w:rPr>
                <w:rFonts w:ascii="Times New Roman" w:hAnsi="Times New Roman" w:eastAsia="Times New Roman" w:cs="Times New Roman"/>
                <w:spacing w:val="1"/>
              </w:rPr>
              <w:t>12523-2025</w:t>
            </w:r>
            <w:r>
              <w:rPr>
                <w:spacing w:val="1"/>
              </w:rPr>
              <w:t>）昼夜间限值要求。</w:t>
            </w:r>
            <w:r>
              <w:t>扎格</w:t>
            </w:r>
            <w:r>
              <w:rPr>
                <w:spacing w:val="-48"/>
              </w:rPr>
              <w:t xml:space="preserve"> </w:t>
            </w:r>
            <w:r>
              <w:rPr>
                <w:rFonts w:ascii="Times New Roman" w:hAnsi="Times New Roman" w:eastAsia="Times New Roman" w:cs="Times New Roman"/>
              </w:rPr>
              <w:t xml:space="preserve">9X </w:t>
            </w:r>
            <w:r>
              <w:t>井场距离最近的敏感点</w:t>
            </w:r>
            <w:r>
              <w:rPr>
                <w:spacing w:val="-2"/>
              </w:rPr>
              <w:t>为南侧</w:t>
            </w:r>
            <w:r>
              <w:rPr>
                <w:spacing w:val="-32"/>
              </w:rPr>
              <w:t xml:space="preserve"> </w:t>
            </w:r>
            <w:r>
              <w:rPr>
                <w:rFonts w:ascii="Times New Roman" w:hAnsi="Times New Roman" w:eastAsia="Times New Roman" w:cs="Times New Roman"/>
                <w:spacing w:val="-2"/>
              </w:rPr>
              <w:t>145m</w:t>
            </w:r>
            <w:r>
              <w:rPr>
                <w:rFonts w:ascii="Times New Roman" w:hAnsi="Times New Roman" w:eastAsia="Times New Roman" w:cs="Times New Roman"/>
                <w:spacing w:val="27"/>
                <w:w w:val="101"/>
              </w:rPr>
              <w:t xml:space="preserve"> </w:t>
            </w:r>
            <w:r>
              <w:rPr>
                <w:spacing w:val="-2"/>
              </w:rPr>
              <w:t>的塔布三社，噪声经过距离衰减后，对居民的影</w:t>
            </w:r>
            <w:r>
              <w:rPr>
                <w:spacing w:val="-3"/>
              </w:rPr>
              <w:t>响较小。</w:t>
            </w:r>
          </w:p>
          <w:p w14:paraId="281ABD19">
            <w:pPr>
              <w:pStyle w:val="6"/>
              <w:spacing w:line="220" w:lineRule="auto"/>
              <w:ind w:left="589"/>
            </w:pPr>
            <w:r>
              <w:rPr>
                <w:rFonts w:ascii="Times New Roman" w:hAnsi="Times New Roman" w:eastAsia="Times New Roman" w:cs="Times New Roman"/>
                <w:spacing w:val="-10"/>
              </w:rPr>
              <w:t>3</w:t>
            </w:r>
            <w:r>
              <w:rPr>
                <w:rFonts w:ascii="Times New Roman" w:hAnsi="Times New Roman" w:eastAsia="Times New Roman" w:cs="Times New Roman"/>
                <w:spacing w:val="-31"/>
              </w:rPr>
              <w:t xml:space="preserve"> </w:t>
            </w:r>
            <w:r>
              <w:rPr>
                <w:spacing w:val="-10"/>
              </w:rPr>
              <w:t>、其他</w:t>
            </w:r>
          </w:p>
          <w:p w14:paraId="5F949C19">
            <w:pPr>
              <w:pStyle w:val="6"/>
              <w:spacing w:before="183" w:line="359" w:lineRule="auto"/>
              <w:ind w:left="108" w:right="102" w:firstLine="480"/>
            </w:pPr>
            <w:r>
              <w:rPr>
                <w:spacing w:val="1"/>
              </w:rPr>
              <w:t>此外，钻前工程主要涉及到场地平整等移动施工设</w:t>
            </w:r>
            <w:r>
              <w:t>备产生的噪声，主要为</w:t>
            </w:r>
            <w:r>
              <w:rPr>
                <w:spacing w:val="-3"/>
              </w:rPr>
              <w:t>推土机、压路机、运输车辆等移动源设备噪声，噪声值一般为</w:t>
            </w:r>
            <w:r>
              <w:rPr>
                <w:spacing w:val="-37"/>
              </w:rPr>
              <w:t xml:space="preserve"> </w:t>
            </w:r>
            <w:r>
              <w:rPr>
                <w:rFonts w:ascii="Times New Roman" w:hAnsi="Times New Roman" w:eastAsia="Times New Roman" w:cs="Times New Roman"/>
                <w:spacing w:val="-3"/>
              </w:rPr>
              <w:t>70-80dB</w:t>
            </w:r>
            <w:r>
              <w:rPr>
                <w:spacing w:val="-3"/>
              </w:rPr>
              <w:t>（</w:t>
            </w:r>
            <w:r>
              <w:rPr>
                <w:rFonts w:ascii="Times New Roman" w:hAnsi="Times New Roman" w:eastAsia="Times New Roman" w:cs="Times New Roman"/>
                <w:spacing w:val="-3"/>
              </w:rPr>
              <w:t>A</w:t>
            </w:r>
            <w:r>
              <w:rPr>
                <w:spacing w:val="-3"/>
              </w:rPr>
              <w:t>）之</w:t>
            </w:r>
            <w:r>
              <w:rPr>
                <w:spacing w:val="-1"/>
              </w:rPr>
              <w:t>间。该产噪设备特点为流动性、间歇性及短暂性。</w:t>
            </w:r>
          </w:p>
          <w:p w14:paraId="0F8CEED3">
            <w:pPr>
              <w:pStyle w:val="6"/>
              <w:spacing w:line="359" w:lineRule="auto"/>
              <w:ind w:left="107" w:right="100" w:firstLine="480"/>
              <w:jc w:val="both"/>
            </w:pPr>
            <w:r>
              <w:rPr>
                <w:spacing w:val="1"/>
              </w:rPr>
              <w:t>施工作业过程中，通过采取使用低噪声机械设备、合理安排</w:t>
            </w:r>
            <w:r>
              <w:t>施工时间、禁</w:t>
            </w:r>
            <w:r>
              <w:rPr>
                <w:spacing w:val="1"/>
              </w:rPr>
              <w:t>止夜间进行钻前工程的作业等措施，同时在施工过程中应设</w:t>
            </w:r>
            <w:r>
              <w:t>置专人对设备进行</w:t>
            </w:r>
            <w:r>
              <w:rPr>
                <w:spacing w:val="1"/>
              </w:rPr>
              <w:t>定期保养和维护，并负责对现场工作人员进行培训，严格按</w:t>
            </w:r>
            <w:r>
              <w:t>操作规范使用各类</w:t>
            </w:r>
            <w:r>
              <w:rPr>
                <w:spacing w:val="-1"/>
              </w:rPr>
              <w:t>机械后，钻井工程产噪移动源对周围声环境影响较小。</w:t>
            </w:r>
          </w:p>
          <w:p w14:paraId="3DD59A83">
            <w:pPr>
              <w:pStyle w:val="6"/>
              <w:spacing w:line="219" w:lineRule="auto"/>
              <w:ind w:left="592"/>
            </w:pPr>
            <w:r>
              <w:rPr>
                <w:spacing w:val="-1"/>
              </w:rPr>
              <w:t>项目施工结束后，噪声影响随即消失，对声环境影响较小。</w:t>
            </w:r>
          </w:p>
          <w:p w14:paraId="47CEB837">
            <w:pPr>
              <w:pStyle w:val="6"/>
              <w:spacing w:before="181" w:line="220" w:lineRule="auto"/>
              <w:ind w:left="611"/>
            </w:pPr>
            <w:r>
              <w:rPr>
                <w:b/>
                <w:bCs/>
                <w:spacing w:val="-5"/>
              </w:rPr>
              <w:t>四、施工期固体废物影响分析</w:t>
            </w:r>
          </w:p>
          <w:p w14:paraId="0FD4215E">
            <w:pPr>
              <w:pStyle w:val="6"/>
              <w:spacing w:before="182" w:line="359" w:lineRule="auto"/>
              <w:ind w:left="108" w:right="102" w:firstLine="479"/>
            </w:pPr>
            <w:r>
              <w:rPr>
                <w:spacing w:val="1"/>
              </w:rPr>
              <w:t>施工过程中固废主要有废弃泥浆、钻井岩屑，废润滑油</w:t>
            </w:r>
            <w:r>
              <w:t>，落地油、废防渗材料，生活垃圾。泥浆材料废弃包装物等均由泥浆</w:t>
            </w:r>
            <w:r>
              <w:rPr>
                <w:spacing w:val="-1"/>
              </w:rPr>
              <w:t>材料供应单位回收处置。</w:t>
            </w:r>
          </w:p>
          <w:p w14:paraId="486F9A88">
            <w:pPr>
              <w:pStyle w:val="6"/>
              <w:spacing w:line="219" w:lineRule="auto"/>
              <w:ind w:left="607"/>
            </w:pPr>
            <w:r>
              <w:rPr>
                <w:rFonts w:ascii="Times New Roman" w:hAnsi="Times New Roman" w:eastAsia="Times New Roman" w:cs="Times New Roman"/>
                <w:spacing w:val="-5"/>
              </w:rPr>
              <w:t>1</w:t>
            </w:r>
            <w:r>
              <w:rPr>
                <w:rFonts w:ascii="Times New Roman" w:hAnsi="Times New Roman" w:eastAsia="Times New Roman" w:cs="Times New Roman"/>
                <w:spacing w:val="-25"/>
              </w:rPr>
              <w:t xml:space="preserve"> </w:t>
            </w:r>
            <w:r>
              <w:rPr>
                <w:spacing w:val="-5"/>
              </w:rPr>
              <w:t>、固体废物产生情况及处置</w:t>
            </w:r>
          </w:p>
          <w:p w14:paraId="6EB0A7A8">
            <w:pPr>
              <w:pStyle w:val="6"/>
              <w:spacing w:before="181" w:line="219" w:lineRule="auto"/>
              <w:ind w:left="600"/>
            </w:pPr>
            <w:r>
              <w:rPr>
                <w:spacing w:val="-2"/>
              </w:rPr>
              <w:t>（</w:t>
            </w:r>
            <w:r>
              <w:rPr>
                <w:rFonts w:ascii="Times New Roman" w:hAnsi="Times New Roman" w:eastAsia="Times New Roman" w:cs="Times New Roman"/>
                <w:spacing w:val="-2"/>
              </w:rPr>
              <w:t>1</w:t>
            </w:r>
            <w:r>
              <w:rPr>
                <w:spacing w:val="-2"/>
              </w:rPr>
              <w:t>）废弃泥浆、钻井岩屑</w:t>
            </w:r>
          </w:p>
          <w:p w14:paraId="666CAD58">
            <w:pPr>
              <w:pStyle w:val="6"/>
              <w:spacing w:before="183" w:line="217" w:lineRule="auto"/>
              <w:ind w:left="587"/>
            </w:pPr>
            <w:r>
              <w:rPr>
                <w:spacing w:val="-2"/>
              </w:rPr>
              <w:t>①废弃泥浆</w:t>
            </w:r>
          </w:p>
          <w:p w14:paraId="0B09E98A">
            <w:pPr>
              <w:pStyle w:val="6"/>
              <w:spacing w:before="185" w:line="348" w:lineRule="auto"/>
              <w:ind w:left="107" w:right="100" w:firstLine="480"/>
              <w:jc w:val="both"/>
            </w:pPr>
            <w:r>
              <w:rPr>
                <w:spacing w:val="1"/>
              </w:rPr>
              <w:t>废弃泥浆是指在钻井过程中无法利用或钻井完工后剩余的泥</w:t>
            </w:r>
            <w:r>
              <w:t>浆，其产生量</w:t>
            </w:r>
            <w:r>
              <w:rPr>
                <w:spacing w:val="1"/>
              </w:rPr>
              <w:t>随井深和井径的不同而改变。钻井泥浆的主要成分是膨</w:t>
            </w:r>
            <w:r>
              <w:t>润土、纯碱、烧碱和无机及有机添加剂，以水为连续相配置。废弃泥浆产生量</w:t>
            </w:r>
            <w:r>
              <w:rPr>
                <w:spacing w:val="-1"/>
              </w:rPr>
              <w:t>可按照经验公式推算：</w:t>
            </w:r>
          </w:p>
          <w:p w14:paraId="6DD5AECF">
            <w:pPr>
              <w:pStyle w:val="6"/>
              <w:spacing w:line="322" w:lineRule="exact"/>
              <w:ind w:left="2302"/>
              <w:rPr>
                <w:rFonts w:ascii="Times New Roman" w:hAnsi="Times New Roman" w:eastAsia="Times New Roman" w:cs="Times New Roman"/>
              </w:rPr>
            </w:pPr>
            <w:r>
              <w:rPr>
                <w:rFonts w:ascii="Times New Roman" w:hAnsi="Times New Roman" w:eastAsia="Times New Roman" w:cs="Times New Roman"/>
                <w:spacing w:val="-2"/>
                <w:position w:val="1"/>
              </w:rPr>
              <w:t>V=0.</w:t>
            </w:r>
            <w:r>
              <w:rPr>
                <w:rFonts w:ascii="Times New Roman" w:hAnsi="Times New Roman" w:eastAsia="Times New Roman" w:cs="Times New Roman"/>
                <w:spacing w:val="-32"/>
                <w:position w:val="1"/>
              </w:rPr>
              <w:t xml:space="preserve"> </w:t>
            </w:r>
            <w:r>
              <w:rPr>
                <w:rFonts w:ascii="Times New Roman" w:hAnsi="Times New Roman" w:eastAsia="Times New Roman" w:cs="Times New Roman"/>
                <w:spacing w:val="-2"/>
                <w:position w:val="1"/>
              </w:rPr>
              <w:t>125πD</w:t>
            </w:r>
            <w:r>
              <w:rPr>
                <w:rFonts w:ascii="Times New Roman" w:hAnsi="Times New Roman" w:eastAsia="Times New Roman" w:cs="Times New Roman"/>
                <w:spacing w:val="-2"/>
                <w:position w:val="9"/>
                <w:sz w:val="15"/>
                <w:szCs w:val="15"/>
              </w:rPr>
              <w:t>2</w:t>
            </w:r>
            <w:r>
              <w:rPr>
                <w:rFonts w:ascii="Times New Roman" w:hAnsi="Times New Roman" w:eastAsia="Times New Roman" w:cs="Times New Roman"/>
                <w:spacing w:val="-2"/>
                <w:position w:val="1"/>
              </w:rPr>
              <w:t>h+18</w:t>
            </w:r>
            <w:r>
              <w:rPr>
                <w:spacing w:val="-2"/>
                <w:position w:val="1"/>
              </w:rPr>
              <w:t>（</w:t>
            </w:r>
            <w:r>
              <w:rPr>
                <w:rFonts w:ascii="Times New Roman" w:hAnsi="Times New Roman" w:eastAsia="Times New Roman" w:cs="Times New Roman"/>
                <w:spacing w:val="-2"/>
                <w:position w:val="1"/>
              </w:rPr>
              <w:t>h-</w:t>
            </w:r>
            <w:r>
              <w:rPr>
                <w:rFonts w:ascii="Times New Roman" w:hAnsi="Times New Roman" w:eastAsia="Times New Roman" w:cs="Times New Roman"/>
                <w:spacing w:val="-32"/>
                <w:position w:val="1"/>
              </w:rPr>
              <w:t xml:space="preserve"> </w:t>
            </w:r>
            <w:r>
              <w:rPr>
                <w:rFonts w:ascii="Times New Roman" w:hAnsi="Times New Roman" w:eastAsia="Times New Roman" w:cs="Times New Roman"/>
                <w:spacing w:val="-2"/>
                <w:position w:val="1"/>
              </w:rPr>
              <w:t>1000</w:t>
            </w:r>
            <w:r>
              <w:rPr>
                <w:spacing w:val="-2"/>
                <w:position w:val="1"/>
              </w:rPr>
              <w:t>）</w:t>
            </w:r>
            <w:r>
              <w:rPr>
                <w:rFonts w:ascii="Times New Roman" w:hAnsi="Times New Roman" w:eastAsia="Times New Roman" w:cs="Times New Roman"/>
                <w:spacing w:val="-2"/>
                <w:position w:val="1"/>
              </w:rPr>
              <w:t>/500+</w:t>
            </w:r>
            <w:r>
              <w:rPr>
                <w:rFonts w:ascii="Times New Roman" w:hAnsi="Times New Roman" w:eastAsia="Times New Roman" w:cs="Times New Roman"/>
                <w:spacing w:val="-3"/>
                <w:position w:val="1"/>
              </w:rPr>
              <w:t>116</w:t>
            </w:r>
          </w:p>
          <w:p w14:paraId="2C24CF58">
            <w:pPr>
              <w:pStyle w:val="6"/>
              <w:spacing w:before="189" w:line="219" w:lineRule="auto"/>
              <w:ind w:left="593"/>
            </w:pPr>
            <w:r>
              <w:rPr>
                <w:spacing w:val="-2"/>
              </w:rPr>
              <w:t>式中：</w:t>
            </w:r>
            <w:r>
              <w:rPr>
                <w:rFonts w:ascii="Times New Roman" w:hAnsi="Times New Roman" w:eastAsia="Times New Roman" w:cs="Times New Roman"/>
                <w:spacing w:val="-2"/>
              </w:rPr>
              <w:t>V-</w:t>
            </w:r>
            <w:r>
              <w:rPr>
                <w:spacing w:val="-2"/>
              </w:rPr>
              <w:t>废弃钻井泥浆产生量，</w:t>
            </w:r>
            <w:r>
              <w:rPr>
                <w:rFonts w:ascii="Times New Roman" w:hAnsi="Times New Roman" w:eastAsia="Times New Roman" w:cs="Times New Roman"/>
                <w:spacing w:val="-2"/>
              </w:rPr>
              <w:t>m</w:t>
            </w:r>
            <w:r>
              <w:rPr>
                <w:rFonts w:ascii="Times New Roman" w:hAnsi="Times New Roman" w:eastAsia="Times New Roman" w:cs="Times New Roman"/>
                <w:spacing w:val="-2"/>
                <w:position w:val="8"/>
                <w:sz w:val="15"/>
                <w:szCs w:val="15"/>
              </w:rPr>
              <w:t>3</w:t>
            </w:r>
            <w:r>
              <w:rPr>
                <w:spacing w:val="-2"/>
              </w:rPr>
              <w:t>；</w:t>
            </w:r>
          </w:p>
          <w:p w14:paraId="281127DB">
            <w:pPr>
              <w:pStyle w:val="6"/>
              <w:spacing w:before="181" w:line="219" w:lineRule="auto"/>
              <w:ind w:left="1303"/>
            </w:pPr>
            <w:r>
              <w:rPr>
                <w:rFonts w:ascii="Times New Roman" w:hAnsi="Times New Roman" w:eastAsia="Times New Roman" w:cs="Times New Roman"/>
                <w:spacing w:val="-3"/>
              </w:rPr>
              <w:t>D-</w:t>
            </w:r>
            <w:r>
              <w:rPr>
                <w:spacing w:val="-3"/>
              </w:rPr>
              <w:t>钻井的直径，</w:t>
            </w:r>
            <w:r>
              <w:rPr>
                <w:rFonts w:ascii="Times New Roman" w:hAnsi="Times New Roman" w:eastAsia="Times New Roman" w:cs="Times New Roman"/>
                <w:spacing w:val="-3"/>
              </w:rPr>
              <w:t>m</w:t>
            </w:r>
            <w:r>
              <w:rPr>
                <w:rFonts w:ascii="Times New Roman" w:hAnsi="Times New Roman" w:eastAsia="Times New Roman" w:cs="Times New Roman"/>
                <w:spacing w:val="-33"/>
              </w:rPr>
              <w:t xml:space="preserve"> </w:t>
            </w:r>
            <w:r>
              <w:rPr>
                <w:spacing w:val="-3"/>
              </w:rPr>
              <w:t>，一开</w:t>
            </w:r>
            <w:r>
              <w:rPr>
                <w:spacing w:val="-51"/>
              </w:rPr>
              <w:t xml:space="preserve"> </w:t>
            </w:r>
            <w:r>
              <w:rPr>
                <w:rFonts w:ascii="Times New Roman" w:hAnsi="Times New Roman" w:eastAsia="Times New Roman" w:cs="Times New Roman"/>
                <w:spacing w:val="-3"/>
              </w:rPr>
              <w:t>0.4445m</w:t>
            </w:r>
            <w:r>
              <w:rPr>
                <w:rFonts w:ascii="Times New Roman" w:hAnsi="Times New Roman" w:eastAsia="Times New Roman" w:cs="Times New Roman"/>
                <w:spacing w:val="-30"/>
              </w:rPr>
              <w:t xml:space="preserve"> </w:t>
            </w:r>
            <w:r>
              <w:rPr>
                <w:spacing w:val="-3"/>
              </w:rPr>
              <w:t>，二开</w:t>
            </w:r>
            <w:r>
              <w:rPr>
                <w:spacing w:val="-51"/>
              </w:rPr>
              <w:t xml:space="preserve"> </w:t>
            </w:r>
            <w:r>
              <w:rPr>
                <w:rFonts w:ascii="Times New Roman" w:hAnsi="Times New Roman" w:eastAsia="Times New Roman" w:cs="Times New Roman"/>
                <w:spacing w:val="-3"/>
              </w:rPr>
              <w:t>0.3112m</w:t>
            </w:r>
            <w:r>
              <w:rPr>
                <w:rFonts w:ascii="Times New Roman" w:hAnsi="Times New Roman" w:eastAsia="Times New Roman" w:cs="Times New Roman"/>
                <w:spacing w:val="-31"/>
              </w:rPr>
              <w:t xml:space="preserve"> </w:t>
            </w:r>
            <w:r>
              <w:rPr>
                <w:spacing w:val="-3"/>
              </w:rPr>
              <w:t>，三开</w:t>
            </w:r>
            <w:r>
              <w:rPr>
                <w:spacing w:val="-51"/>
              </w:rPr>
              <w:t xml:space="preserve"> </w:t>
            </w:r>
            <w:r>
              <w:rPr>
                <w:rFonts w:ascii="Times New Roman" w:hAnsi="Times New Roman" w:eastAsia="Times New Roman" w:cs="Times New Roman"/>
                <w:spacing w:val="-4"/>
              </w:rPr>
              <w:t>0.2159m</w:t>
            </w:r>
            <w:r>
              <w:rPr>
                <w:spacing w:val="-4"/>
              </w:rPr>
              <w:t>；</w:t>
            </w:r>
          </w:p>
          <w:p w14:paraId="6B7FA9E4">
            <w:pPr>
              <w:pStyle w:val="6"/>
              <w:spacing w:before="181" w:line="354" w:lineRule="auto"/>
              <w:ind w:left="109" w:right="102" w:firstLine="1191"/>
            </w:pPr>
            <w:r>
              <w:rPr>
                <w:rFonts w:ascii="Times New Roman" w:hAnsi="Times New Roman" w:eastAsia="Times New Roman" w:cs="Times New Roman"/>
                <w:spacing w:val="-1"/>
              </w:rPr>
              <w:t>h-</w:t>
            </w:r>
            <w:r>
              <w:rPr>
                <w:spacing w:val="-1"/>
              </w:rPr>
              <w:t>钻井的深度，</w:t>
            </w:r>
            <w:r>
              <w:rPr>
                <w:rFonts w:ascii="Times New Roman" w:hAnsi="Times New Roman" w:eastAsia="Times New Roman" w:cs="Times New Roman"/>
                <w:spacing w:val="-1"/>
              </w:rPr>
              <w:t>m</w:t>
            </w:r>
            <w:r>
              <w:rPr>
                <w:rFonts w:ascii="Times New Roman" w:hAnsi="Times New Roman" w:eastAsia="Times New Roman" w:cs="Times New Roman"/>
                <w:spacing w:val="-26"/>
              </w:rPr>
              <w:t xml:space="preserve"> </w:t>
            </w:r>
            <w:r>
              <w:rPr>
                <w:spacing w:val="-1"/>
              </w:rPr>
              <w:t>，一开钻至</w:t>
            </w:r>
            <w:r>
              <w:rPr>
                <w:spacing w:val="-27"/>
              </w:rPr>
              <w:t xml:space="preserve"> </w:t>
            </w:r>
            <w:r>
              <w:rPr>
                <w:rFonts w:ascii="Times New Roman" w:hAnsi="Times New Roman" w:eastAsia="Times New Roman" w:cs="Times New Roman"/>
                <w:spacing w:val="-1"/>
              </w:rPr>
              <w:t>1202m</w:t>
            </w:r>
            <w:r>
              <w:rPr>
                <w:rFonts w:ascii="Times New Roman" w:hAnsi="Times New Roman" w:eastAsia="Times New Roman" w:cs="Times New Roman"/>
                <w:spacing w:val="-25"/>
              </w:rPr>
              <w:t xml:space="preserve"> </w:t>
            </w:r>
            <w:r>
              <w:rPr>
                <w:spacing w:val="-1"/>
              </w:rPr>
              <w:t>，二开钻至</w:t>
            </w:r>
            <w:r>
              <w:rPr>
                <w:spacing w:val="-52"/>
              </w:rPr>
              <w:t xml:space="preserve"> </w:t>
            </w:r>
            <w:r>
              <w:rPr>
                <w:rFonts w:ascii="Times New Roman" w:hAnsi="Times New Roman" w:eastAsia="Times New Roman" w:cs="Times New Roman"/>
                <w:spacing w:val="-1"/>
              </w:rPr>
              <w:t>4802m</w:t>
            </w:r>
            <w:r>
              <w:rPr>
                <w:rFonts w:ascii="Times New Roman" w:hAnsi="Times New Roman" w:eastAsia="Times New Roman" w:cs="Times New Roman"/>
                <w:spacing w:val="-25"/>
              </w:rPr>
              <w:t xml:space="preserve"> </w:t>
            </w:r>
            <w:r>
              <w:rPr>
                <w:spacing w:val="-1"/>
              </w:rPr>
              <w:t>，三开钻至</w:t>
            </w:r>
            <w:r>
              <w:rPr>
                <w:rFonts w:ascii="Times New Roman" w:hAnsi="Times New Roman" w:eastAsia="Times New Roman" w:cs="Times New Roman"/>
                <w:spacing w:val="-2"/>
              </w:rPr>
              <w:t>6700m</w:t>
            </w:r>
            <w:r>
              <w:rPr>
                <w:spacing w:val="-2"/>
              </w:rPr>
              <w:t>。</w:t>
            </w:r>
          </w:p>
          <w:p w14:paraId="3805707A">
            <w:pPr>
              <w:pStyle w:val="6"/>
              <w:spacing w:before="13" w:line="219" w:lineRule="auto"/>
              <w:ind w:left="588"/>
            </w:pPr>
            <w:r>
              <w:rPr>
                <w:spacing w:val="-1"/>
              </w:rPr>
              <w:t>计算可知，项目废弃钻井泥浆产生量为</w:t>
            </w:r>
            <w:r>
              <w:rPr>
                <w:spacing w:val="-44"/>
              </w:rPr>
              <w:t xml:space="preserve"> </w:t>
            </w:r>
            <w:r>
              <w:rPr>
                <w:rFonts w:ascii="Times New Roman" w:hAnsi="Times New Roman" w:eastAsia="Times New Roman" w:cs="Times New Roman"/>
                <w:spacing w:val="-1"/>
              </w:rPr>
              <w:t>745.98m</w:t>
            </w:r>
            <w:r>
              <w:rPr>
                <w:rFonts w:ascii="Times New Roman" w:hAnsi="Times New Roman" w:eastAsia="Times New Roman" w:cs="Times New Roman"/>
                <w:spacing w:val="-1"/>
                <w:position w:val="7"/>
                <w:sz w:val="15"/>
                <w:szCs w:val="15"/>
              </w:rPr>
              <w:t>3</w:t>
            </w:r>
            <w:r>
              <w:rPr>
                <w:spacing w:val="-1"/>
              </w:rPr>
              <w:t>。</w:t>
            </w:r>
          </w:p>
          <w:p w14:paraId="003EEFF2">
            <w:pPr>
              <w:pStyle w:val="6"/>
              <w:spacing w:before="183" w:line="217" w:lineRule="auto"/>
              <w:ind w:left="587"/>
            </w:pPr>
            <w:r>
              <w:rPr>
                <w:spacing w:val="-2"/>
              </w:rPr>
              <w:t>②钻井岩屑</w:t>
            </w:r>
          </w:p>
        </w:tc>
      </w:tr>
    </w:tbl>
    <w:p w14:paraId="67F22D4E">
      <w:pPr>
        <w:rPr>
          <w:rFonts w:ascii="Arial"/>
          <w:sz w:val="21"/>
        </w:rPr>
      </w:pPr>
    </w:p>
    <w:p w14:paraId="5BD212C2">
      <w:pPr>
        <w:rPr>
          <w:rFonts w:ascii="Arial" w:hAnsi="Arial" w:eastAsia="Arial" w:cs="Arial"/>
          <w:sz w:val="21"/>
          <w:szCs w:val="21"/>
        </w:rPr>
        <w:sectPr>
          <w:footerReference r:id="rId69" w:type="default"/>
          <w:pgSz w:w="11906" w:h="16839"/>
          <w:pgMar w:top="400" w:right="1410" w:bottom="1240" w:left="1579" w:header="0" w:footer="1078" w:gutter="0"/>
          <w:cols w:space="720" w:num="1"/>
        </w:sectPr>
      </w:pPr>
    </w:p>
    <w:p w14:paraId="42611A32">
      <w:pPr>
        <w:spacing w:before="56"/>
      </w:pPr>
    </w:p>
    <w:p w14:paraId="57637890">
      <w:pPr>
        <w:spacing w:before="56"/>
      </w:pPr>
    </w:p>
    <w:p w14:paraId="44FDA1EC">
      <w:pPr>
        <w:spacing w:before="55"/>
      </w:pPr>
    </w:p>
    <w:p w14:paraId="6CACC74B">
      <w:pPr>
        <w:spacing w:before="55"/>
      </w:pPr>
    </w:p>
    <w:tbl>
      <w:tblPr>
        <w:tblStyle w:val="5"/>
        <w:tblW w:w="890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95"/>
        <w:gridCol w:w="8406"/>
      </w:tblGrid>
      <w:tr w14:paraId="4B4D7C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493" w:hRule="atLeast"/>
        </w:trPr>
        <w:tc>
          <w:tcPr>
            <w:tcW w:w="495" w:type="dxa"/>
            <w:tcBorders>
              <w:right w:val="single" w:color="000000" w:sz="2" w:space="0"/>
            </w:tcBorders>
            <w:vAlign w:val="top"/>
          </w:tcPr>
          <w:p w14:paraId="640C4F55">
            <w:pPr>
              <w:rPr>
                <w:rFonts w:ascii="Arial"/>
                <w:sz w:val="21"/>
              </w:rPr>
            </w:pPr>
          </w:p>
        </w:tc>
        <w:tc>
          <w:tcPr>
            <w:tcW w:w="8406" w:type="dxa"/>
            <w:tcBorders>
              <w:left w:val="single" w:color="000000" w:sz="2" w:space="0"/>
            </w:tcBorders>
            <w:vAlign w:val="top"/>
          </w:tcPr>
          <w:p w14:paraId="4CDDA3B8">
            <w:pPr>
              <w:pStyle w:val="6"/>
              <w:spacing w:before="39" w:line="336" w:lineRule="auto"/>
              <w:ind w:left="109" w:right="102" w:firstLine="479"/>
            </w:pPr>
            <w:r>
              <w:rPr>
                <w:spacing w:val="2"/>
              </w:rPr>
              <w:t>钻井过程中，岩石被钻头破碎成钻井岩屑，其中</w:t>
            </w:r>
            <w:r>
              <w:rPr>
                <w:rFonts w:ascii="Times New Roman" w:hAnsi="Times New Roman" w:eastAsia="Times New Roman" w:cs="Times New Roman"/>
                <w:spacing w:val="2"/>
              </w:rPr>
              <w:t>50%</w:t>
            </w:r>
            <w:r>
              <w:rPr>
                <w:spacing w:val="2"/>
              </w:rPr>
              <w:t>混入钻井泥浆</w:t>
            </w:r>
            <w:r>
              <w:rPr>
                <w:spacing w:val="1"/>
              </w:rPr>
              <w:t>中，其</w:t>
            </w:r>
            <w:r>
              <w:t>余经钻井泥浆循环泵带出井口。钻井岩屑的</w:t>
            </w:r>
            <w:r>
              <w:rPr>
                <w:spacing w:val="-1"/>
              </w:rPr>
              <w:t>产生量可按经验公式计算：</w:t>
            </w:r>
          </w:p>
          <w:p w14:paraId="1A0BDA74">
            <w:pPr>
              <w:spacing w:line="322" w:lineRule="exact"/>
              <w:ind w:left="3330"/>
              <w:rPr>
                <w:rFonts w:ascii="Times New Roman" w:hAnsi="Times New Roman" w:eastAsia="Times New Roman" w:cs="Times New Roman"/>
                <w:sz w:val="24"/>
                <w:szCs w:val="24"/>
              </w:rPr>
            </w:pPr>
            <w:r>
              <w:rPr>
                <w:rFonts w:ascii="Times New Roman" w:hAnsi="Times New Roman" w:eastAsia="Times New Roman" w:cs="Times New Roman"/>
                <w:spacing w:val="-1"/>
                <w:position w:val="1"/>
                <w:sz w:val="24"/>
                <w:szCs w:val="24"/>
              </w:rPr>
              <w:t>W=πD</w:t>
            </w:r>
            <w:r>
              <w:rPr>
                <w:rFonts w:ascii="Times New Roman" w:hAnsi="Times New Roman" w:eastAsia="Times New Roman" w:cs="Times New Roman"/>
                <w:spacing w:val="-1"/>
                <w:position w:val="8"/>
                <w:sz w:val="15"/>
                <w:szCs w:val="15"/>
              </w:rPr>
              <w:t>2</w:t>
            </w:r>
            <w:r>
              <w:rPr>
                <w:rFonts w:ascii="Times New Roman" w:hAnsi="Times New Roman" w:eastAsia="Times New Roman" w:cs="Times New Roman"/>
                <w:spacing w:val="-1"/>
                <w:position w:val="1"/>
                <w:sz w:val="24"/>
                <w:szCs w:val="24"/>
              </w:rPr>
              <w:t>hd/4×50%</w:t>
            </w:r>
          </w:p>
          <w:p w14:paraId="49EA2F39">
            <w:pPr>
              <w:pStyle w:val="6"/>
              <w:spacing w:before="152" w:line="219" w:lineRule="auto"/>
              <w:ind w:left="593"/>
            </w:pPr>
            <w:r>
              <w:rPr>
                <w:spacing w:val="-1"/>
              </w:rPr>
              <w:t>式中：</w:t>
            </w:r>
            <w:r>
              <w:rPr>
                <w:rFonts w:ascii="Times New Roman" w:hAnsi="Times New Roman" w:eastAsia="Times New Roman" w:cs="Times New Roman"/>
                <w:spacing w:val="-1"/>
              </w:rPr>
              <w:t>W—</w:t>
            </w:r>
            <w:r>
              <w:rPr>
                <w:spacing w:val="-1"/>
              </w:rPr>
              <w:t>井场钻井岩屑产生量，</w:t>
            </w:r>
            <w:r>
              <w:rPr>
                <w:rFonts w:ascii="Times New Roman" w:hAnsi="Times New Roman" w:eastAsia="Times New Roman" w:cs="Times New Roman"/>
                <w:spacing w:val="-1"/>
              </w:rPr>
              <w:t>t</w:t>
            </w:r>
            <w:r>
              <w:rPr>
                <w:spacing w:val="-1"/>
              </w:rPr>
              <w:t>；</w:t>
            </w:r>
          </w:p>
          <w:p w14:paraId="2FB2BB3F">
            <w:pPr>
              <w:pStyle w:val="6"/>
              <w:spacing w:before="181" w:line="219" w:lineRule="auto"/>
              <w:ind w:left="1303"/>
            </w:pPr>
            <w:r>
              <w:rPr>
                <w:rFonts w:ascii="Times New Roman" w:hAnsi="Times New Roman" w:eastAsia="Times New Roman" w:cs="Times New Roman"/>
                <w:spacing w:val="-3"/>
              </w:rPr>
              <w:t>D-</w:t>
            </w:r>
            <w:r>
              <w:rPr>
                <w:spacing w:val="-3"/>
              </w:rPr>
              <w:t>钻井的直径，</w:t>
            </w:r>
            <w:r>
              <w:rPr>
                <w:rFonts w:ascii="Times New Roman" w:hAnsi="Times New Roman" w:eastAsia="Times New Roman" w:cs="Times New Roman"/>
                <w:spacing w:val="-3"/>
              </w:rPr>
              <w:t>m</w:t>
            </w:r>
            <w:r>
              <w:rPr>
                <w:rFonts w:ascii="Times New Roman" w:hAnsi="Times New Roman" w:eastAsia="Times New Roman" w:cs="Times New Roman"/>
                <w:spacing w:val="-33"/>
              </w:rPr>
              <w:t xml:space="preserve"> </w:t>
            </w:r>
            <w:r>
              <w:rPr>
                <w:spacing w:val="-3"/>
              </w:rPr>
              <w:t>，一开</w:t>
            </w:r>
            <w:r>
              <w:rPr>
                <w:spacing w:val="-51"/>
              </w:rPr>
              <w:t xml:space="preserve"> </w:t>
            </w:r>
            <w:r>
              <w:rPr>
                <w:rFonts w:ascii="Times New Roman" w:hAnsi="Times New Roman" w:eastAsia="Times New Roman" w:cs="Times New Roman"/>
                <w:spacing w:val="-3"/>
              </w:rPr>
              <w:t>0.4445m</w:t>
            </w:r>
            <w:r>
              <w:rPr>
                <w:rFonts w:ascii="Times New Roman" w:hAnsi="Times New Roman" w:eastAsia="Times New Roman" w:cs="Times New Roman"/>
                <w:spacing w:val="-30"/>
              </w:rPr>
              <w:t xml:space="preserve"> </w:t>
            </w:r>
            <w:r>
              <w:rPr>
                <w:spacing w:val="-3"/>
              </w:rPr>
              <w:t>，二开</w:t>
            </w:r>
            <w:r>
              <w:rPr>
                <w:spacing w:val="-51"/>
              </w:rPr>
              <w:t xml:space="preserve"> </w:t>
            </w:r>
            <w:r>
              <w:rPr>
                <w:rFonts w:ascii="Times New Roman" w:hAnsi="Times New Roman" w:eastAsia="Times New Roman" w:cs="Times New Roman"/>
                <w:spacing w:val="-3"/>
              </w:rPr>
              <w:t>0.3112m</w:t>
            </w:r>
            <w:r>
              <w:rPr>
                <w:rFonts w:ascii="Times New Roman" w:hAnsi="Times New Roman" w:eastAsia="Times New Roman" w:cs="Times New Roman"/>
                <w:spacing w:val="-31"/>
              </w:rPr>
              <w:t xml:space="preserve"> </w:t>
            </w:r>
            <w:r>
              <w:rPr>
                <w:spacing w:val="-3"/>
              </w:rPr>
              <w:t>，三开</w:t>
            </w:r>
            <w:r>
              <w:rPr>
                <w:spacing w:val="-51"/>
              </w:rPr>
              <w:t xml:space="preserve"> </w:t>
            </w:r>
            <w:r>
              <w:rPr>
                <w:rFonts w:ascii="Times New Roman" w:hAnsi="Times New Roman" w:eastAsia="Times New Roman" w:cs="Times New Roman"/>
                <w:spacing w:val="-4"/>
              </w:rPr>
              <w:t>0.2159m</w:t>
            </w:r>
            <w:r>
              <w:rPr>
                <w:spacing w:val="-4"/>
              </w:rPr>
              <w:t>；</w:t>
            </w:r>
          </w:p>
          <w:p w14:paraId="32BF4031">
            <w:pPr>
              <w:pStyle w:val="6"/>
              <w:spacing w:before="183" w:line="354" w:lineRule="auto"/>
              <w:ind w:left="109" w:right="102" w:firstLine="1191"/>
            </w:pPr>
            <w:r>
              <w:rPr>
                <w:rFonts w:ascii="Times New Roman" w:hAnsi="Times New Roman" w:eastAsia="Times New Roman" w:cs="Times New Roman"/>
                <w:spacing w:val="-1"/>
              </w:rPr>
              <w:t>h-</w:t>
            </w:r>
            <w:r>
              <w:rPr>
                <w:spacing w:val="-1"/>
              </w:rPr>
              <w:t>钻井的深度，</w:t>
            </w:r>
            <w:r>
              <w:rPr>
                <w:rFonts w:ascii="Times New Roman" w:hAnsi="Times New Roman" w:eastAsia="Times New Roman" w:cs="Times New Roman"/>
                <w:spacing w:val="-1"/>
              </w:rPr>
              <w:t>m</w:t>
            </w:r>
            <w:r>
              <w:rPr>
                <w:rFonts w:ascii="Times New Roman" w:hAnsi="Times New Roman" w:eastAsia="Times New Roman" w:cs="Times New Roman"/>
                <w:spacing w:val="-26"/>
              </w:rPr>
              <w:t xml:space="preserve"> </w:t>
            </w:r>
            <w:r>
              <w:rPr>
                <w:spacing w:val="-1"/>
              </w:rPr>
              <w:t>，一开钻至</w:t>
            </w:r>
            <w:r>
              <w:rPr>
                <w:spacing w:val="-27"/>
              </w:rPr>
              <w:t xml:space="preserve"> </w:t>
            </w:r>
            <w:r>
              <w:rPr>
                <w:rFonts w:ascii="Times New Roman" w:hAnsi="Times New Roman" w:eastAsia="Times New Roman" w:cs="Times New Roman"/>
                <w:spacing w:val="-1"/>
              </w:rPr>
              <w:t>1202m</w:t>
            </w:r>
            <w:r>
              <w:rPr>
                <w:rFonts w:ascii="Times New Roman" w:hAnsi="Times New Roman" w:eastAsia="Times New Roman" w:cs="Times New Roman"/>
                <w:spacing w:val="-25"/>
              </w:rPr>
              <w:t xml:space="preserve"> </w:t>
            </w:r>
            <w:r>
              <w:rPr>
                <w:spacing w:val="-1"/>
              </w:rPr>
              <w:t>，二开钻至</w:t>
            </w:r>
            <w:r>
              <w:rPr>
                <w:spacing w:val="-52"/>
              </w:rPr>
              <w:t xml:space="preserve"> </w:t>
            </w:r>
            <w:r>
              <w:rPr>
                <w:rFonts w:ascii="Times New Roman" w:hAnsi="Times New Roman" w:eastAsia="Times New Roman" w:cs="Times New Roman"/>
                <w:spacing w:val="-1"/>
              </w:rPr>
              <w:t>4802m</w:t>
            </w:r>
            <w:r>
              <w:rPr>
                <w:rFonts w:ascii="Times New Roman" w:hAnsi="Times New Roman" w:eastAsia="Times New Roman" w:cs="Times New Roman"/>
                <w:spacing w:val="-25"/>
              </w:rPr>
              <w:t xml:space="preserve"> </w:t>
            </w:r>
            <w:r>
              <w:rPr>
                <w:spacing w:val="-1"/>
              </w:rPr>
              <w:t>，三开钻至</w:t>
            </w:r>
            <w:r>
              <w:rPr>
                <w:rFonts w:ascii="Times New Roman" w:hAnsi="Times New Roman" w:eastAsia="Times New Roman" w:cs="Times New Roman"/>
                <w:spacing w:val="-2"/>
              </w:rPr>
              <w:t>6700m</w:t>
            </w:r>
            <w:r>
              <w:rPr>
                <w:spacing w:val="-2"/>
              </w:rPr>
              <w:t>。</w:t>
            </w:r>
          </w:p>
          <w:p w14:paraId="7B13179A">
            <w:pPr>
              <w:pStyle w:val="6"/>
              <w:spacing w:before="13" w:line="220" w:lineRule="auto"/>
              <w:ind w:left="1307"/>
            </w:pPr>
            <w:r>
              <w:rPr>
                <w:rFonts w:ascii="Times New Roman" w:hAnsi="Times New Roman" w:eastAsia="Times New Roman" w:cs="Times New Roman"/>
                <w:spacing w:val="-2"/>
              </w:rPr>
              <w:t>d-</w:t>
            </w:r>
            <w:r>
              <w:rPr>
                <w:spacing w:val="-2"/>
              </w:rPr>
              <w:t>岩石密度，</w:t>
            </w:r>
            <w:r>
              <w:rPr>
                <w:rFonts w:ascii="Times New Roman" w:hAnsi="Times New Roman" w:eastAsia="Times New Roman" w:cs="Times New Roman"/>
                <w:spacing w:val="-2"/>
              </w:rPr>
              <w:t>t/m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5"/>
                <w:position w:val="7"/>
                <w:sz w:val="15"/>
                <w:szCs w:val="15"/>
              </w:rPr>
              <w:t xml:space="preserve"> </w:t>
            </w:r>
            <w:r>
              <w:rPr>
                <w:spacing w:val="-2"/>
              </w:rPr>
              <w:t>，取</w:t>
            </w:r>
            <w:r>
              <w:rPr>
                <w:spacing w:val="-55"/>
              </w:rPr>
              <w:t xml:space="preserve"> </w:t>
            </w:r>
            <w:r>
              <w:rPr>
                <w:rFonts w:ascii="Times New Roman" w:hAnsi="Times New Roman" w:eastAsia="Times New Roman" w:cs="Times New Roman"/>
                <w:spacing w:val="-2"/>
              </w:rPr>
              <w:t>2.2t/m</w:t>
            </w:r>
            <w:r>
              <w:rPr>
                <w:rFonts w:ascii="Times New Roman" w:hAnsi="Times New Roman" w:eastAsia="Times New Roman" w:cs="Times New Roman"/>
                <w:spacing w:val="-2"/>
                <w:position w:val="7"/>
                <w:sz w:val="15"/>
                <w:szCs w:val="15"/>
              </w:rPr>
              <w:t>3</w:t>
            </w:r>
            <w:r>
              <w:rPr>
                <w:spacing w:val="-2"/>
              </w:rPr>
              <w:t>。</w:t>
            </w:r>
          </w:p>
          <w:p w14:paraId="204EC248">
            <w:pPr>
              <w:pStyle w:val="6"/>
              <w:spacing w:before="182" w:line="219" w:lineRule="auto"/>
              <w:ind w:left="588"/>
            </w:pPr>
            <w:r>
              <w:rPr>
                <w:spacing w:val="-1"/>
              </w:rPr>
              <w:t>计算可知，项目废弃钻井岩屑产生量为</w:t>
            </w:r>
            <w:r>
              <w:rPr>
                <w:spacing w:val="-44"/>
              </w:rPr>
              <w:t xml:space="preserve"> </w:t>
            </w:r>
            <w:r>
              <w:rPr>
                <w:rFonts w:ascii="Times New Roman" w:hAnsi="Times New Roman" w:eastAsia="Times New Roman" w:cs="Times New Roman"/>
                <w:spacing w:val="-1"/>
              </w:rPr>
              <w:t>264.78m</w:t>
            </w:r>
            <w:r>
              <w:rPr>
                <w:rFonts w:ascii="Times New Roman" w:hAnsi="Times New Roman" w:eastAsia="Times New Roman" w:cs="Times New Roman"/>
                <w:spacing w:val="-1"/>
                <w:position w:val="8"/>
                <w:sz w:val="15"/>
                <w:szCs w:val="15"/>
              </w:rPr>
              <w:t>3</w:t>
            </w:r>
            <w:r>
              <w:rPr>
                <w:spacing w:val="-1"/>
              </w:rPr>
              <w:t>。</w:t>
            </w:r>
          </w:p>
          <w:p w14:paraId="5428DFE0">
            <w:pPr>
              <w:pStyle w:val="6"/>
              <w:spacing w:before="180" w:line="359" w:lineRule="auto"/>
              <w:ind w:left="108" w:right="102" w:firstLine="480"/>
            </w:pPr>
            <w:r>
              <w:rPr>
                <w:spacing w:val="-1"/>
              </w:rPr>
              <w:t>根据《国家危险废物名录》（</w:t>
            </w:r>
            <w:r>
              <w:rPr>
                <w:rFonts w:ascii="Times New Roman" w:hAnsi="Times New Roman" w:eastAsia="Times New Roman" w:cs="Times New Roman"/>
                <w:spacing w:val="-1"/>
              </w:rPr>
              <w:t xml:space="preserve">2025 </w:t>
            </w:r>
            <w:r>
              <w:rPr>
                <w:spacing w:val="-1"/>
              </w:rPr>
              <w:t>年）以及《关于发布〈危险废物排</w:t>
            </w:r>
            <w:r>
              <w:rPr>
                <w:spacing w:val="-2"/>
              </w:rPr>
              <w:t>除管</w:t>
            </w:r>
            <w:r>
              <w:rPr>
                <w:spacing w:val="-1"/>
              </w:rPr>
              <w:t>理清单（</w:t>
            </w:r>
            <w:r>
              <w:rPr>
                <w:rFonts w:ascii="Times New Roman" w:hAnsi="Times New Roman" w:eastAsia="Times New Roman" w:cs="Times New Roman"/>
                <w:spacing w:val="-1"/>
              </w:rPr>
              <w:t xml:space="preserve">2026 </w:t>
            </w:r>
            <w:r>
              <w:rPr>
                <w:spacing w:val="-1"/>
              </w:rPr>
              <w:t>年版）〉的公告》（生态环境部公告</w:t>
            </w:r>
            <w:r>
              <w:rPr>
                <w:spacing w:val="-55"/>
              </w:rPr>
              <w:t xml:space="preserve"> </w:t>
            </w:r>
            <w:r>
              <w:rPr>
                <w:rFonts w:ascii="Times New Roman" w:hAnsi="Times New Roman" w:eastAsia="Times New Roman" w:cs="Times New Roman"/>
                <w:spacing w:val="-1"/>
              </w:rPr>
              <w:t xml:space="preserve">2026 </w:t>
            </w:r>
            <w:r>
              <w:rPr>
                <w:spacing w:val="-2"/>
              </w:rPr>
              <w:t>年第</w:t>
            </w:r>
            <w:r>
              <w:rPr>
                <w:spacing w:val="-55"/>
              </w:rPr>
              <w:t xml:space="preserve"> </w:t>
            </w:r>
            <w:r>
              <w:rPr>
                <w:rFonts w:ascii="Times New Roman" w:hAnsi="Times New Roman" w:eastAsia="Times New Roman" w:cs="Times New Roman"/>
                <w:spacing w:val="-2"/>
              </w:rPr>
              <w:t>2</w:t>
            </w:r>
            <w:r>
              <w:rPr>
                <w:rFonts w:ascii="Times New Roman" w:hAnsi="Times New Roman" w:eastAsia="Times New Roman" w:cs="Times New Roman"/>
                <w:spacing w:val="15"/>
                <w:w w:val="101"/>
              </w:rPr>
              <w:t xml:space="preserve"> </w:t>
            </w:r>
            <w:r>
              <w:rPr>
                <w:spacing w:val="-2"/>
              </w:rPr>
              <w:t>号</w:t>
            </w:r>
            <w:r>
              <w:rPr>
                <w:spacing w:val="4"/>
              </w:rPr>
              <w:t>），</w:t>
            </w:r>
            <w:r>
              <w:rPr>
                <w:spacing w:val="-2"/>
              </w:rPr>
              <w:t>废弃水</w:t>
            </w:r>
            <w:r>
              <w:rPr>
                <w:spacing w:val="-1"/>
              </w:rPr>
              <w:t>基泥浆、钻井岩屑为一般工业固体废物，固体废物代码为</w:t>
            </w:r>
            <w:r>
              <w:rPr>
                <w:spacing w:val="-34"/>
              </w:rPr>
              <w:t xml:space="preserve"> </w:t>
            </w:r>
            <w:r>
              <w:rPr>
                <w:rFonts w:ascii="Times New Roman" w:hAnsi="Times New Roman" w:eastAsia="Times New Roman" w:cs="Times New Roman"/>
                <w:spacing w:val="-1"/>
              </w:rPr>
              <w:t>071-001-S12</w:t>
            </w:r>
            <w:r>
              <w:rPr>
                <w:spacing w:val="-1"/>
              </w:rPr>
              <w:t>。</w:t>
            </w:r>
          </w:p>
          <w:p w14:paraId="2D5172B2">
            <w:pPr>
              <w:pStyle w:val="6"/>
              <w:spacing w:before="2" w:line="359" w:lineRule="auto"/>
              <w:ind w:left="111" w:right="102" w:firstLine="477"/>
              <w:jc w:val="both"/>
            </w:pPr>
            <w:r>
              <w:rPr>
                <w:spacing w:val="1"/>
              </w:rPr>
              <w:t>根据上述核算，绝干废弃泥浆、钻井岩屑产生量</w:t>
            </w:r>
            <w:r>
              <w:rPr>
                <w:spacing w:val="-30"/>
              </w:rPr>
              <w:t xml:space="preserve"> </w:t>
            </w:r>
            <w:r>
              <w:rPr>
                <w:rFonts w:ascii="Times New Roman" w:hAnsi="Times New Roman" w:eastAsia="Times New Roman" w:cs="Times New Roman"/>
                <w:spacing w:val="1"/>
              </w:rPr>
              <w:t>101</w:t>
            </w:r>
            <w:r>
              <w:rPr>
                <w:rFonts w:ascii="Times New Roman" w:hAnsi="Times New Roman" w:eastAsia="Times New Roman" w:cs="Times New Roman"/>
              </w:rPr>
              <w:t>0.76m</w:t>
            </w:r>
            <w:r>
              <w:rPr>
                <w:rFonts w:ascii="Times New Roman" w:hAnsi="Times New Roman" w:eastAsia="Times New Roman" w:cs="Times New Roman"/>
                <w:position w:val="7"/>
                <w:sz w:val="15"/>
                <w:szCs w:val="15"/>
              </w:rPr>
              <w:t>3</w:t>
            </w:r>
            <w:r>
              <w:rPr>
                <w:rFonts w:ascii="Times New Roman" w:hAnsi="Times New Roman" w:eastAsia="Times New Roman" w:cs="Times New Roman"/>
              </w:rPr>
              <w:t>/</w:t>
            </w:r>
            <w:r>
              <w:t>钻井期。结合</w:t>
            </w:r>
            <w:r>
              <w:rPr>
                <w:spacing w:val="7"/>
              </w:rPr>
              <w:t>项目水平衡情况，钻井过程产生的废弃泥浆、钻井岩屑约</w:t>
            </w:r>
            <w:r>
              <w:rPr>
                <w:spacing w:val="-23"/>
              </w:rPr>
              <w:t xml:space="preserve"> </w:t>
            </w:r>
            <w:r>
              <w:rPr>
                <w:rFonts w:ascii="Times New Roman" w:hAnsi="Times New Roman" w:eastAsia="Times New Roman" w:cs="Times New Roman"/>
                <w:spacing w:val="7"/>
              </w:rPr>
              <w:t>1</w:t>
            </w:r>
            <w:r>
              <w:rPr>
                <w:rFonts w:ascii="Times New Roman" w:hAnsi="Times New Roman" w:eastAsia="Times New Roman" w:cs="Times New Roman"/>
                <w:spacing w:val="6"/>
              </w:rPr>
              <w:t>546.76m</w:t>
            </w:r>
            <w:r>
              <w:rPr>
                <w:rFonts w:ascii="Times New Roman" w:hAnsi="Times New Roman" w:eastAsia="Times New Roman" w:cs="Times New Roman"/>
                <w:spacing w:val="6"/>
                <w:position w:val="8"/>
                <w:sz w:val="15"/>
                <w:szCs w:val="15"/>
              </w:rPr>
              <w:t>3</w:t>
            </w:r>
            <w:r>
              <w:rPr>
                <w:rFonts w:ascii="Times New Roman" w:hAnsi="Times New Roman" w:eastAsia="Times New Roman" w:cs="Times New Roman"/>
                <w:spacing w:val="6"/>
              </w:rPr>
              <w:t>/</w:t>
            </w:r>
            <w:r>
              <w:rPr>
                <w:spacing w:val="6"/>
              </w:rPr>
              <w:t>钻井期</w:t>
            </w:r>
            <w:r>
              <w:rPr>
                <w:spacing w:val="-1"/>
              </w:rPr>
              <w:t>（</w:t>
            </w:r>
            <w:r>
              <w:rPr>
                <w:rFonts w:ascii="Times New Roman" w:hAnsi="Times New Roman" w:eastAsia="Times New Roman" w:cs="Times New Roman"/>
                <w:spacing w:val="-1"/>
              </w:rPr>
              <w:t>23.8m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rPr>
              <w:t>/d</w:t>
            </w:r>
            <w:r>
              <w:rPr>
                <w:spacing w:val="7"/>
              </w:rPr>
              <w:t>），</w:t>
            </w:r>
            <w:r>
              <w:rPr>
                <w:spacing w:val="-1"/>
              </w:rPr>
              <w:t>收集至泥浆不落地循环系统装</w:t>
            </w:r>
            <w:r>
              <w:rPr>
                <w:spacing w:val="-2"/>
              </w:rPr>
              <w:t>置旁的</w:t>
            </w:r>
            <w:r>
              <w:rPr>
                <w:spacing w:val="-49"/>
              </w:rPr>
              <w:t xml:space="preserve"> </w:t>
            </w:r>
            <w:r>
              <w:rPr>
                <w:rFonts w:ascii="Times New Roman" w:hAnsi="Times New Roman" w:eastAsia="Times New Roman" w:cs="Times New Roman"/>
                <w:spacing w:val="-2"/>
              </w:rPr>
              <w:t xml:space="preserve">3 </w:t>
            </w:r>
            <w:r>
              <w:rPr>
                <w:spacing w:val="-2"/>
              </w:rPr>
              <w:t>具</w:t>
            </w:r>
            <w:r>
              <w:rPr>
                <w:spacing w:val="-50"/>
              </w:rPr>
              <w:t xml:space="preserve"> </w:t>
            </w:r>
            <w:r>
              <w:rPr>
                <w:rFonts w:ascii="Times New Roman" w:hAnsi="Times New Roman" w:eastAsia="Times New Roman" w:cs="Times New Roman"/>
                <w:spacing w:val="-2"/>
              </w:rPr>
              <w:t>30m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13"/>
                <w:w w:val="102"/>
                <w:position w:val="8"/>
                <w:sz w:val="15"/>
                <w:szCs w:val="15"/>
              </w:rPr>
              <w:t xml:space="preserve"> </w:t>
            </w:r>
            <w:r>
              <w:rPr>
                <w:spacing w:val="-2"/>
              </w:rPr>
              <w:t>可移动废水罐临</w:t>
            </w:r>
            <w:r>
              <w:rPr>
                <w:spacing w:val="1"/>
              </w:rPr>
              <w:t>时贮存，定期拉运至内蒙古众宁环保科技有限</w:t>
            </w:r>
            <w:r>
              <w:t>公司油气田废弃物集中处理厂处</w:t>
            </w:r>
            <w:r>
              <w:rPr>
                <w:spacing w:val="-7"/>
              </w:rPr>
              <w:t>理。</w:t>
            </w:r>
          </w:p>
          <w:p w14:paraId="398148C9">
            <w:pPr>
              <w:pStyle w:val="6"/>
              <w:spacing w:line="220" w:lineRule="auto"/>
              <w:ind w:left="600"/>
            </w:pPr>
            <w:r>
              <w:rPr>
                <w:spacing w:val="-3"/>
              </w:rPr>
              <w:t>（</w:t>
            </w:r>
            <w:r>
              <w:rPr>
                <w:rFonts w:ascii="Times New Roman" w:hAnsi="Times New Roman" w:eastAsia="Times New Roman" w:cs="Times New Roman"/>
                <w:spacing w:val="-3"/>
              </w:rPr>
              <w:t>2</w:t>
            </w:r>
            <w:r>
              <w:rPr>
                <w:spacing w:val="-3"/>
              </w:rPr>
              <w:t>）废润滑油</w:t>
            </w:r>
          </w:p>
          <w:p w14:paraId="003E0159">
            <w:pPr>
              <w:pStyle w:val="6"/>
              <w:spacing w:before="181" w:line="359" w:lineRule="auto"/>
              <w:ind w:left="112" w:right="41" w:firstLine="475"/>
            </w:pPr>
            <w:r>
              <w:rPr>
                <w:spacing w:val="1"/>
              </w:rPr>
              <w:t>废润滑油主要来源于钻井设备机械维修过程中产</w:t>
            </w:r>
            <w:r>
              <w:t>生的废发动机油、制动器</w:t>
            </w:r>
            <w:r>
              <w:rPr>
                <w:spacing w:val="-5"/>
              </w:rPr>
              <w:t>油、自动变速器油、齿轮油等，类比华北油田探井设备废润滑油产生统计数据，</w:t>
            </w:r>
            <w:r>
              <w:rPr>
                <w:spacing w:val="-4"/>
              </w:rPr>
              <w:t>项目废润滑油产生量约</w:t>
            </w:r>
            <w:r>
              <w:rPr>
                <w:spacing w:val="-36"/>
              </w:rPr>
              <w:t xml:space="preserve"> </w:t>
            </w:r>
            <w:r>
              <w:rPr>
                <w:rFonts w:ascii="Times New Roman" w:hAnsi="Times New Roman" w:eastAsia="Times New Roman" w:cs="Times New Roman"/>
                <w:spacing w:val="-4"/>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4"/>
              </w:rPr>
              <w:t>15t</w:t>
            </w:r>
            <w:r>
              <w:rPr>
                <w:rFonts w:ascii="Times New Roman" w:hAnsi="Times New Roman" w:eastAsia="Times New Roman" w:cs="Times New Roman"/>
                <w:spacing w:val="-33"/>
              </w:rPr>
              <w:t xml:space="preserve"> </w:t>
            </w:r>
            <w:r>
              <w:rPr>
                <w:spacing w:val="-4"/>
              </w:rPr>
              <w:t>，危险废物代码为</w:t>
            </w:r>
            <w:r>
              <w:rPr>
                <w:spacing w:val="-51"/>
              </w:rPr>
              <w:t xml:space="preserve"> </w:t>
            </w:r>
            <w:r>
              <w:rPr>
                <w:rFonts w:ascii="Times New Roman" w:hAnsi="Times New Roman" w:eastAsia="Times New Roman" w:cs="Times New Roman"/>
                <w:spacing w:val="-4"/>
              </w:rPr>
              <w:t>900-214-08</w:t>
            </w:r>
            <w:r>
              <w:rPr>
                <w:rFonts w:ascii="Times New Roman" w:hAnsi="Times New Roman" w:eastAsia="Times New Roman" w:cs="Times New Roman"/>
                <w:spacing w:val="-28"/>
              </w:rPr>
              <w:t xml:space="preserve"> </w:t>
            </w:r>
            <w:r>
              <w:rPr>
                <w:spacing w:val="-4"/>
              </w:rPr>
              <w:t>，危废特性为</w:t>
            </w:r>
            <w:r>
              <w:rPr>
                <w:spacing w:val="-53"/>
              </w:rPr>
              <w:t xml:space="preserve"> </w:t>
            </w:r>
            <w:r>
              <w:rPr>
                <w:rFonts w:ascii="Times New Roman" w:hAnsi="Times New Roman" w:eastAsia="Times New Roman" w:cs="Times New Roman"/>
                <w:spacing w:val="-4"/>
              </w:rPr>
              <w:t>T</w:t>
            </w:r>
            <w:r>
              <w:rPr>
                <w:rFonts w:ascii="Times New Roman" w:hAnsi="Times New Roman" w:eastAsia="Times New Roman" w:cs="Times New Roman"/>
                <w:spacing w:val="-31"/>
              </w:rPr>
              <w:t xml:space="preserve"> </w:t>
            </w:r>
            <w:r>
              <w:rPr>
                <w:spacing w:val="-4"/>
              </w:rPr>
              <w:t>，</w:t>
            </w:r>
            <w:r>
              <w:rPr>
                <w:rFonts w:ascii="Times New Roman" w:hAnsi="Times New Roman" w:eastAsia="Times New Roman" w:cs="Times New Roman"/>
                <w:spacing w:val="-4"/>
              </w:rPr>
              <w:t>I</w:t>
            </w:r>
            <w:r>
              <w:rPr>
                <w:spacing w:val="-4"/>
              </w:rPr>
              <w:t>。</w:t>
            </w:r>
          </w:p>
          <w:p w14:paraId="73284B3B">
            <w:pPr>
              <w:pStyle w:val="6"/>
              <w:spacing w:before="1" w:line="359" w:lineRule="auto"/>
              <w:ind w:left="109" w:right="22" w:firstLine="482"/>
            </w:pPr>
            <w:r>
              <w:rPr>
                <w:spacing w:val="1"/>
              </w:rPr>
              <w:t>项目废润滑油采用密封铁皮桶收集，暂存于</w:t>
            </w:r>
            <w:r>
              <w:t>撬装式危废贮存点内，最终交</w:t>
            </w:r>
            <w:r>
              <w:rPr>
                <w:spacing w:val="-4"/>
              </w:rPr>
              <w:t>有资质单位拉运处置。钻井设备委托第三方维修服务单位进行维修或更换机油，更换后的油桶由第三方维修服务单位回收再利用。因此不再进行废油桶的分析。</w:t>
            </w:r>
          </w:p>
          <w:p w14:paraId="15773475">
            <w:pPr>
              <w:pStyle w:val="6"/>
              <w:spacing w:before="1" w:line="218" w:lineRule="auto"/>
              <w:ind w:left="600"/>
            </w:pPr>
            <w:r>
              <w:rPr>
                <w:spacing w:val="-2"/>
              </w:rPr>
              <w:t>（</w:t>
            </w:r>
            <w:r>
              <w:rPr>
                <w:rFonts w:ascii="Times New Roman" w:hAnsi="Times New Roman" w:eastAsia="Times New Roman" w:cs="Times New Roman"/>
                <w:spacing w:val="-2"/>
              </w:rPr>
              <w:t>3</w:t>
            </w:r>
            <w:r>
              <w:rPr>
                <w:spacing w:val="-2"/>
              </w:rPr>
              <w:t>）落地油、废防渗材料</w:t>
            </w:r>
          </w:p>
          <w:p w14:paraId="0B6176F5">
            <w:pPr>
              <w:pStyle w:val="6"/>
              <w:spacing w:before="183" w:line="359" w:lineRule="auto"/>
              <w:ind w:left="115" w:right="100" w:firstLine="477"/>
            </w:pPr>
            <w:r>
              <w:rPr>
                <w:spacing w:val="1"/>
              </w:rPr>
              <w:t>项目采用过平衡钻井方式，在油气井钻井过程中</w:t>
            </w:r>
            <w:r>
              <w:t>，井筒液柱压力大于或略</w:t>
            </w:r>
            <w:r>
              <w:rPr>
                <w:spacing w:val="1"/>
              </w:rPr>
              <w:t>小于地层孔隙压力，严禁地层流体进入井筒</w:t>
            </w:r>
            <w:r>
              <w:t>，正常情况下钻井过程中无液体伴</w:t>
            </w:r>
            <w:r>
              <w:rPr>
                <w:spacing w:val="-1"/>
              </w:rPr>
              <w:t>随井筒回到地面，因此钻井过程中无落地油产生。</w:t>
            </w:r>
          </w:p>
          <w:p w14:paraId="7C0DD96D">
            <w:pPr>
              <w:pStyle w:val="6"/>
              <w:spacing w:line="219" w:lineRule="auto"/>
              <w:ind w:left="592"/>
            </w:pPr>
            <w:r>
              <w:rPr>
                <w:spacing w:val="-4"/>
              </w:rPr>
              <w:t>项目钻井设备、试油设备、柴油罐等下铺设双层</w:t>
            </w:r>
            <w:r>
              <w:rPr>
                <w:spacing w:val="-55"/>
              </w:rPr>
              <w:t xml:space="preserve"> </w:t>
            </w:r>
            <w:r>
              <w:rPr>
                <w:rFonts w:ascii="Times New Roman" w:hAnsi="Times New Roman" w:eastAsia="Times New Roman" w:cs="Times New Roman"/>
                <w:spacing w:val="-4"/>
              </w:rPr>
              <w:t>2mm</w:t>
            </w:r>
            <w:r>
              <w:rPr>
                <w:rFonts w:ascii="Times New Roman" w:hAnsi="Times New Roman" w:eastAsia="Times New Roman" w:cs="Times New Roman"/>
                <w:spacing w:val="16"/>
              </w:rPr>
              <w:t xml:space="preserve"> </w:t>
            </w:r>
            <w:r>
              <w:rPr>
                <w:spacing w:val="-4"/>
              </w:rPr>
              <w:t>厚高密度聚乙</w:t>
            </w:r>
            <w:r>
              <w:rPr>
                <w:spacing w:val="-5"/>
              </w:rPr>
              <w:t>烯防渗</w:t>
            </w:r>
          </w:p>
        </w:tc>
      </w:tr>
    </w:tbl>
    <w:p w14:paraId="78DADEF2">
      <w:pPr>
        <w:rPr>
          <w:rFonts w:ascii="Arial"/>
          <w:sz w:val="21"/>
        </w:rPr>
      </w:pPr>
    </w:p>
    <w:p w14:paraId="41BF672F">
      <w:pPr>
        <w:rPr>
          <w:rFonts w:ascii="Arial" w:hAnsi="Arial" w:eastAsia="Arial" w:cs="Arial"/>
          <w:sz w:val="21"/>
          <w:szCs w:val="21"/>
        </w:rPr>
        <w:sectPr>
          <w:footerReference r:id="rId70" w:type="default"/>
          <w:pgSz w:w="11906" w:h="16839"/>
          <w:pgMar w:top="400" w:right="1410" w:bottom="1240" w:left="1579" w:header="0" w:footer="1078" w:gutter="0"/>
          <w:cols w:space="720" w:num="1"/>
        </w:sectPr>
      </w:pPr>
    </w:p>
    <w:p w14:paraId="10536895">
      <w:pPr>
        <w:spacing w:before="56"/>
      </w:pPr>
    </w:p>
    <w:p w14:paraId="5738C088">
      <w:pPr>
        <w:spacing w:before="56"/>
      </w:pPr>
    </w:p>
    <w:p w14:paraId="0F35215C">
      <w:pPr>
        <w:spacing w:before="55"/>
      </w:pPr>
    </w:p>
    <w:p w14:paraId="7D5B503D">
      <w:pPr>
        <w:spacing w:before="55"/>
      </w:pPr>
    </w:p>
    <w:tbl>
      <w:tblPr>
        <w:tblStyle w:val="5"/>
        <w:tblW w:w="8901"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5"/>
        <w:gridCol w:w="523"/>
        <w:gridCol w:w="770"/>
        <w:gridCol w:w="28"/>
        <w:gridCol w:w="88"/>
        <w:gridCol w:w="655"/>
        <w:gridCol w:w="186"/>
        <w:gridCol w:w="177"/>
        <w:gridCol w:w="786"/>
        <w:gridCol w:w="368"/>
        <w:gridCol w:w="442"/>
        <w:gridCol w:w="452"/>
        <w:gridCol w:w="461"/>
        <w:gridCol w:w="77"/>
        <w:gridCol w:w="373"/>
        <w:gridCol w:w="98"/>
        <w:gridCol w:w="552"/>
        <w:gridCol w:w="693"/>
        <w:gridCol w:w="455"/>
        <w:gridCol w:w="252"/>
        <w:gridCol w:w="28"/>
        <w:gridCol w:w="942"/>
      </w:tblGrid>
      <w:tr w14:paraId="112570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0" w:hRule="atLeast"/>
        </w:trPr>
        <w:tc>
          <w:tcPr>
            <w:tcW w:w="495" w:type="dxa"/>
            <w:vMerge w:val="restart"/>
            <w:tcBorders>
              <w:top w:val="single" w:color="000000" w:sz="6" w:space="0"/>
              <w:left w:val="single" w:color="000000" w:sz="6" w:space="0"/>
              <w:bottom w:val="nil"/>
              <w:right w:val="single" w:color="000000" w:sz="2" w:space="0"/>
            </w:tcBorders>
            <w:vAlign w:val="top"/>
          </w:tcPr>
          <w:p w14:paraId="5F3DDBBC">
            <w:pPr>
              <w:rPr>
                <w:rFonts w:ascii="Arial"/>
                <w:sz w:val="21"/>
              </w:rPr>
            </w:pPr>
          </w:p>
        </w:tc>
        <w:tc>
          <w:tcPr>
            <w:tcW w:w="8406" w:type="dxa"/>
            <w:gridSpan w:val="21"/>
            <w:tcBorders>
              <w:top w:val="single" w:color="000000" w:sz="6" w:space="0"/>
              <w:left w:val="single" w:color="000000" w:sz="2" w:space="0"/>
              <w:bottom w:val="single" w:color="000000" w:sz="10" w:space="0"/>
              <w:right w:val="single" w:color="000000" w:sz="6" w:space="0"/>
            </w:tcBorders>
            <w:vAlign w:val="top"/>
          </w:tcPr>
          <w:p w14:paraId="3AC85DC7">
            <w:pPr>
              <w:pStyle w:val="6"/>
              <w:spacing w:before="40" w:line="359" w:lineRule="auto"/>
              <w:ind w:left="131" w:right="102" w:hanging="24"/>
            </w:pPr>
            <w:r>
              <w:rPr>
                <w:spacing w:val="1"/>
              </w:rPr>
              <w:t>膜，同时防渗膜敷设外延</w:t>
            </w:r>
            <w:r>
              <w:rPr>
                <w:spacing w:val="-42"/>
              </w:rPr>
              <w:t xml:space="preserve"> </w:t>
            </w:r>
            <w:r>
              <w:rPr>
                <w:rFonts w:ascii="Times New Roman" w:hAnsi="Times New Roman" w:eastAsia="Times New Roman" w:cs="Times New Roman"/>
                <w:spacing w:val="1"/>
              </w:rPr>
              <w:t>50</w:t>
            </w:r>
            <w:r>
              <w:rPr>
                <w:rFonts w:ascii="Times New Roman" w:hAnsi="Times New Roman" w:eastAsia="Times New Roman" w:cs="Times New Roman"/>
              </w:rPr>
              <w:t>cm</w:t>
            </w:r>
            <w:r>
              <w:rPr>
                <w:rFonts w:ascii="Times New Roman" w:hAnsi="Times New Roman" w:eastAsia="Times New Roman" w:cs="Times New Roman"/>
                <w:spacing w:val="39"/>
                <w:w w:val="101"/>
              </w:rPr>
              <w:t xml:space="preserve"> </w:t>
            </w:r>
            <w:r>
              <w:rPr>
                <w:spacing w:val="1"/>
              </w:rPr>
              <w:t>以上，以防止落地油污染土壤环境。采出液密</w:t>
            </w:r>
            <w:r>
              <w:rPr>
                <w:spacing w:val="-2"/>
              </w:rPr>
              <w:t>闭输送至储液罐内暂存，因此正常工况不会产生落地油。</w:t>
            </w:r>
          </w:p>
          <w:p w14:paraId="35279D7D">
            <w:pPr>
              <w:pStyle w:val="6"/>
              <w:spacing w:before="1" w:line="359" w:lineRule="auto"/>
              <w:ind w:left="107" w:right="100" w:firstLine="480"/>
            </w:pPr>
            <w:r>
              <w:rPr>
                <w:spacing w:val="1"/>
              </w:rPr>
              <w:t>施工过程中储罐阀门、法兰等渗漏或施工操作不当会产生少</w:t>
            </w:r>
            <w:r>
              <w:t>量落地油，产</w:t>
            </w:r>
            <w:r>
              <w:rPr>
                <w:spacing w:val="-3"/>
              </w:rPr>
              <w:t>生量约</w:t>
            </w:r>
            <w:r>
              <w:rPr>
                <w:spacing w:val="-50"/>
              </w:rPr>
              <w:t xml:space="preserve"> </w:t>
            </w:r>
            <w:r>
              <w:rPr>
                <w:rFonts w:ascii="Times New Roman" w:hAnsi="Times New Roman" w:eastAsia="Times New Roman" w:cs="Times New Roman"/>
                <w:spacing w:val="-3"/>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15t</w:t>
            </w:r>
            <w:r>
              <w:rPr>
                <w:rFonts w:ascii="Times New Roman" w:hAnsi="Times New Roman" w:eastAsia="Times New Roman" w:cs="Times New Roman"/>
                <w:spacing w:val="-33"/>
              </w:rPr>
              <w:t xml:space="preserve"> </w:t>
            </w:r>
            <w:r>
              <w:rPr>
                <w:spacing w:val="-3"/>
              </w:rPr>
              <w:t>，危险废物代码为</w:t>
            </w:r>
            <w:r>
              <w:rPr>
                <w:spacing w:val="-51"/>
              </w:rPr>
              <w:t xml:space="preserve"> </w:t>
            </w:r>
            <w:r>
              <w:rPr>
                <w:rFonts w:ascii="Times New Roman" w:hAnsi="Times New Roman" w:eastAsia="Times New Roman" w:cs="Times New Roman"/>
                <w:spacing w:val="-3"/>
              </w:rPr>
              <w:t>071-001-08</w:t>
            </w:r>
            <w:r>
              <w:rPr>
                <w:rFonts w:ascii="Times New Roman" w:hAnsi="Times New Roman" w:eastAsia="Times New Roman" w:cs="Times New Roman"/>
                <w:spacing w:val="-29"/>
              </w:rPr>
              <w:t xml:space="preserve"> </w:t>
            </w:r>
            <w:r>
              <w:rPr>
                <w:spacing w:val="-3"/>
              </w:rPr>
              <w:t>，防渗膜将有效收集产生的落地油；</w:t>
            </w:r>
            <w:r>
              <w:rPr>
                <w:spacing w:val="8"/>
              </w:rPr>
              <w:t>施工过程中及施工结束后场地清理过程中会产生少量废防渗材料，产生量约</w:t>
            </w:r>
            <w:r>
              <w:rPr>
                <w:rFonts w:ascii="Times New Roman" w:hAnsi="Times New Roman" w:eastAsia="Times New Roman" w:cs="Times New Roman"/>
                <w:spacing w:val="-2"/>
              </w:rPr>
              <w:t>0.5t</w:t>
            </w:r>
            <w:r>
              <w:rPr>
                <w:spacing w:val="-2"/>
              </w:rPr>
              <w:t>，危险废物代码为</w:t>
            </w:r>
            <w:r>
              <w:rPr>
                <w:spacing w:val="-51"/>
              </w:rPr>
              <w:t xml:space="preserve"> </w:t>
            </w:r>
            <w:r>
              <w:rPr>
                <w:rFonts w:ascii="Times New Roman" w:hAnsi="Times New Roman" w:eastAsia="Times New Roman" w:cs="Times New Roman"/>
                <w:spacing w:val="-2"/>
              </w:rPr>
              <w:t>900-249-08</w:t>
            </w:r>
            <w:r>
              <w:rPr>
                <w:spacing w:val="-2"/>
              </w:rPr>
              <w:t>。落地油、废防渗材料暂存</w:t>
            </w:r>
            <w:r>
              <w:rPr>
                <w:spacing w:val="-3"/>
              </w:rPr>
              <w:t>于井场撬装式危废</w:t>
            </w:r>
            <w:r>
              <w:rPr>
                <w:spacing w:val="-1"/>
              </w:rPr>
              <w:t>贮存点内，定期交有资质单位拉运处置。</w:t>
            </w:r>
          </w:p>
          <w:p w14:paraId="51E5FECD">
            <w:pPr>
              <w:pStyle w:val="6"/>
              <w:spacing w:line="220" w:lineRule="auto"/>
              <w:ind w:left="600"/>
            </w:pPr>
            <w:r>
              <w:rPr>
                <w:spacing w:val="-3"/>
              </w:rPr>
              <w:t>（</w:t>
            </w:r>
            <w:r>
              <w:rPr>
                <w:rFonts w:ascii="Times New Roman" w:hAnsi="Times New Roman" w:eastAsia="Times New Roman" w:cs="Times New Roman"/>
                <w:spacing w:val="-3"/>
              </w:rPr>
              <w:t>4</w:t>
            </w:r>
            <w:r>
              <w:rPr>
                <w:spacing w:val="-3"/>
              </w:rPr>
              <w:t>）生活垃圾</w:t>
            </w:r>
          </w:p>
          <w:p w14:paraId="00957474">
            <w:pPr>
              <w:pStyle w:val="6"/>
              <w:spacing w:before="181" w:line="357" w:lineRule="auto"/>
              <w:ind w:left="110" w:right="41" w:firstLine="481"/>
            </w:pPr>
            <w:r>
              <w:t>项目劳动定员</w:t>
            </w:r>
            <w:r>
              <w:rPr>
                <w:rFonts w:ascii="Times New Roman" w:hAnsi="Times New Roman" w:eastAsia="Times New Roman" w:cs="Times New Roman"/>
              </w:rPr>
              <w:t xml:space="preserve">40 </w:t>
            </w:r>
            <w:r>
              <w:t>人，勘探期</w:t>
            </w:r>
            <w:r>
              <w:rPr>
                <w:rFonts w:ascii="Times New Roman" w:hAnsi="Times New Roman" w:eastAsia="Times New Roman" w:cs="Times New Roman"/>
              </w:rPr>
              <w:t xml:space="preserve">90 </w:t>
            </w:r>
            <w:r>
              <w:t>天，按每人每天产生</w:t>
            </w:r>
            <w:r>
              <w:rPr>
                <w:spacing w:val="-40"/>
              </w:rPr>
              <w:t xml:space="preserve"> </w:t>
            </w:r>
            <w:r>
              <w:rPr>
                <w:rFonts w:ascii="Times New Roman" w:hAnsi="Times New Roman" w:eastAsia="Times New Roman" w:cs="Times New Roman"/>
              </w:rPr>
              <w:t xml:space="preserve">0.5kg </w:t>
            </w:r>
            <w:r>
              <w:t>生活垃圾计算，</w:t>
            </w:r>
            <w:r>
              <w:rPr>
                <w:spacing w:val="-1"/>
              </w:rPr>
              <w:t>则产生量为</w:t>
            </w:r>
            <w:r>
              <w:rPr>
                <w:spacing w:val="-16"/>
              </w:rPr>
              <w:t xml:space="preserve"> </w:t>
            </w:r>
            <w:r>
              <w:rPr>
                <w:rFonts w:ascii="Times New Roman" w:hAnsi="Times New Roman" w:eastAsia="Times New Roman" w:cs="Times New Roman"/>
                <w:spacing w:val="-1"/>
              </w:rPr>
              <w:t>1.8t/</w:t>
            </w:r>
            <w:r>
              <w:rPr>
                <w:spacing w:val="-1"/>
              </w:rPr>
              <w:t>勘探期。井场设置垃圾桶，集中收集后，拉运至当地乡镇生活垃圾点，由当地环卫部门处理。固体废物代码为</w:t>
            </w:r>
            <w:r>
              <w:rPr>
                <w:spacing w:val="-45"/>
              </w:rPr>
              <w:t xml:space="preserve"> </w:t>
            </w:r>
            <w:r>
              <w:rPr>
                <w:rFonts w:ascii="Times New Roman" w:hAnsi="Times New Roman" w:eastAsia="Times New Roman" w:cs="Times New Roman"/>
                <w:spacing w:val="-2"/>
              </w:rPr>
              <w:t xml:space="preserve">SW61 </w:t>
            </w:r>
            <w:r>
              <w:rPr>
                <w:spacing w:val="-2"/>
              </w:rPr>
              <w:t>和</w:t>
            </w:r>
            <w:r>
              <w:rPr>
                <w:spacing w:val="-45"/>
              </w:rPr>
              <w:t xml:space="preserve"> </w:t>
            </w:r>
            <w:r>
              <w:rPr>
                <w:rFonts w:ascii="Times New Roman" w:hAnsi="Times New Roman" w:eastAsia="Times New Roman" w:cs="Times New Roman"/>
                <w:spacing w:val="-2"/>
              </w:rPr>
              <w:t>SW62</w:t>
            </w:r>
            <w:r>
              <w:rPr>
                <w:spacing w:val="-2"/>
              </w:rPr>
              <w:t>。</w:t>
            </w:r>
          </w:p>
          <w:p w14:paraId="39193682">
            <w:pPr>
              <w:spacing w:before="7" w:line="211" w:lineRule="auto"/>
              <w:ind w:left="2668"/>
              <w:rPr>
                <w:rFonts w:ascii="黑体" w:hAnsi="黑体" w:eastAsia="黑体" w:cs="黑体"/>
                <w:sz w:val="24"/>
                <w:szCs w:val="24"/>
              </w:rPr>
            </w:pPr>
            <w:r>
              <w:rPr>
                <w:rFonts w:ascii="黑体" w:hAnsi="黑体" w:eastAsia="黑体" w:cs="黑体"/>
                <w:spacing w:val="-1"/>
                <w:sz w:val="24"/>
                <w:szCs w:val="24"/>
              </w:rPr>
              <w:t>表</w:t>
            </w:r>
            <w:r>
              <w:rPr>
                <w:rFonts w:ascii="Times New Roman" w:hAnsi="Times New Roman" w:eastAsia="Times New Roman" w:cs="Times New Roman"/>
                <w:spacing w:val="-1"/>
                <w:sz w:val="24"/>
                <w:szCs w:val="24"/>
              </w:rPr>
              <w:t xml:space="preserve">4-7  </w:t>
            </w:r>
            <w:r>
              <w:rPr>
                <w:rFonts w:ascii="黑体" w:hAnsi="黑体" w:eastAsia="黑体" w:cs="黑体"/>
                <w:spacing w:val="-1"/>
                <w:sz w:val="24"/>
                <w:szCs w:val="24"/>
              </w:rPr>
              <w:t>项目固体废物产生量一览表</w:t>
            </w:r>
          </w:p>
        </w:tc>
      </w:tr>
      <w:tr w14:paraId="0EC7D7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 w:hRule="atLeast"/>
        </w:trPr>
        <w:tc>
          <w:tcPr>
            <w:tcW w:w="495" w:type="dxa"/>
            <w:vMerge w:val="continue"/>
            <w:tcBorders>
              <w:top w:val="nil"/>
              <w:left w:val="single" w:color="000000" w:sz="6" w:space="0"/>
              <w:bottom w:val="nil"/>
              <w:right w:val="single" w:color="000000" w:sz="2" w:space="0"/>
            </w:tcBorders>
            <w:vAlign w:val="top"/>
          </w:tcPr>
          <w:p w14:paraId="31DC7B78">
            <w:pPr>
              <w:rPr>
                <w:rFonts w:ascii="Arial"/>
                <w:sz w:val="21"/>
              </w:rPr>
            </w:pPr>
          </w:p>
        </w:tc>
        <w:tc>
          <w:tcPr>
            <w:tcW w:w="1321" w:type="dxa"/>
            <w:gridSpan w:val="3"/>
            <w:tcBorders>
              <w:top w:val="single" w:color="000000" w:sz="10" w:space="0"/>
              <w:left w:val="single" w:color="000000" w:sz="2" w:space="0"/>
            </w:tcBorders>
            <w:vAlign w:val="top"/>
          </w:tcPr>
          <w:p w14:paraId="51F7A418">
            <w:pPr>
              <w:pStyle w:val="6"/>
              <w:spacing w:before="144" w:line="228" w:lineRule="auto"/>
              <w:ind w:left="501"/>
              <w:rPr>
                <w:sz w:val="20"/>
                <w:szCs w:val="20"/>
              </w:rPr>
            </w:pPr>
            <w:r>
              <w:rPr>
                <w:spacing w:val="4"/>
                <w:sz w:val="20"/>
                <w:szCs w:val="20"/>
              </w:rPr>
              <w:t>种类</w:t>
            </w:r>
          </w:p>
        </w:tc>
        <w:tc>
          <w:tcPr>
            <w:tcW w:w="1106" w:type="dxa"/>
            <w:gridSpan w:val="4"/>
            <w:tcBorders>
              <w:top w:val="single" w:color="000000" w:sz="10" w:space="0"/>
            </w:tcBorders>
            <w:vAlign w:val="top"/>
          </w:tcPr>
          <w:p w14:paraId="49FC900A">
            <w:pPr>
              <w:pStyle w:val="6"/>
              <w:spacing w:before="144" w:line="228" w:lineRule="auto"/>
              <w:ind w:left="342"/>
              <w:rPr>
                <w:sz w:val="20"/>
                <w:szCs w:val="20"/>
              </w:rPr>
            </w:pPr>
            <w:r>
              <w:rPr>
                <w:spacing w:val="4"/>
                <w:sz w:val="20"/>
                <w:szCs w:val="20"/>
              </w:rPr>
              <w:t>来源</w:t>
            </w:r>
          </w:p>
        </w:tc>
        <w:tc>
          <w:tcPr>
            <w:tcW w:w="1154" w:type="dxa"/>
            <w:gridSpan w:val="2"/>
            <w:tcBorders>
              <w:top w:val="single" w:color="000000" w:sz="10" w:space="0"/>
            </w:tcBorders>
            <w:vAlign w:val="top"/>
          </w:tcPr>
          <w:p w14:paraId="3106EA74">
            <w:pPr>
              <w:pStyle w:val="6"/>
              <w:spacing w:before="144" w:line="228" w:lineRule="auto"/>
              <w:ind w:left="263"/>
              <w:rPr>
                <w:sz w:val="20"/>
                <w:szCs w:val="20"/>
              </w:rPr>
            </w:pPr>
            <w:r>
              <w:rPr>
                <w:spacing w:val="6"/>
                <w:sz w:val="20"/>
                <w:szCs w:val="20"/>
              </w:rPr>
              <w:t>产生量</w:t>
            </w:r>
          </w:p>
        </w:tc>
        <w:tc>
          <w:tcPr>
            <w:tcW w:w="1355" w:type="dxa"/>
            <w:gridSpan w:val="3"/>
            <w:tcBorders>
              <w:top w:val="single" w:color="000000" w:sz="10" w:space="0"/>
            </w:tcBorders>
            <w:vAlign w:val="top"/>
          </w:tcPr>
          <w:p w14:paraId="097CA382">
            <w:pPr>
              <w:pStyle w:val="6"/>
              <w:spacing w:before="145" w:line="228" w:lineRule="auto"/>
              <w:ind w:left="262"/>
              <w:rPr>
                <w:sz w:val="20"/>
                <w:szCs w:val="20"/>
              </w:rPr>
            </w:pPr>
            <w:r>
              <w:rPr>
                <w:spacing w:val="6"/>
                <w:sz w:val="20"/>
                <w:szCs w:val="20"/>
              </w:rPr>
              <w:t>主要成分</w:t>
            </w:r>
          </w:p>
        </w:tc>
        <w:tc>
          <w:tcPr>
            <w:tcW w:w="2248" w:type="dxa"/>
            <w:gridSpan w:val="6"/>
            <w:tcBorders>
              <w:top w:val="single" w:color="000000" w:sz="10" w:space="0"/>
            </w:tcBorders>
            <w:vAlign w:val="top"/>
          </w:tcPr>
          <w:p w14:paraId="7DFDEF72">
            <w:pPr>
              <w:pStyle w:val="6"/>
              <w:spacing w:before="144" w:line="229" w:lineRule="auto"/>
              <w:ind w:left="503"/>
              <w:rPr>
                <w:sz w:val="20"/>
                <w:szCs w:val="20"/>
              </w:rPr>
            </w:pPr>
            <w:r>
              <w:rPr>
                <w:spacing w:val="7"/>
                <w:sz w:val="20"/>
                <w:szCs w:val="20"/>
              </w:rPr>
              <w:t>处理处置方式</w:t>
            </w:r>
          </w:p>
        </w:tc>
        <w:tc>
          <w:tcPr>
            <w:tcW w:w="1222" w:type="dxa"/>
            <w:gridSpan w:val="3"/>
            <w:tcBorders>
              <w:top w:val="single" w:color="000000" w:sz="10" w:space="0"/>
              <w:right w:val="single" w:color="000000" w:sz="6" w:space="0"/>
            </w:tcBorders>
            <w:vAlign w:val="top"/>
          </w:tcPr>
          <w:p w14:paraId="31CF8C56">
            <w:pPr>
              <w:pStyle w:val="6"/>
              <w:spacing w:before="144" w:line="228" w:lineRule="auto"/>
              <w:ind w:left="356"/>
              <w:rPr>
                <w:sz w:val="20"/>
                <w:szCs w:val="20"/>
              </w:rPr>
            </w:pPr>
            <w:r>
              <w:rPr>
                <w:spacing w:val="3"/>
                <w:sz w:val="20"/>
                <w:szCs w:val="20"/>
              </w:rPr>
              <w:t>分类</w:t>
            </w:r>
          </w:p>
        </w:tc>
      </w:tr>
      <w:tr w14:paraId="41A051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3" w:hRule="atLeast"/>
        </w:trPr>
        <w:tc>
          <w:tcPr>
            <w:tcW w:w="495" w:type="dxa"/>
            <w:vMerge w:val="continue"/>
            <w:tcBorders>
              <w:top w:val="nil"/>
              <w:left w:val="single" w:color="000000" w:sz="6" w:space="0"/>
              <w:bottom w:val="nil"/>
              <w:right w:val="single" w:color="000000" w:sz="2" w:space="0"/>
            </w:tcBorders>
            <w:vAlign w:val="top"/>
          </w:tcPr>
          <w:p w14:paraId="6E8FB2AC">
            <w:pPr>
              <w:rPr>
                <w:rFonts w:ascii="Arial"/>
                <w:sz w:val="21"/>
              </w:rPr>
            </w:pPr>
          </w:p>
        </w:tc>
        <w:tc>
          <w:tcPr>
            <w:tcW w:w="1321" w:type="dxa"/>
            <w:gridSpan w:val="3"/>
            <w:tcBorders>
              <w:left w:val="single" w:color="000000" w:sz="2" w:space="0"/>
            </w:tcBorders>
            <w:vAlign w:val="top"/>
          </w:tcPr>
          <w:p w14:paraId="387ADBA0">
            <w:pPr>
              <w:pStyle w:val="6"/>
              <w:spacing w:before="169" w:line="228" w:lineRule="auto"/>
              <w:ind w:right="8"/>
              <w:jc w:val="right"/>
              <w:rPr>
                <w:sz w:val="20"/>
                <w:szCs w:val="20"/>
              </w:rPr>
            </w:pPr>
            <w:r>
              <w:rPr>
                <w:spacing w:val="-1"/>
                <w:sz w:val="20"/>
                <w:szCs w:val="20"/>
              </w:rPr>
              <w:t>废弃泥浆、钻</w:t>
            </w:r>
          </w:p>
          <w:p w14:paraId="290DB38E">
            <w:pPr>
              <w:pStyle w:val="6"/>
              <w:spacing w:before="24" w:line="228" w:lineRule="auto"/>
              <w:ind w:right="8"/>
              <w:jc w:val="right"/>
              <w:rPr>
                <w:sz w:val="20"/>
                <w:szCs w:val="20"/>
              </w:rPr>
            </w:pPr>
            <w:r>
              <w:rPr>
                <w:spacing w:val="-1"/>
                <w:sz w:val="20"/>
                <w:szCs w:val="20"/>
              </w:rPr>
              <w:t>井岩屑（含钻</w:t>
            </w:r>
          </w:p>
          <w:p w14:paraId="1BA27E99">
            <w:pPr>
              <w:pStyle w:val="6"/>
              <w:spacing w:before="26" w:line="228" w:lineRule="auto"/>
              <w:ind w:left="290"/>
              <w:rPr>
                <w:sz w:val="20"/>
                <w:szCs w:val="20"/>
              </w:rPr>
            </w:pPr>
            <w:r>
              <w:rPr>
                <w:spacing w:val="5"/>
                <w:sz w:val="20"/>
                <w:szCs w:val="20"/>
              </w:rPr>
              <w:t>井废水）</w:t>
            </w:r>
          </w:p>
        </w:tc>
        <w:tc>
          <w:tcPr>
            <w:tcW w:w="1106" w:type="dxa"/>
            <w:gridSpan w:val="4"/>
            <w:vAlign w:val="top"/>
          </w:tcPr>
          <w:p w14:paraId="174AD540">
            <w:pPr>
              <w:spacing w:line="376" w:lineRule="auto"/>
              <w:rPr>
                <w:rFonts w:ascii="Arial"/>
                <w:sz w:val="21"/>
              </w:rPr>
            </w:pPr>
          </w:p>
          <w:p w14:paraId="6D7DBB8A">
            <w:pPr>
              <w:pStyle w:val="6"/>
              <w:spacing w:before="65" w:line="228" w:lineRule="auto"/>
              <w:ind w:left="130"/>
              <w:rPr>
                <w:sz w:val="20"/>
                <w:szCs w:val="20"/>
              </w:rPr>
            </w:pPr>
            <w:r>
              <w:rPr>
                <w:spacing w:val="7"/>
                <w:sz w:val="20"/>
                <w:szCs w:val="20"/>
              </w:rPr>
              <w:t>钻井过程</w:t>
            </w:r>
          </w:p>
        </w:tc>
        <w:tc>
          <w:tcPr>
            <w:tcW w:w="1154" w:type="dxa"/>
            <w:gridSpan w:val="2"/>
            <w:vAlign w:val="top"/>
          </w:tcPr>
          <w:p w14:paraId="4A2CA640">
            <w:pPr>
              <w:spacing w:line="399" w:lineRule="auto"/>
              <w:rPr>
                <w:rFonts w:ascii="Arial"/>
                <w:sz w:val="21"/>
              </w:rPr>
            </w:pPr>
          </w:p>
          <w:p w14:paraId="6BC8744B">
            <w:pPr>
              <w:spacing w:before="57" w:line="216" w:lineRule="auto"/>
              <w:ind w:left="135"/>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1546.76m</w:t>
            </w:r>
            <w:r>
              <w:rPr>
                <w:rFonts w:ascii="Times New Roman" w:hAnsi="Times New Roman" w:eastAsia="Times New Roman" w:cs="Times New Roman"/>
                <w:spacing w:val="2"/>
                <w:position w:val="6"/>
                <w:sz w:val="13"/>
                <w:szCs w:val="13"/>
              </w:rPr>
              <w:t>3</w:t>
            </w:r>
          </w:p>
        </w:tc>
        <w:tc>
          <w:tcPr>
            <w:tcW w:w="1355" w:type="dxa"/>
            <w:gridSpan w:val="3"/>
            <w:vAlign w:val="top"/>
          </w:tcPr>
          <w:p w14:paraId="24CCDCC9">
            <w:pPr>
              <w:pStyle w:val="6"/>
              <w:spacing w:before="169" w:line="228" w:lineRule="auto"/>
              <w:ind w:left="52"/>
              <w:rPr>
                <w:sz w:val="20"/>
                <w:szCs w:val="20"/>
              </w:rPr>
            </w:pPr>
            <w:r>
              <w:rPr>
                <w:spacing w:val="7"/>
                <w:sz w:val="20"/>
                <w:szCs w:val="20"/>
              </w:rPr>
              <w:t>水、粘土、岩</w:t>
            </w:r>
          </w:p>
          <w:p w14:paraId="26FEAF7B">
            <w:pPr>
              <w:pStyle w:val="6"/>
              <w:spacing w:before="24" w:line="229" w:lineRule="auto"/>
              <w:ind w:left="50"/>
              <w:rPr>
                <w:sz w:val="20"/>
                <w:szCs w:val="20"/>
              </w:rPr>
            </w:pPr>
            <w:r>
              <w:rPr>
                <w:spacing w:val="8"/>
                <w:sz w:val="20"/>
                <w:szCs w:val="20"/>
              </w:rPr>
              <w:t>石、土壤、泥</w:t>
            </w:r>
          </w:p>
          <w:p w14:paraId="5062BC60">
            <w:pPr>
              <w:pStyle w:val="6"/>
              <w:spacing w:before="25" w:line="227" w:lineRule="auto"/>
              <w:ind w:left="261"/>
              <w:rPr>
                <w:sz w:val="20"/>
                <w:szCs w:val="20"/>
              </w:rPr>
            </w:pPr>
            <w:r>
              <w:rPr>
                <w:spacing w:val="7"/>
                <w:sz w:val="20"/>
                <w:szCs w:val="20"/>
              </w:rPr>
              <w:t>浆材料等</w:t>
            </w:r>
          </w:p>
        </w:tc>
        <w:tc>
          <w:tcPr>
            <w:tcW w:w="2248" w:type="dxa"/>
            <w:gridSpan w:val="6"/>
            <w:vAlign w:val="top"/>
          </w:tcPr>
          <w:p w14:paraId="586C6DC4">
            <w:pPr>
              <w:pStyle w:val="6"/>
              <w:spacing w:before="34" w:line="242" w:lineRule="auto"/>
              <w:ind w:left="79" w:hanging="62"/>
              <w:jc w:val="both"/>
              <w:rPr>
                <w:sz w:val="20"/>
                <w:szCs w:val="20"/>
              </w:rPr>
            </w:pPr>
            <w:r>
              <w:rPr>
                <w:spacing w:val="1"/>
                <w:sz w:val="20"/>
                <w:szCs w:val="20"/>
              </w:rPr>
              <w:t>收集可移动废水罐，定期</w:t>
            </w:r>
            <w:r>
              <w:rPr>
                <w:spacing w:val="8"/>
                <w:sz w:val="20"/>
                <w:szCs w:val="20"/>
              </w:rPr>
              <w:t>拉运至内蒙古众宁环保科技有限公司油气田废弃物集中处理厂处理。</w:t>
            </w:r>
          </w:p>
        </w:tc>
        <w:tc>
          <w:tcPr>
            <w:tcW w:w="1222" w:type="dxa"/>
            <w:gridSpan w:val="3"/>
            <w:tcBorders>
              <w:right w:val="single" w:color="000000" w:sz="6" w:space="0"/>
            </w:tcBorders>
            <w:vAlign w:val="top"/>
          </w:tcPr>
          <w:p w14:paraId="73EE20DD">
            <w:pPr>
              <w:pStyle w:val="6"/>
              <w:spacing w:before="187" w:line="252" w:lineRule="auto"/>
              <w:ind w:left="249" w:right="138" w:hanging="203"/>
              <w:rPr>
                <w:sz w:val="20"/>
                <w:szCs w:val="20"/>
              </w:rPr>
            </w:pPr>
            <w:r>
              <w:rPr>
                <w:rFonts w:ascii="Times New Roman" w:hAnsi="Times New Roman" w:eastAsia="Times New Roman" w:cs="Times New Roman"/>
                <w:sz w:val="20"/>
                <w:szCs w:val="20"/>
              </w:rPr>
              <w:t>II</w:t>
            </w:r>
            <w:r>
              <w:rPr>
                <w:rFonts w:ascii="Times New Roman" w:hAnsi="Times New Roman" w:eastAsia="Times New Roman" w:cs="Times New Roman"/>
                <w:spacing w:val="12"/>
                <w:sz w:val="20"/>
                <w:szCs w:val="20"/>
              </w:rPr>
              <w:t xml:space="preserve"> </w:t>
            </w:r>
            <w:r>
              <w:rPr>
                <w:spacing w:val="7"/>
                <w:sz w:val="20"/>
                <w:szCs w:val="20"/>
              </w:rPr>
              <w:t>类一般工业固废</w:t>
            </w:r>
          </w:p>
          <w:p w14:paraId="0B79293B">
            <w:pPr>
              <w:spacing w:before="17" w:line="195" w:lineRule="auto"/>
              <w:ind w:left="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071-001-S12</w:t>
            </w:r>
          </w:p>
        </w:tc>
      </w:tr>
      <w:tr w14:paraId="1C93E3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495" w:type="dxa"/>
            <w:vMerge w:val="continue"/>
            <w:tcBorders>
              <w:top w:val="nil"/>
              <w:left w:val="single" w:color="000000" w:sz="6" w:space="0"/>
              <w:bottom w:val="nil"/>
              <w:right w:val="single" w:color="000000" w:sz="2" w:space="0"/>
            </w:tcBorders>
            <w:vAlign w:val="top"/>
          </w:tcPr>
          <w:p w14:paraId="524AA1B7">
            <w:pPr>
              <w:rPr>
                <w:rFonts w:ascii="Arial"/>
                <w:sz w:val="21"/>
              </w:rPr>
            </w:pPr>
          </w:p>
        </w:tc>
        <w:tc>
          <w:tcPr>
            <w:tcW w:w="1321" w:type="dxa"/>
            <w:gridSpan w:val="3"/>
            <w:tcBorders>
              <w:left w:val="single" w:color="000000" w:sz="2" w:space="0"/>
            </w:tcBorders>
            <w:vAlign w:val="top"/>
          </w:tcPr>
          <w:p w14:paraId="12E2D7C5">
            <w:pPr>
              <w:pStyle w:val="6"/>
              <w:spacing w:before="128" w:line="228" w:lineRule="auto"/>
              <w:ind w:left="289"/>
              <w:rPr>
                <w:sz w:val="20"/>
                <w:szCs w:val="20"/>
              </w:rPr>
            </w:pPr>
            <w:r>
              <w:rPr>
                <w:spacing w:val="7"/>
                <w:sz w:val="20"/>
                <w:szCs w:val="20"/>
              </w:rPr>
              <w:t>废润滑油</w:t>
            </w:r>
          </w:p>
        </w:tc>
        <w:tc>
          <w:tcPr>
            <w:tcW w:w="1106" w:type="dxa"/>
            <w:gridSpan w:val="4"/>
            <w:vAlign w:val="top"/>
          </w:tcPr>
          <w:p w14:paraId="28631674">
            <w:pPr>
              <w:pStyle w:val="6"/>
              <w:spacing w:before="127" w:line="229" w:lineRule="auto"/>
              <w:ind w:left="345"/>
              <w:rPr>
                <w:sz w:val="20"/>
                <w:szCs w:val="20"/>
              </w:rPr>
            </w:pPr>
            <w:r>
              <w:rPr>
                <w:spacing w:val="3"/>
                <w:sz w:val="20"/>
                <w:szCs w:val="20"/>
              </w:rPr>
              <w:t>设备</w:t>
            </w:r>
          </w:p>
        </w:tc>
        <w:tc>
          <w:tcPr>
            <w:tcW w:w="1154" w:type="dxa"/>
            <w:gridSpan w:val="2"/>
            <w:vAlign w:val="top"/>
          </w:tcPr>
          <w:p w14:paraId="6C62CD7A">
            <w:pPr>
              <w:spacing w:before="163" w:line="195" w:lineRule="auto"/>
              <w:ind w:left="3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3"/>
                <w:sz w:val="20"/>
                <w:szCs w:val="20"/>
              </w:rPr>
              <w:t>15t</w:t>
            </w:r>
          </w:p>
        </w:tc>
        <w:tc>
          <w:tcPr>
            <w:tcW w:w="1355" w:type="dxa"/>
            <w:gridSpan w:val="3"/>
            <w:vAlign w:val="top"/>
          </w:tcPr>
          <w:p w14:paraId="3A9984FE">
            <w:pPr>
              <w:pStyle w:val="6"/>
              <w:spacing w:before="127" w:line="228" w:lineRule="auto"/>
              <w:ind w:left="363"/>
              <w:rPr>
                <w:sz w:val="20"/>
                <w:szCs w:val="20"/>
              </w:rPr>
            </w:pPr>
            <w:r>
              <w:rPr>
                <w:spacing w:val="7"/>
                <w:sz w:val="20"/>
                <w:szCs w:val="20"/>
              </w:rPr>
              <w:t>矿物油</w:t>
            </w:r>
          </w:p>
        </w:tc>
        <w:tc>
          <w:tcPr>
            <w:tcW w:w="2248" w:type="dxa"/>
            <w:gridSpan w:val="6"/>
            <w:vMerge w:val="restart"/>
            <w:tcBorders>
              <w:bottom w:val="nil"/>
            </w:tcBorders>
            <w:vAlign w:val="top"/>
          </w:tcPr>
          <w:p w14:paraId="61651898">
            <w:pPr>
              <w:spacing w:line="257" w:lineRule="auto"/>
              <w:rPr>
                <w:rFonts w:ascii="Arial"/>
                <w:sz w:val="21"/>
              </w:rPr>
            </w:pPr>
          </w:p>
          <w:p w14:paraId="61A317F5">
            <w:pPr>
              <w:pStyle w:val="6"/>
              <w:spacing w:before="65" w:line="228" w:lineRule="auto"/>
              <w:ind w:left="86"/>
              <w:rPr>
                <w:sz w:val="20"/>
                <w:szCs w:val="20"/>
              </w:rPr>
            </w:pPr>
            <w:r>
              <w:rPr>
                <w:spacing w:val="8"/>
                <w:sz w:val="20"/>
                <w:szCs w:val="20"/>
              </w:rPr>
              <w:t>暂存在井场设置的撬装</w:t>
            </w:r>
          </w:p>
          <w:p w14:paraId="31B06B36">
            <w:pPr>
              <w:pStyle w:val="6"/>
              <w:spacing w:before="24" w:line="228" w:lineRule="auto"/>
              <w:jc w:val="right"/>
              <w:rPr>
                <w:sz w:val="20"/>
                <w:szCs w:val="20"/>
              </w:rPr>
            </w:pPr>
            <w:r>
              <w:rPr>
                <w:spacing w:val="2"/>
                <w:sz w:val="20"/>
                <w:szCs w:val="20"/>
              </w:rPr>
              <w:t>式危废贮存点，交有资质</w:t>
            </w:r>
          </w:p>
          <w:p w14:paraId="09118C2E">
            <w:pPr>
              <w:pStyle w:val="6"/>
              <w:spacing w:before="27" w:line="228" w:lineRule="auto"/>
              <w:ind w:left="395"/>
              <w:rPr>
                <w:sz w:val="20"/>
                <w:szCs w:val="20"/>
              </w:rPr>
            </w:pPr>
            <w:r>
              <w:rPr>
                <w:spacing w:val="6"/>
                <w:sz w:val="20"/>
                <w:szCs w:val="20"/>
              </w:rPr>
              <w:t>单位拉运处置。</w:t>
            </w:r>
          </w:p>
        </w:tc>
        <w:tc>
          <w:tcPr>
            <w:tcW w:w="1222" w:type="dxa"/>
            <w:gridSpan w:val="3"/>
            <w:tcBorders>
              <w:right w:val="single" w:color="000000" w:sz="6" w:space="0"/>
            </w:tcBorders>
            <w:vAlign w:val="top"/>
          </w:tcPr>
          <w:p w14:paraId="513EAF0B">
            <w:pPr>
              <w:pStyle w:val="6"/>
              <w:spacing w:before="128" w:line="228" w:lineRule="auto"/>
              <w:ind w:left="147"/>
              <w:rPr>
                <w:sz w:val="20"/>
                <w:szCs w:val="20"/>
              </w:rPr>
            </w:pPr>
            <w:r>
              <w:rPr>
                <w:spacing w:val="6"/>
                <w:sz w:val="20"/>
                <w:szCs w:val="20"/>
              </w:rPr>
              <w:t>危险废物</w:t>
            </w:r>
          </w:p>
        </w:tc>
      </w:tr>
      <w:tr w14:paraId="5F21B7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495" w:type="dxa"/>
            <w:vMerge w:val="continue"/>
            <w:tcBorders>
              <w:top w:val="nil"/>
              <w:left w:val="single" w:color="000000" w:sz="6" w:space="0"/>
              <w:bottom w:val="nil"/>
              <w:right w:val="single" w:color="000000" w:sz="2" w:space="0"/>
            </w:tcBorders>
            <w:vAlign w:val="top"/>
          </w:tcPr>
          <w:p w14:paraId="16D96515">
            <w:pPr>
              <w:rPr>
                <w:rFonts w:ascii="Arial"/>
                <w:sz w:val="21"/>
              </w:rPr>
            </w:pPr>
          </w:p>
        </w:tc>
        <w:tc>
          <w:tcPr>
            <w:tcW w:w="1321" w:type="dxa"/>
            <w:gridSpan w:val="3"/>
            <w:tcBorders>
              <w:left w:val="single" w:color="000000" w:sz="2" w:space="0"/>
            </w:tcBorders>
            <w:vAlign w:val="top"/>
          </w:tcPr>
          <w:p w14:paraId="7245CF58">
            <w:pPr>
              <w:pStyle w:val="6"/>
              <w:spacing w:before="126" w:line="229" w:lineRule="auto"/>
              <w:ind w:left="397"/>
              <w:rPr>
                <w:sz w:val="20"/>
                <w:szCs w:val="20"/>
              </w:rPr>
            </w:pPr>
            <w:r>
              <w:rPr>
                <w:spacing w:val="6"/>
                <w:sz w:val="20"/>
                <w:szCs w:val="20"/>
              </w:rPr>
              <w:t>落地油</w:t>
            </w:r>
          </w:p>
        </w:tc>
        <w:tc>
          <w:tcPr>
            <w:tcW w:w="1106" w:type="dxa"/>
            <w:gridSpan w:val="4"/>
            <w:vAlign w:val="top"/>
          </w:tcPr>
          <w:p w14:paraId="1A79BF54">
            <w:pPr>
              <w:pStyle w:val="6"/>
              <w:spacing w:before="127" w:line="228" w:lineRule="auto"/>
              <w:ind w:left="28"/>
              <w:rPr>
                <w:sz w:val="20"/>
                <w:szCs w:val="20"/>
              </w:rPr>
            </w:pPr>
            <w:r>
              <w:rPr>
                <w:spacing w:val="7"/>
                <w:sz w:val="20"/>
                <w:szCs w:val="20"/>
              </w:rPr>
              <w:t>非正常工况</w:t>
            </w:r>
          </w:p>
        </w:tc>
        <w:tc>
          <w:tcPr>
            <w:tcW w:w="1154" w:type="dxa"/>
            <w:gridSpan w:val="2"/>
            <w:vAlign w:val="top"/>
          </w:tcPr>
          <w:p w14:paraId="40D20DFB">
            <w:pPr>
              <w:spacing w:before="165" w:line="195" w:lineRule="auto"/>
              <w:ind w:left="3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3"/>
                <w:sz w:val="20"/>
                <w:szCs w:val="20"/>
              </w:rPr>
              <w:t>15t</w:t>
            </w:r>
          </w:p>
        </w:tc>
        <w:tc>
          <w:tcPr>
            <w:tcW w:w="1355" w:type="dxa"/>
            <w:gridSpan w:val="3"/>
            <w:vAlign w:val="top"/>
          </w:tcPr>
          <w:p w14:paraId="64379A87">
            <w:pPr>
              <w:pStyle w:val="6"/>
              <w:spacing w:before="126" w:line="228" w:lineRule="auto"/>
              <w:ind w:left="363"/>
              <w:rPr>
                <w:sz w:val="20"/>
                <w:szCs w:val="20"/>
              </w:rPr>
            </w:pPr>
            <w:r>
              <w:rPr>
                <w:spacing w:val="7"/>
                <w:sz w:val="20"/>
                <w:szCs w:val="20"/>
              </w:rPr>
              <w:t>矿物油</w:t>
            </w:r>
          </w:p>
        </w:tc>
        <w:tc>
          <w:tcPr>
            <w:tcW w:w="2248" w:type="dxa"/>
            <w:gridSpan w:val="6"/>
            <w:vMerge w:val="continue"/>
            <w:tcBorders>
              <w:top w:val="nil"/>
              <w:bottom w:val="nil"/>
            </w:tcBorders>
            <w:vAlign w:val="top"/>
          </w:tcPr>
          <w:p w14:paraId="70DCC17F">
            <w:pPr>
              <w:rPr>
                <w:rFonts w:ascii="Arial"/>
                <w:sz w:val="21"/>
              </w:rPr>
            </w:pPr>
          </w:p>
        </w:tc>
        <w:tc>
          <w:tcPr>
            <w:tcW w:w="1222" w:type="dxa"/>
            <w:gridSpan w:val="3"/>
            <w:tcBorders>
              <w:right w:val="single" w:color="000000" w:sz="6" w:space="0"/>
            </w:tcBorders>
            <w:vAlign w:val="top"/>
          </w:tcPr>
          <w:p w14:paraId="378CFBD2">
            <w:pPr>
              <w:pStyle w:val="6"/>
              <w:spacing w:before="127" w:line="228" w:lineRule="auto"/>
              <w:ind w:left="147"/>
              <w:rPr>
                <w:sz w:val="20"/>
                <w:szCs w:val="20"/>
              </w:rPr>
            </w:pPr>
            <w:r>
              <w:rPr>
                <w:spacing w:val="6"/>
                <w:sz w:val="20"/>
                <w:szCs w:val="20"/>
              </w:rPr>
              <w:t>危险废物</w:t>
            </w:r>
          </w:p>
        </w:tc>
      </w:tr>
      <w:tr w14:paraId="66A08B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495" w:type="dxa"/>
            <w:vMerge w:val="continue"/>
            <w:tcBorders>
              <w:top w:val="nil"/>
              <w:left w:val="single" w:color="000000" w:sz="6" w:space="0"/>
              <w:bottom w:val="nil"/>
              <w:right w:val="single" w:color="000000" w:sz="2" w:space="0"/>
            </w:tcBorders>
            <w:vAlign w:val="top"/>
          </w:tcPr>
          <w:p w14:paraId="7D59164A">
            <w:pPr>
              <w:rPr>
                <w:rFonts w:ascii="Arial"/>
                <w:sz w:val="21"/>
              </w:rPr>
            </w:pPr>
          </w:p>
        </w:tc>
        <w:tc>
          <w:tcPr>
            <w:tcW w:w="1321" w:type="dxa"/>
            <w:gridSpan w:val="3"/>
            <w:tcBorders>
              <w:left w:val="single" w:color="000000" w:sz="2" w:space="0"/>
            </w:tcBorders>
            <w:vAlign w:val="top"/>
          </w:tcPr>
          <w:p w14:paraId="7724EE48">
            <w:pPr>
              <w:pStyle w:val="6"/>
              <w:spacing w:before="128" w:line="227" w:lineRule="auto"/>
              <w:ind w:left="183"/>
              <w:rPr>
                <w:sz w:val="20"/>
                <w:szCs w:val="20"/>
              </w:rPr>
            </w:pPr>
            <w:r>
              <w:rPr>
                <w:spacing w:val="8"/>
                <w:sz w:val="20"/>
                <w:szCs w:val="20"/>
              </w:rPr>
              <w:t>废防渗材料</w:t>
            </w:r>
          </w:p>
        </w:tc>
        <w:tc>
          <w:tcPr>
            <w:tcW w:w="1106" w:type="dxa"/>
            <w:gridSpan w:val="4"/>
            <w:vAlign w:val="top"/>
          </w:tcPr>
          <w:p w14:paraId="29D6F113">
            <w:pPr>
              <w:pStyle w:val="6"/>
              <w:spacing w:before="128" w:line="228" w:lineRule="auto"/>
              <w:ind w:left="129"/>
              <w:rPr>
                <w:sz w:val="20"/>
                <w:szCs w:val="20"/>
              </w:rPr>
            </w:pPr>
            <w:r>
              <w:rPr>
                <w:spacing w:val="7"/>
                <w:sz w:val="20"/>
                <w:szCs w:val="20"/>
              </w:rPr>
              <w:t>施工过程</w:t>
            </w:r>
          </w:p>
        </w:tc>
        <w:tc>
          <w:tcPr>
            <w:tcW w:w="1154" w:type="dxa"/>
            <w:gridSpan w:val="2"/>
            <w:vAlign w:val="top"/>
          </w:tcPr>
          <w:p w14:paraId="2DE8B85C">
            <w:pPr>
              <w:spacing w:before="164" w:line="195" w:lineRule="auto"/>
              <w:ind w:left="4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0.5t</w:t>
            </w:r>
          </w:p>
        </w:tc>
        <w:tc>
          <w:tcPr>
            <w:tcW w:w="1355" w:type="dxa"/>
            <w:gridSpan w:val="3"/>
            <w:vAlign w:val="top"/>
          </w:tcPr>
          <w:p w14:paraId="716AC223">
            <w:pPr>
              <w:pStyle w:val="6"/>
              <w:spacing w:before="127" w:line="228" w:lineRule="auto"/>
              <w:ind w:left="363"/>
              <w:rPr>
                <w:sz w:val="20"/>
                <w:szCs w:val="20"/>
              </w:rPr>
            </w:pPr>
            <w:r>
              <w:rPr>
                <w:spacing w:val="7"/>
                <w:sz w:val="20"/>
                <w:szCs w:val="20"/>
              </w:rPr>
              <w:t>矿物油</w:t>
            </w:r>
          </w:p>
        </w:tc>
        <w:tc>
          <w:tcPr>
            <w:tcW w:w="2248" w:type="dxa"/>
            <w:gridSpan w:val="6"/>
            <w:vMerge w:val="continue"/>
            <w:tcBorders>
              <w:top w:val="nil"/>
            </w:tcBorders>
            <w:vAlign w:val="top"/>
          </w:tcPr>
          <w:p w14:paraId="6445B0C3">
            <w:pPr>
              <w:rPr>
                <w:rFonts w:ascii="Arial"/>
                <w:sz w:val="21"/>
              </w:rPr>
            </w:pPr>
          </w:p>
        </w:tc>
        <w:tc>
          <w:tcPr>
            <w:tcW w:w="1222" w:type="dxa"/>
            <w:gridSpan w:val="3"/>
            <w:tcBorders>
              <w:right w:val="single" w:color="000000" w:sz="6" w:space="0"/>
            </w:tcBorders>
            <w:vAlign w:val="top"/>
          </w:tcPr>
          <w:p w14:paraId="63510B06">
            <w:pPr>
              <w:pStyle w:val="6"/>
              <w:spacing w:before="128" w:line="228" w:lineRule="auto"/>
              <w:ind w:left="147"/>
              <w:rPr>
                <w:sz w:val="20"/>
                <w:szCs w:val="20"/>
              </w:rPr>
            </w:pPr>
            <w:r>
              <w:rPr>
                <w:spacing w:val="6"/>
                <w:sz w:val="20"/>
                <w:szCs w:val="20"/>
              </w:rPr>
              <w:t>危险废物</w:t>
            </w:r>
          </w:p>
        </w:tc>
      </w:tr>
      <w:tr w14:paraId="5B7B8E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1" w:hRule="atLeast"/>
        </w:trPr>
        <w:tc>
          <w:tcPr>
            <w:tcW w:w="495" w:type="dxa"/>
            <w:vMerge w:val="continue"/>
            <w:tcBorders>
              <w:top w:val="nil"/>
              <w:left w:val="single" w:color="000000" w:sz="6" w:space="0"/>
              <w:bottom w:val="nil"/>
              <w:right w:val="single" w:color="000000" w:sz="2" w:space="0"/>
            </w:tcBorders>
            <w:vAlign w:val="top"/>
          </w:tcPr>
          <w:p w14:paraId="5CFD9098">
            <w:pPr>
              <w:rPr>
                <w:rFonts w:ascii="Arial"/>
                <w:sz w:val="21"/>
              </w:rPr>
            </w:pPr>
          </w:p>
        </w:tc>
        <w:tc>
          <w:tcPr>
            <w:tcW w:w="1321" w:type="dxa"/>
            <w:gridSpan w:val="3"/>
            <w:tcBorders>
              <w:left w:val="single" w:color="000000" w:sz="2" w:space="0"/>
              <w:bottom w:val="single" w:color="000000" w:sz="10" w:space="0"/>
            </w:tcBorders>
            <w:vAlign w:val="top"/>
          </w:tcPr>
          <w:p w14:paraId="7A9A74C6">
            <w:pPr>
              <w:spacing w:line="380" w:lineRule="auto"/>
              <w:rPr>
                <w:rFonts w:ascii="Arial"/>
                <w:sz w:val="21"/>
              </w:rPr>
            </w:pPr>
          </w:p>
          <w:p w14:paraId="20797BF9">
            <w:pPr>
              <w:pStyle w:val="6"/>
              <w:spacing w:before="65" w:line="228" w:lineRule="auto"/>
              <w:ind w:left="291"/>
              <w:rPr>
                <w:sz w:val="20"/>
                <w:szCs w:val="20"/>
              </w:rPr>
            </w:pPr>
            <w:r>
              <w:rPr>
                <w:spacing w:val="6"/>
                <w:sz w:val="20"/>
                <w:szCs w:val="20"/>
              </w:rPr>
              <w:t>生活垃圾</w:t>
            </w:r>
          </w:p>
        </w:tc>
        <w:tc>
          <w:tcPr>
            <w:tcW w:w="1106" w:type="dxa"/>
            <w:gridSpan w:val="4"/>
            <w:tcBorders>
              <w:bottom w:val="single" w:color="000000" w:sz="10" w:space="0"/>
            </w:tcBorders>
            <w:vAlign w:val="top"/>
          </w:tcPr>
          <w:p w14:paraId="12CB5FB4">
            <w:pPr>
              <w:spacing w:line="380" w:lineRule="auto"/>
              <w:rPr>
                <w:rFonts w:ascii="Arial"/>
                <w:sz w:val="21"/>
              </w:rPr>
            </w:pPr>
          </w:p>
          <w:p w14:paraId="205DB9E1">
            <w:pPr>
              <w:pStyle w:val="6"/>
              <w:spacing w:before="65" w:line="228" w:lineRule="auto"/>
              <w:ind w:left="25"/>
              <w:rPr>
                <w:sz w:val="20"/>
                <w:szCs w:val="20"/>
              </w:rPr>
            </w:pPr>
            <w:r>
              <w:rPr>
                <w:spacing w:val="8"/>
                <w:sz w:val="20"/>
                <w:szCs w:val="20"/>
              </w:rPr>
              <w:t>钻井队生活</w:t>
            </w:r>
          </w:p>
        </w:tc>
        <w:tc>
          <w:tcPr>
            <w:tcW w:w="1154" w:type="dxa"/>
            <w:gridSpan w:val="2"/>
            <w:tcBorders>
              <w:bottom w:val="single" w:color="000000" w:sz="10" w:space="0"/>
            </w:tcBorders>
            <w:vAlign w:val="top"/>
          </w:tcPr>
          <w:p w14:paraId="2D51EAFF">
            <w:pPr>
              <w:spacing w:line="423" w:lineRule="auto"/>
              <w:rPr>
                <w:rFonts w:ascii="Arial"/>
                <w:sz w:val="21"/>
              </w:rPr>
            </w:pPr>
          </w:p>
          <w:p w14:paraId="550473C1">
            <w:pPr>
              <w:spacing w:before="57" w:line="195" w:lineRule="auto"/>
              <w:ind w:left="4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1.8t</w:t>
            </w:r>
          </w:p>
        </w:tc>
        <w:tc>
          <w:tcPr>
            <w:tcW w:w="1355" w:type="dxa"/>
            <w:gridSpan w:val="3"/>
            <w:tcBorders>
              <w:bottom w:val="single" w:color="000000" w:sz="10" w:space="0"/>
            </w:tcBorders>
            <w:vAlign w:val="top"/>
          </w:tcPr>
          <w:p w14:paraId="424B99F3">
            <w:pPr>
              <w:spacing w:line="380" w:lineRule="auto"/>
              <w:rPr>
                <w:rFonts w:ascii="Arial"/>
                <w:sz w:val="21"/>
              </w:rPr>
            </w:pPr>
          </w:p>
          <w:p w14:paraId="1C9A769E">
            <w:pPr>
              <w:pStyle w:val="6"/>
              <w:spacing w:before="65" w:line="228" w:lineRule="auto"/>
              <w:ind w:left="262"/>
              <w:rPr>
                <w:sz w:val="20"/>
                <w:szCs w:val="20"/>
              </w:rPr>
            </w:pPr>
            <w:r>
              <w:rPr>
                <w:spacing w:val="6"/>
                <w:sz w:val="20"/>
                <w:szCs w:val="20"/>
              </w:rPr>
              <w:t>生活垃圾</w:t>
            </w:r>
          </w:p>
        </w:tc>
        <w:tc>
          <w:tcPr>
            <w:tcW w:w="2248" w:type="dxa"/>
            <w:gridSpan w:val="6"/>
            <w:tcBorders>
              <w:bottom w:val="single" w:color="000000" w:sz="10" w:space="0"/>
            </w:tcBorders>
            <w:vAlign w:val="top"/>
          </w:tcPr>
          <w:p w14:paraId="17CA54AF">
            <w:pPr>
              <w:pStyle w:val="6"/>
              <w:spacing w:before="37" w:line="243" w:lineRule="auto"/>
              <w:ind w:left="10"/>
              <w:jc w:val="both"/>
              <w:rPr>
                <w:sz w:val="20"/>
                <w:szCs w:val="20"/>
              </w:rPr>
            </w:pPr>
            <w:r>
              <w:rPr>
                <w:spacing w:val="2"/>
                <w:sz w:val="20"/>
                <w:szCs w:val="20"/>
              </w:rPr>
              <w:t>井场设置垃圾桶，集中收集后，拉运至当地乡镇生活垃圾点，由环卫部门处</w:t>
            </w:r>
            <w:r>
              <w:rPr>
                <w:spacing w:val="14"/>
                <w:sz w:val="20"/>
                <w:szCs w:val="20"/>
              </w:rPr>
              <w:t>理，做到现场无遗留。</w:t>
            </w:r>
          </w:p>
        </w:tc>
        <w:tc>
          <w:tcPr>
            <w:tcW w:w="1222" w:type="dxa"/>
            <w:gridSpan w:val="3"/>
            <w:tcBorders>
              <w:bottom w:val="single" w:color="000000" w:sz="10" w:space="0"/>
              <w:right w:val="single" w:color="000000" w:sz="6" w:space="0"/>
            </w:tcBorders>
            <w:vAlign w:val="top"/>
          </w:tcPr>
          <w:p w14:paraId="72009131">
            <w:pPr>
              <w:pStyle w:val="6"/>
              <w:spacing w:before="188" w:line="228" w:lineRule="auto"/>
              <w:ind w:left="146"/>
              <w:rPr>
                <w:sz w:val="20"/>
                <w:szCs w:val="20"/>
              </w:rPr>
            </w:pPr>
            <w:r>
              <w:rPr>
                <w:spacing w:val="6"/>
                <w:sz w:val="20"/>
                <w:szCs w:val="20"/>
              </w:rPr>
              <w:t>生活垃圾</w:t>
            </w:r>
          </w:p>
          <w:p w14:paraId="299CEDAF">
            <w:pPr>
              <w:pStyle w:val="6"/>
              <w:spacing w:before="62" w:line="186" w:lineRule="auto"/>
              <w:ind w:left="203"/>
              <w:rPr>
                <w:sz w:val="20"/>
                <w:szCs w:val="20"/>
              </w:rPr>
            </w:pPr>
            <w:r>
              <w:rPr>
                <w:rFonts w:ascii="Times New Roman" w:hAnsi="Times New Roman" w:eastAsia="Times New Roman" w:cs="Times New Roman"/>
                <w:sz w:val="20"/>
                <w:szCs w:val="20"/>
              </w:rPr>
              <w:t>SW</w:t>
            </w:r>
            <w:r>
              <w:rPr>
                <w:rFonts w:ascii="Times New Roman" w:hAnsi="Times New Roman" w:eastAsia="Times New Roman" w:cs="Times New Roman"/>
                <w:spacing w:val="2"/>
                <w:sz w:val="20"/>
                <w:szCs w:val="20"/>
              </w:rPr>
              <w:t>61</w:t>
            </w:r>
            <w:r>
              <w:rPr>
                <w:spacing w:val="2"/>
                <w:sz w:val="20"/>
                <w:szCs w:val="20"/>
              </w:rPr>
              <w:t>、</w:t>
            </w:r>
          </w:p>
          <w:p w14:paraId="16B1A64A">
            <w:pPr>
              <w:spacing w:before="54" w:line="195" w:lineRule="auto"/>
              <w:ind w:left="308"/>
              <w:rPr>
                <w:rFonts w:ascii="Times New Roman" w:hAnsi="Times New Roman" w:eastAsia="Times New Roman" w:cs="Times New Roman"/>
                <w:sz w:val="20"/>
                <w:szCs w:val="20"/>
              </w:rPr>
            </w:pPr>
            <w:r>
              <w:rPr>
                <w:rFonts w:ascii="Times New Roman" w:hAnsi="Times New Roman" w:eastAsia="Times New Roman" w:cs="Times New Roman"/>
                <w:sz w:val="20"/>
                <w:szCs w:val="20"/>
              </w:rPr>
              <w:t>SW</w:t>
            </w:r>
            <w:r>
              <w:rPr>
                <w:rFonts w:ascii="Times New Roman" w:hAnsi="Times New Roman" w:eastAsia="Times New Roman" w:cs="Times New Roman"/>
                <w:spacing w:val="4"/>
                <w:sz w:val="20"/>
                <w:szCs w:val="20"/>
              </w:rPr>
              <w:t>62</w:t>
            </w:r>
          </w:p>
        </w:tc>
      </w:tr>
      <w:tr w14:paraId="7A0B58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495" w:type="dxa"/>
            <w:vMerge w:val="continue"/>
            <w:tcBorders>
              <w:top w:val="nil"/>
              <w:left w:val="single" w:color="000000" w:sz="6" w:space="0"/>
              <w:bottom w:val="nil"/>
              <w:right w:val="single" w:color="000000" w:sz="2" w:space="0"/>
            </w:tcBorders>
            <w:vAlign w:val="top"/>
          </w:tcPr>
          <w:p w14:paraId="56EB5AB1">
            <w:pPr>
              <w:rPr>
                <w:rFonts w:ascii="Arial"/>
                <w:sz w:val="21"/>
              </w:rPr>
            </w:pPr>
          </w:p>
        </w:tc>
        <w:tc>
          <w:tcPr>
            <w:tcW w:w="8406" w:type="dxa"/>
            <w:gridSpan w:val="21"/>
            <w:tcBorders>
              <w:top w:val="single" w:color="000000" w:sz="10" w:space="0"/>
              <w:left w:val="single" w:color="000000" w:sz="2" w:space="0"/>
              <w:bottom w:val="single" w:color="000000" w:sz="10" w:space="0"/>
              <w:right w:val="single" w:color="000000" w:sz="6" w:space="0"/>
            </w:tcBorders>
            <w:vAlign w:val="top"/>
          </w:tcPr>
          <w:p w14:paraId="4758E3E8">
            <w:pPr>
              <w:spacing w:before="36" w:line="207" w:lineRule="auto"/>
              <w:ind w:left="2788"/>
              <w:rPr>
                <w:rFonts w:ascii="黑体" w:hAnsi="黑体" w:eastAsia="黑体" w:cs="黑体"/>
                <w:sz w:val="24"/>
                <w:szCs w:val="24"/>
              </w:rPr>
            </w:pPr>
            <w:r>
              <w:rPr>
                <w:rFonts w:ascii="黑体" w:hAnsi="黑体" w:eastAsia="黑体" w:cs="黑体"/>
                <w:spacing w:val="-1"/>
                <w:sz w:val="24"/>
                <w:szCs w:val="24"/>
              </w:rPr>
              <w:t>表</w:t>
            </w:r>
            <w:r>
              <w:rPr>
                <w:rFonts w:ascii="Times New Roman" w:hAnsi="Times New Roman" w:eastAsia="Times New Roman" w:cs="Times New Roman"/>
                <w:spacing w:val="-1"/>
                <w:sz w:val="24"/>
                <w:szCs w:val="24"/>
              </w:rPr>
              <w:t xml:space="preserve">4-8  </w:t>
            </w:r>
            <w:r>
              <w:rPr>
                <w:rFonts w:ascii="黑体" w:hAnsi="黑体" w:eastAsia="黑体" w:cs="黑体"/>
                <w:spacing w:val="-1"/>
                <w:sz w:val="24"/>
                <w:szCs w:val="24"/>
              </w:rPr>
              <w:t>危险废物产生情况一览表</w:t>
            </w:r>
          </w:p>
        </w:tc>
      </w:tr>
      <w:tr w14:paraId="20394A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495" w:type="dxa"/>
            <w:vMerge w:val="continue"/>
            <w:tcBorders>
              <w:top w:val="nil"/>
              <w:left w:val="single" w:color="000000" w:sz="6" w:space="0"/>
              <w:bottom w:val="nil"/>
              <w:right w:val="single" w:color="000000" w:sz="2" w:space="0"/>
            </w:tcBorders>
            <w:vAlign w:val="top"/>
          </w:tcPr>
          <w:p w14:paraId="27F6F1EC">
            <w:pPr>
              <w:rPr>
                <w:rFonts w:ascii="Arial"/>
                <w:sz w:val="21"/>
              </w:rPr>
            </w:pPr>
          </w:p>
        </w:tc>
        <w:tc>
          <w:tcPr>
            <w:tcW w:w="523" w:type="dxa"/>
            <w:tcBorders>
              <w:top w:val="single" w:color="000000" w:sz="10" w:space="0"/>
              <w:left w:val="single" w:color="000000" w:sz="2" w:space="0"/>
            </w:tcBorders>
            <w:textDirection w:val="tbRlV"/>
            <w:vAlign w:val="top"/>
          </w:tcPr>
          <w:p w14:paraId="08DD2757">
            <w:pPr>
              <w:pStyle w:val="6"/>
              <w:spacing w:before="112" w:line="218" w:lineRule="auto"/>
              <w:ind w:left="41"/>
              <w:rPr>
                <w:sz w:val="20"/>
                <w:szCs w:val="20"/>
              </w:rPr>
            </w:pPr>
            <w:r>
              <w:rPr>
                <w:spacing w:val="8"/>
                <w:sz w:val="20"/>
                <w:szCs w:val="20"/>
              </w:rPr>
              <w:t>序</w:t>
            </w:r>
            <w:r>
              <w:rPr>
                <w:spacing w:val="-35"/>
                <w:sz w:val="20"/>
                <w:szCs w:val="20"/>
              </w:rPr>
              <w:t xml:space="preserve"> </w:t>
            </w:r>
            <w:r>
              <w:rPr>
                <w:spacing w:val="8"/>
                <w:sz w:val="20"/>
                <w:szCs w:val="20"/>
              </w:rPr>
              <w:t>号</w:t>
            </w:r>
          </w:p>
        </w:tc>
        <w:tc>
          <w:tcPr>
            <w:tcW w:w="770" w:type="dxa"/>
            <w:tcBorders>
              <w:top w:val="single" w:color="000000" w:sz="10" w:space="0"/>
            </w:tcBorders>
            <w:vAlign w:val="top"/>
          </w:tcPr>
          <w:p w14:paraId="0DA537B4">
            <w:pPr>
              <w:pStyle w:val="6"/>
              <w:spacing w:before="41" w:line="228" w:lineRule="auto"/>
              <w:ind w:left="52"/>
              <w:rPr>
                <w:sz w:val="20"/>
                <w:szCs w:val="20"/>
              </w:rPr>
            </w:pPr>
            <w:r>
              <w:rPr>
                <w:spacing w:val="6"/>
                <w:sz w:val="20"/>
                <w:szCs w:val="20"/>
              </w:rPr>
              <w:t>危险废</w:t>
            </w:r>
          </w:p>
          <w:p w14:paraId="21861151">
            <w:pPr>
              <w:pStyle w:val="6"/>
              <w:spacing w:before="25" w:line="221" w:lineRule="auto"/>
              <w:ind w:left="50"/>
              <w:rPr>
                <w:sz w:val="20"/>
                <w:szCs w:val="20"/>
              </w:rPr>
            </w:pPr>
            <w:r>
              <w:rPr>
                <w:spacing w:val="6"/>
                <w:sz w:val="20"/>
                <w:szCs w:val="20"/>
              </w:rPr>
              <w:t>物名称</w:t>
            </w:r>
          </w:p>
        </w:tc>
        <w:tc>
          <w:tcPr>
            <w:tcW w:w="771" w:type="dxa"/>
            <w:gridSpan w:val="3"/>
            <w:tcBorders>
              <w:top w:val="single" w:color="000000" w:sz="10" w:space="0"/>
            </w:tcBorders>
            <w:vAlign w:val="top"/>
          </w:tcPr>
          <w:p w14:paraId="71D4A257">
            <w:pPr>
              <w:pStyle w:val="6"/>
              <w:spacing w:before="41" w:line="228" w:lineRule="auto"/>
              <w:ind w:left="53"/>
              <w:rPr>
                <w:sz w:val="20"/>
                <w:szCs w:val="20"/>
              </w:rPr>
            </w:pPr>
            <w:r>
              <w:rPr>
                <w:spacing w:val="6"/>
                <w:sz w:val="20"/>
                <w:szCs w:val="20"/>
              </w:rPr>
              <w:t>危险废</w:t>
            </w:r>
          </w:p>
          <w:p w14:paraId="709A4C80">
            <w:pPr>
              <w:pStyle w:val="6"/>
              <w:spacing w:before="25" w:line="221" w:lineRule="auto"/>
              <w:ind w:left="50"/>
              <w:rPr>
                <w:sz w:val="20"/>
                <w:szCs w:val="20"/>
              </w:rPr>
            </w:pPr>
            <w:r>
              <w:rPr>
                <w:spacing w:val="6"/>
                <w:sz w:val="20"/>
                <w:szCs w:val="20"/>
              </w:rPr>
              <w:t>物类别</w:t>
            </w:r>
          </w:p>
        </w:tc>
        <w:tc>
          <w:tcPr>
            <w:tcW w:w="1149" w:type="dxa"/>
            <w:gridSpan w:val="3"/>
            <w:tcBorders>
              <w:top w:val="single" w:color="000000" w:sz="10" w:space="0"/>
            </w:tcBorders>
            <w:vAlign w:val="top"/>
          </w:tcPr>
          <w:p w14:paraId="06D90DA0">
            <w:pPr>
              <w:pStyle w:val="6"/>
              <w:spacing w:before="40" w:line="237" w:lineRule="auto"/>
              <w:ind w:left="470" w:right="45" w:hanging="416"/>
              <w:rPr>
                <w:sz w:val="20"/>
                <w:szCs w:val="20"/>
              </w:rPr>
            </w:pPr>
            <w:r>
              <w:rPr>
                <w:spacing w:val="7"/>
                <w:sz w:val="20"/>
                <w:szCs w:val="20"/>
              </w:rPr>
              <w:t>危险废物代</w:t>
            </w:r>
            <w:r>
              <w:rPr>
                <w:spacing w:val="1"/>
                <w:sz w:val="20"/>
                <w:szCs w:val="20"/>
              </w:rPr>
              <w:t>码</w:t>
            </w:r>
          </w:p>
        </w:tc>
        <w:tc>
          <w:tcPr>
            <w:tcW w:w="810" w:type="dxa"/>
            <w:gridSpan w:val="2"/>
            <w:tcBorders>
              <w:top w:val="single" w:color="000000" w:sz="10" w:space="0"/>
            </w:tcBorders>
            <w:vAlign w:val="top"/>
          </w:tcPr>
          <w:p w14:paraId="25BC68E7">
            <w:pPr>
              <w:pStyle w:val="6"/>
              <w:spacing w:before="40" w:line="237" w:lineRule="auto"/>
              <w:ind w:left="125" w:right="63" w:hanging="10"/>
              <w:rPr>
                <w:sz w:val="20"/>
                <w:szCs w:val="20"/>
              </w:rPr>
            </w:pPr>
            <w:r>
              <w:rPr>
                <w:spacing w:val="6"/>
                <w:sz w:val="20"/>
                <w:szCs w:val="20"/>
              </w:rPr>
              <w:t>产生量</w:t>
            </w:r>
            <w:r>
              <w:rPr>
                <w:sz w:val="20"/>
                <w:szCs w:val="20"/>
              </w:rPr>
              <w:t>（</w:t>
            </w:r>
            <w:r>
              <w:rPr>
                <w:rFonts w:ascii="Times New Roman" w:hAnsi="Times New Roman" w:eastAsia="Times New Roman" w:cs="Times New Roman"/>
                <w:sz w:val="20"/>
                <w:szCs w:val="20"/>
              </w:rPr>
              <w:t>t/a</w:t>
            </w:r>
            <w:r>
              <w:rPr>
                <w:sz w:val="20"/>
                <w:szCs w:val="20"/>
              </w:rPr>
              <w:t>）</w:t>
            </w:r>
          </w:p>
        </w:tc>
        <w:tc>
          <w:tcPr>
            <w:tcW w:w="990" w:type="dxa"/>
            <w:gridSpan w:val="3"/>
            <w:tcBorders>
              <w:top w:val="single" w:color="000000" w:sz="10" w:space="0"/>
            </w:tcBorders>
            <w:vAlign w:val="top"/>
          </w:tcPr>
          <w:p w14:paraId="307F2D69">
            <w:pPr>
              <w:pStyle w:val="6"/>
              <w:spacing w:before="40" w:line="237" w:lineRule="auto"/>
              <w:ind w:left="206" w:right="48" w:hanging="104"/>
              <w:rPr>
                <w:sz w:val="20"/>
                <w:szCs w:val="20"/>
              </w:rPr>
            </w:pPr>
            <w:r>
              <w:rPr>
                <w:spacing w:val="7"/>
                <w:sz w:val="20"/>
                <w:szCs w:val="20"/>
              </w:rPr>
              <w:t>产生工序及装置</w:t>
            </w:r>
          </w:p>
        </w:tc>
        <w:tc>
          <w:tcPr>
            <w:tcW w:w="471" w:type="dxa"/>
            <w:gridSpan w:val="2"/>
            <w:tcBorders>
              <w:top w:val="single" w:color="000000" w:sz="10" w:space="0"/>
            </w:tcBorders>
            <w:textDirection w:val="tbRlV"/>
            <w:vAlign w:val="top"/>
          </w:tcPr>
          <w:p w14:paraId="38FDA169">
            <w:pPr>
              <w:pStyle w:val="6"/>
              <w:spacing w:before="98" w:line="218" w:lineRule="auto"/>
              <w:ind w:left="41"/>
              <w:rPr>
                <w:sz w:val="20"/>
                <w:szCs w:val="20"/>
              </w:rPr>
            </w:pPr>
            <w:r>
              <w:rPr>
                <w:spacing w:val="8"/>
                <w:sz w:val="20"/>
                <w:szCs w:val="20"/>
              </w:rPr>
              <w:t>形</w:t>
            </w:r>
            <w:r>
              <w:rPr>
                <w:spacing w:val="-35"/>
                <w:sz w:val="20"/>
                <w:szCs w:val="20"/>
              </w:rPr>
              <w:t xml:space="preserve"> </w:t>
            </w:r>
            <w:r>
              <w:rPr>
                <w:spacing w:val="8"/>
                <w:sz w:val="20"/>
                <w:szCs w:val="20"/>
              </w:rPr>
              <w:t>态</w:t>
            </w:r>
          </w:p>
        </w:tc>
        <w:tc>
          <w:tcPr>
            <w:tcW w:w="552" w:type="dxa"/>
            <w:tcBorders>
              <w:top w:val="single" w:color="000000" w:sz="10" w:space="0"/>
            </w:tcBorders>
            <w:vAlign w:val="top"/>
          </w:tcPr>
          <w:p w14:paraId="297FB502">
            <w:pPr>
              <w:pStyle w:val="6"/>
              <w:spacing w:before="40" w:line="231" w:lineRule="auto"/>
              <w:ind w:left="87"/>
              <w:rPr>
                <w:sz w:val="20"/>
                <w:szCs w:val="20"/>
              </w:rPr>
            </w:pPr>
            <w:r>
              <w:rPr>
                <w:spacing w:val="3"/>
                <w:sz w:val="20"/>
                <w:szCs w:val="20"/>
              </w:rPr>
              <w:t>主要</w:t>
            </w:r>
          </w:p>
          <w:p w14:paraId="7B7E7BC3">
            <w:pPr>
              <w:pStyle w:val="6"/>
              <w:spacing w:before="23" w:line="221" w:lineRule="auto"/>
              <w:ind w:left="87"/>
              <w:rPr>
                <w:sz w:val="20"/>
                <w:szCs w:val="20"/>
              </w:rPr>
            </w:pPr>
            <w:r>
              <w:rPr>
                <w:spacing w:val="3"/>
                <w:sz w:val="20"/>
                <w:szCs w:val="20"/>
              </w:rPr>
              <w:t>成分</w:t>
            </w:r>
          </w:p>
        </w:tc>
        <w:tc>
          <w:tcPr>
            <w:tcW w:w="693" w:type="dxa"/>
            <w:tcBorders>
              <w:top w:val="single" w:color="000000" w:sz="10" w:space="0"/>
            </w:tcBorders>
            <w:vAlign w:val="top"/>
          </w:tcPr>
          <w:p w14:paraId="23F6FFCC">
            <w:pPr>
              <w:pStyle w:val="6"/>
              <w:spacing w:before="40" w:line="228" w:lineRule="auto"/>
              <w:ind w:left="134"/>
              <w:rPr>
                <w:sz w:val="20"/>
                <w:szCs w:val="20"/>
              </w:rPr>
            </w:pPr>
            <w:r>
              <w:rPr>
                <w:spacing w:val="4"/>
                <w:sz w:val="20"/>
                <w:szCs w:val="20"/>
              </w:rPr>
              <w:t>产废</w:t>
            </w:r>
          </w:p>
          <w:p w14:paraId="1318B414">
            <w:pPr>
              <w:pStyle w:val="6"/>
              <w:spacing w:before="26" w:line="221" w:lineRule="auto"/>
              <w:ind w:left="134"/>
              <w:rPr>
                <w:sz w:val="20"/>
                <w:szCs w:val="20"/>
              </w:rPr>
            </w:pPr>
            <w:r>
              <w:rPr>
                <w:spacing w:val="4"/>
                <w:sz w:val="20"/>
                <w:szCs w:val="20"/>
              </w:rPr>
              <w:t>周期</w:t>
            </w:r>
          </w:p>
        </w:tc>
        <w:tc>
          <w:tcPr>
            <w:tcW w:w="707" w:type="dxa"/>
            <w:gridSpan w:val="2"/>
            <w:tcBorders>
              <w:top w:val="single" w:color="000000" w:sz="10" w:space="0"/>
            </w:tcBorders>
            <w:vAlign w:val="top"/>
          </w:tcPr>
          <w:p w14:paraId="114F0904">
            <w:pPr>
              <w:pStyle w:val="6"/>
              <w:spacing w:before="41" w:line="228" w:lineRule="auto"/>
              <w:ind w:left="137"/>
              <w:rPr>
                <w:sz w:val="20"/>
                <w:szCs w:val="20"/>
              </w:rPr>
            </w:pPr>
            <w:r>
              <w:rPr>
                <w:spacing w:val="3"/>
                <w:sz w:val="20"/>
                <w:szCs w:val="20"/>
              </w:rPr>
              <w:t>危险</w:t>
            </w:r>
          </w:p>
          <w:p w14:paraId="74F3B5A2">
            <w:pPr>
              <w:pStyle w:val="6"/>
              <w:spacing w:before="25" w:line="221" w:lineRule="auto"/>
              <w:ind w:left="134"/>
              <w:rPr>
                <w:sz w:val="20"/>
                <w:szCs w:val="20"/>
              </w:rPr>
            </w:pPr>
            <w:r>
              <w:rPr>
                <w:spacing w:val="4"/>
                <w:sz w:val="20"/>
                <w:szCs w:val="20"/>
              </w:rPr>
              <w:t>特性</w:t>
            </w:r>
          </w:p>
        </w:tc>
        <w:tc>
          <w:tcPr>
            <w:tcW w:w="970" w:type="dxa"/>
            <w:gridSpan w:val="2"/>
            <w:tcBorders>
              <w:top w:val="single" w:color="000000" w:sz="10" w:space="0"/>
              <w:right w:val="single" w:color="000000" w:sz="6" w:space="0"/>
            </w:tcBorders>
            <w:vAlign w:val="top"/>
          </w:tcPr>
          <w:p w14:paraId="0CCE0D04">
            <w:pPr>
              <w:pStyle w:val="6"/>
              <w:spacing w:before="41" w:line="228" w:lineRule="auto"/>
              <w:ind w:left="113"/>
              <w:rPr>
                <w:sz w:val="20"/>
                <w:szCs w:val="20"/>
              </w:rPr>
            </w:pPr>
            <w:r>
              <w:rPr>
                <w:spacing w:val="6"/>
                <w:sz w:val="20"/>
                <w:szCs w:val="20"/>
              </w:rPr>
              <w:t>污染防</w:t>
            </w:r>
          </w:p>
          <w:p w14:paraId="13B145C7">
            <w:pPr>
              <w:pStyle w:val="6"/>
              <w:spacing w:before="25" w:line="221" w:lineRule="auto"/>
              <w:ind w:left="116"/>
              <w:rPr>
                <w:sz w:val="20"/>
                <w:szCs w:val="20"/>
              </w:rPr>
            </w:pPr>
            <w:r>
              <w:rPr>
                <w:spacing w:val="5"/>
                <w:sz w:val="20"/>
                <w:szCs w:val="20"/>
              </w:rPr>
              <w:t>治措施</w:t>
            </w:r>
          </w:p>
        </w:tc>
      </w:tr>
      <w:tr w14:paraId="74241D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495" w:type="dxa"/>
            <w:vMerge w:val="continue"/>
            <w:tcBorders>
              <w:top w:val="nil"/>
              <w:left w:val="single" w:color="000000" w:sz="6" w:space="0"/>
              <w:bottom w:val="nil"/>
              <w:right w:val="single" w:color="000000" w:sz="2" w:space="0"/>
            </w:tcBorders>
            <w:vAlign w:val="top"/>
          </w:tcPr>
          <w:p w14:paraId="323022DF">
            <w:pPr>
              <w:rPr>
                <w:rFonts w:ascii="Arial"/>
                <w:sz w:val="21"/>
              </w:rPr>
            </w:pPr>
          </w:p>
        </w:tc>
        <w:tc>
          <w:tcPr>
            <w:tcW w:w="523" w:type="dxa"/>
            <w:tcBorders>
              <w:left w:val="single" w:color="000000" w:sz="2" w:space="0"/>
            </w:tcBorders>
            <w:vAlign w:val="top"/>
          </w:tcPr>
          <w:p w14:paraId="16176270">
            <w:pPr>
              <w:spacing w:before="211" w:line="195" w:lineRule="auto"/>
              <w:ind w:left="26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70" w:type="dxa"/>
            <w:vAlign w:val="top"/>
          </w:tcPr>
          <w:p w14:paraId="7F6892A4">
            <w:pPr>
              <w:pStyle w:val="6"/>
              <w:spacing w:before="38" w:line="231" w:lineRule="auto"/>
              <w:ind w:left="261" w:right="88" w:hanging="212"/>
              <w:rPr>
                <w:sz w:val="20"/>
                <w:szCs w:val="20"/>
              </w:rPr>
            </w:pPr>
            <w:r>
              <w:rPr>
                <w:spacing w:val="7"/>
                <w:sz w:val="20"/>
                <w:szCs w:val="20"/>
              </w:rPr>
              <w:t>废润滑</w:t>
            </w:r>
            <w:r>
              <w:rPr>
                <w:sz w:val="20"/>
                <w:szCs w:val="20"/>
              </w:rPr>
              <w:t>油</w:t>
            </w:r>
          </w:p>
        </w:tc>
        <w:tc>
          <w:tcPr>
            <w:tcW w:w="771" w:type="dxa"/>
            <w:gridSpan w:val="3"/>
            <w:vAlign w:val="top"/>
          </w:tcPr>
          <w:p w14:paraId="595CD799">
            <w:pPr>
              <w:spacing w:before="211" w:line="195" w:lineRule="auto"/>
              <w:ind w:left="82"/>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08</w:t>
            </w:r>
          </w:p>
        </w:tc>
        <w:tc>
          <w:tcPr>
            <w:tcW w:w="1149" w:type="dxa"/>
            <w:gridSpan w:val="3"/>
            <w:vAlign w:val="top"/>
          </w:tcPr>
          <w:p w14:paraId="16E2D136">
            <w:pPr>
              <w:spacing w:before="211" w:line="195" w:lineRule="auto"/>
              <w:ind w:left="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900-214-08</w:t>
            </w:r>
          </w:p>
        </w:tc>
        <w:tc>
          <w:tcPr>
            <w:tcW w:w="810" w:type="dxa"/>
            <w:gridSpan w:val="2"/>
            <w:vAlign w:val="top"/>
          </w:tcPr>
          <w:p w14:paraId="116A301D">
            <w:pPr>
              <w:spacing w:before="211" w:line="195" w:lineRule="auto"/>
              <w:ind w:left="2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0.15</w:t>
            </w:r>
          </w:p>
        </w:tc>
        <w:tc>
          <w:tcPr>
            <w:tcW w:w="990" w:type="dxa"/>
            <w:gridSpan w:val="3"/>
            <w:vAlign w:val="top"/>
          </w:tcPr>
          <w:p w14:paraId="5739A3A5">
            <w:pPr>
              <w:pStyle w:val="6"/>
              <w:spacing w:before="38" w:line="231" w:lineRule="auto"/>
              <w:ind w:left="422" w:right="48" w:hanging="320"/>
              <w:rPr>
                <w:sz w:val="20"/>
                <w:szCs w:val="20"/>
              </w:rPr>
            </w:pPr>
            <w:r>
              <w:rPr>
                <w:spacing w:val="7"/>
                <w:sz w:val="20"/>
                <w:szCs w:val="20"/>
              </w:rPr>
              <w:t>钻井、试</w:t>
            </w:r>
            <w:r>
              <w:rPr>
                <w:sz w:val="20"/>
                <w:szCs w:val="20"/>
              </w:rPr>
              <w:t>油</w:t>
            </w:r>
          </w:p>
        </w:tc>
        <w:tc>
          <w:tcPr>
            <w:tcW w:w="471" w:type="dxa"/>
            <w:gridSpan w:val="2"/>
            <w:textDirection w:val="tbRlV"/>
            <w:vAlign w:val="top"/>
          </w:tcPr>
          <w:p w14:paraId="406B9842">
            <w:pPr>
              <w:pStyle w:val="6"/>
              <w:spacing w:before="99" w:line="216" w:lineRule="auto"/>
              <w:ind w:left="38"/>
              <w:rPr>
                <w:sz w:val="20"/>
                <w:szCs w:val="20"/>
              </w:rPr>
            </w:pPr>
            <w:r>
              <w:rPr>
                <w:spacing w:val="8"/>
                <w:sz w:val="20"/>
                <w:szCs w:val="20"/>
              </w:rPr>
              <w:t>液</w:t>
            </w:r>
            <w:r>
              <w:rPr>
                <w:spacing w:val="-35"/>
                <w:sz w:val="20"/>
                <w:szCs w:val="20"/>
              </w:rPr>
              <w:t xml:space="preserve"> </w:t>
            </w:r>
            <w:r>
              <w:rPr>
                <w:spacing w:val="8"/>
                <w:sz w:val="20"/>
                <w:szCs w:val="20"/>
              </w:rPr>
              <w:t>态</w:t>
            </w:r>
          </w:p>
        </w:tc>
        <w:tc>
          <w:tcPr>
            <w:tcW w:w="552" w:type="dxa"/>
            <w:vAlign w:val="top"/>
          </w:tcPr>
          <w:p w14:paraId="16E1FBE3">
            <w:pPr>
              <w:pStyle w:val="6"/>
              <w:spacing w:before="38" w:line="231" w:lineRule="auto"/>
              <w:ind w:left="192" w:right="46" w:hanging="107"/>
              <w:rPr>
                <w:sz w:val="20"/>
                <w:szCs w:val="20"/>
              </w:rPr>
            </w:pPr>
            <w:r>
              <w:rPr>
                <w:spacing w:val="5"/>
                <w:sz w:val="20"/>
                <w:szCs w:val="20"/>
              </w:rPr>
              <w:t>矿物</w:t>
            </w:r>
            <w:r>
              <w:rPr>
                <w:sz w:val="20"/>
                <w:szCs w:val="20"/>
              </w:rPr>
              <w:t>油</w:t>
            </w:r>
          </w:p>
        </w:tc>
        <w:tc>
          <w:tcPr>
            <w:tcW w:w="693" w:type="dxa"/>
            <w:vAlign w:val="top"/>
          </w:tcPr>
          <w:p w14:paraId="6817C625">
            <w:pPr>
              <w:pStyle w:val="6"/>
              <w:spacing w:before="38" w:line="231" w:lineRule="auto"/>
              <w:ind w:left="241" w:right="139" w:hanging="108"/>
              <w:rPr>
                <w:sz w:val="20"/>
                <w:szCs w:val="20"/>
              </w:rPr>
            </w:pPr>
            <w:r>
              <w:rPr>
                <w:spacing w:val="5"/>
                <w:sz w:val="20"/>
                <w:szCs w:val="20"/>
              </w:rPr>
              <w:t>勘探</w:t>
            </w:r>
            <w:r>
              <w:rPr>
                <w:sz w:val="20"/>
                <w:szCs w:val="20"/>
              </w:rPr>
              <w:t>期</w:t>
            </w:r>
          </w:p>
        </w:tc>
        <w:tc>
          <w:tcPr>
            <w:tcW w:w="707" w:type="dxa"/>
            <w:gridSpan w:val="2"/>
            <w:vAlign w:val="top"/>
          </w:tcPr>
          <w:p w14:paraId="211D7260">
            <w:pPr>
              <w:pStyle w:val="6"/>
              <w:spacing w:before="214" w:line="183" w:lineRule="auto"/>
              <w:ind w:left="13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T</w:t>
            </w:r>
            <w:r>
              <w:rPr>
                <w:rFonts w:ascii="Times New Roman" w:hAnsi="Times New Roman" w:eastAsia="Times New Roman" w:cs="Times New Roman"/>
                <w:spacing w:val="-21"/>
                <w:sz w:val="20"/>
                <w:szCs w:val="20"/>
              </w:rPr>
              <w:t xml:space="preserve"> </w:t>
            </w:r>
            <w:r>
              <w:rPr>
                <w:spacing w:val="-5"/>
                <w:sz w:val="20"/>
                <w:szCs w:val="20"/>
              </w:rPr>
              <w:t>，</w:t>
            </w:r>
            <w:r>
              <w:rPr>
                <w:rFonts w:ascii="Times New Roman" w:hAnsi="Times New Roman" w:eastAsia="Times New Roman" w:cs="Times New Roman"/>
                <w:spacing w:val="-5"/>
                <w:sz w:val="20"/>
                <w:szCs w:val="20"/>
              </w:rPr>
              <w:t>I</w:t>
            </w:r>
          </w:p>
        </w:tc>
        <w:tc>
          <w:tcPr>
            <w:tcW w:w="970" w:type="dxa"/>
            <w:gridSpan w:val="2"/>
            <w:vMerge w:val="restart"/>
            <w:tcBorders>
              <w:bottom w:val="nil"/>
              <w:right w:val="single" w:color="000000" w:sz="6" w:space="0"/>
            </w:tcBorders>
            <w:vAlign w:val="top"/>
          </w:tcPr>
          <w:p w14:paraId="1A4DE42C">
            <w:pPr>
              <w:pStyle w:val="6"/>
              <w:spacing w:before="52" w:line="252" w:lineRule="auto"/>
              <w:ind w:left="18" w:right="158" w:firstLine="94"/>
              <w:jc w:val="both"/>
              <w:rPr>
                <w:sz w:val="20"/>
                <w:szCs w:val="20"/>
              </w:rPr>
            </w:pPr>
            <w:r>
              <w:rPr>
                <w:spacing w:val="6"/>
                <w:sz w:val="20"/>
                <w:szCs w:val="20"/>
              </w:rPr>
              <w:t>专用容</w:t>
            </w:r>
            <w:r>
              <w:rPr>
                <w:spacing w:val="-5"/>
                <w:sz w:val="20"/>
                <w:szCs w:val="20"/>
              </w:rPr>
              <w:t>器收集，</w:t>
            </w:r>
            <w:r>
              <w:rPr>
                <w:spacing w:val="38"/>
                <w:sz w:val="20"/>
                <w:szCs w:val="20"/>
              </w:rPr>
              <w:t>定期由</w:t>
            </w:r>
          </w:p>
          <w:p w14:paraId="3EDCB7B1">
            <w:pPr>
              <w:pStyle w:val="6"/>
              <w:spacing w:line="228" w:lineRule="auto"/>
              <w:ind w:left="112"/>
              <w:rPr>
                <w:sz w:val="20"/>
                <w:szCs w:val="20"/>
              </w:rPr>
            </w:pPr>
            <w:r>
              <w:rPr>
                <w:spacing w:val="6"/>
                <w:sz w:val="20"/>
                <w:szCs w:val="20"/>
              </w:rPr>
              <w:t>有资质</w:t>
            </w:r>
          </w:p>
          <w:p w14:paraId="58EA6F48">
            <w:pPr>
              <w:pStyle w:val="6"/>
              <w:spacing w:before="24" w:line="228" w:lineRule="auto"/>
              <w:ind w:left="128"/>
              <w:rPr>
                <w:sz w:val="20"/>
                <w:szCs w:val="20"/>
              </w:rPr>
            </w:pPr>
            <w:r>
              <w:rPr>
                <w:spacing w:val="1"/>
                <w:sz w:val="20"/>
                <w:szCs w:val="20"/>
              </w:rPr>
              <w:t>的单位</w:t>
            </w:r>
          </w:p>
          <w:p w14:paraId="74358545">
            <w:pPr>
              <w:pStyle w:val="6"/>
              <w:spacing w:before="23" w:line="231" w:lineRule="auto"/>
              <w:ind w:left="115"/>
              <w:rPr>
                <w:sz w:val="20"/>
                <w:szCs w:val="20"/>
              </w:rPr>
            </w:pPr>
            <w:r>
              <w:rPr>
                <w:spacing w:val="1"/>
                <w:sz w:val="20"/>
                <w:szCs w:val="20"/>
              </w:rPr>
              <w:t>处置。</w:t>
            </w:r>
          </w:p>
        </w:tc>
      </w:tr>
      <w:tr w14:paraId="45608D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trPr>
        <w:tc>
          <w:tcPr>
            <w:tcW w:w="495" w:type="dxa"/>
            <w:vMerge w:val="continue"/>
            <w:tcBorders>
              <w:top w:val="nil"/>
              <w:left w:val="single" w:color="000000" w:sz="6" w:space="0"/>
              <w:bottom w:val="nil"/>
              <w:right w:val="single" w:color="000000" w:sz="2" w:space="0"/>
            </w:tcBorders>
            <w:vAlign w:val="top"/>
          </w:tcPr>
          <w:p w14:paraId="19BB6933">
            <w:pPr>
              <w:rPr>
                <w:rFonts w:ascii="Arial"/>
                <w:sz w:val="21"/>
              </w:rPr>
            </w:pPr>
          </w:p>
        </w:tc>
        <w:tc>
          <w:tcPr>
            <w:tcW w:w="523" w:type="dxa"/>
            <w:tcBorders>
              <w:left w:val="single" w:color="000000" w:sz="2" w:space="0"/>
            </w:tcBorders>
            <w:vAlign w:val="top"/>
          </w:tcPr>
          <w:p w14:paraId="14139C4B">
            <w:pPr>
              <w:spacing w:before="211" w:line="195" w:lineRule="auto"/>
              <w:ind w:left="24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770" w:type="dxa"/>
            <w:vAlign w:val="top"/>
          </w:tcPr>
          <w:p w14:paraId="2E79E7B8">
            <w:pPr>
              <w:pStyle w:val="6"/>
              <w:spacing w:before="175" w:line="229" w:lineRule="auto"/>
              <w:ind w:left="51"/>
              <w:rPr>
                <w:sz w:val="20"/>
                <w:szCs w:val="20"/>
              </w:rPr>
            </w:pPr>
            <w:r>
              <w:rPr>
                <w:spacing w:val="6"/>
                <w:sz w:val="20"/>
                <w:szCs w:val="20"/>
              </w:rPr>
              <w:t>落地油</w:t>
            </w:r>
          </w:p>
        </w:tc>
        <w:tc>
          <w:tcPr>
            <w:tcW w:w="771" w:type="dxa"/>
            <w:gridSpan w:val="3"/>
            <w:vAlign w:val="top"/>
          </w:tcPr>
          <w:p w14:paraId="18558648">
            <w:pPr>
              <w:spacing w:before="211" w:line="195" w:lineRule="auto"/>
              <w:ind w:left="82"/>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08</w:t>
            </w:r>
          </w:p>
        </w:tc>
        <w:tc>
          <w:tcPr>
            <w:tcW w:w="1149" w:type="dxa"/>
            <w:gridSpan w:val="3"/>
            <w:vAlign w:val="top"/>
          </w:tcPr>
          <w:p w14:paraId="40FC8DC2">
            <w:pPr>
              <w:spacing w:before="211" w:line="195" w:lineRule="auto"/>
              <w:ind w:left="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071-001-08</w:t>
            </w:r>
          </w:p>
        </w:tc>
        <w:tc>
          <w:tcPr>
            <w:tcW w:w="810" w:type="dxa"/>
            <w:gridSpan w:val="2"/>
            <w:vAlign w:val="top"/>
          </w:tcPr>
          <w:p w14:paraId="20ADE0A9">
            <w:pPr>
              <w:spacing w:before="211" w:line="195" w:lineRule="auto"/>
              <w:ind w:left="2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0.15</w:t>
            </w:r>
          </w:p>
        </w:tc>
        <w:tc>
          <w:tcPr>
            <w:tcW w:w="990" w:type="dxa"/>
            <w:gridSpan w:val="3"/>
            <w:vAlign w:val="top"/>
          </w:tcPr>
          <w:p w14:paraId="56AF2395">
            <w:pPr>
              <w:pStyle w:val="6"/>
              <w:spacing w:before="41" w:line="229" w:lineRule="auto"/>
              <w:ind w:left="422" w:right="48" w:hanging="320"/>
              <w:rPr>
                <w:sz w:val="20"/>
                <w:szCs w:val="20"/>
              </w:rPr>
            </w:pPr>
            <w:r>
              <w:rPr>
                <w:spacing w:val="7"/>
                <w:sz w:val="20"/>
                <w:szCs w:val="20"/>
              </w:rPr>
              <w:t>钻井、试</w:t>
            </w:r>
            <w:r>
              <w:rPr>
                <w:sz w:val="20"/>
                <w:szCs w:val="20"/>
              </w:rPr>
              <w:t>油</w:t>
            </w:r>
          </w:p>
        </w:tc>
        <w:tc>
          <w:tcPr>
            <w:tcW w:w="471" w:type="dxa"/>
            <w:gridSpan w:val="2"/>
            <w:textDirection w:val="tbRlV"/>
            <w:vAlign w:val="top"/>
          </w:tcPr>
          <w:p w14:paraId="175BB28E">
            <w:pPr>
              <w:pStyle w:val="6"/>
              <w:spacing w:before="99" w:line="216" w:lineRule="auto"/>
              <w:ind w:left="41"/>
              <w:rPr>
                <w:sz w:val="20"/>
                <w:szCs w:val="20"/>
              </w:rPr>
            </w:pPr>
            <w:r>
              <w:rPr>
                <w:spacing w:val="8"/>
                <w:sz w:val="20"/>
                <w:szCs w:val="20"/>
              </w:rPr>
              <w:t>液</w:t>
            </w:r>
            <w:r>
              <w:rPr>
                <w:spacing w:val="-38"/>
                <w:sz w:val="20"/>
                <w:szCs w:val="20"/>
              </w:rPr>
              <w:t xml:space="preserve"> </w:t>
            </w:r>
            <w:r>
              <w:rPr>
                <w:spacing w:val="8"/>
                <w:sz w:val="20"/>
                <w:szCs w:val="20"/>
              </w:rPr>
              <w:t>态</w:t>
            </w:r>
          </w:p>
        </w:tc>
        <w:tc>
          <w:tcPr>
            <w:tcW w:w="552" w:type="dxa"/>
            <w:vAlign w:val="top"/>
          </w:tcPr>
          <w:p w14:paraId="6FC9975F">
            <w:pPr>
              <w:pStyle w:val="6"/>
              <w:spacing w:before="41" w:line="229" w:lineRule="auto"/>
              <w:ind w:left="192" w:right="46" w:hanging="107"/>
              <w:rPr>
                <w:sz w:val="20"/>
                <w:szCs w:val="20"/>
              </w:rPr>
            </w:pPr>
            <w:r>
              <w:rPr>
                <w:spacing w:val="5"/>
                <w:sz w:val="20"/>
                <w:szCs w:val="20"/>
              </w:rPr>
              <w:t>矿物</w:t>
            </w:r>
            <w:r>
              <w:rPr>
                <w:sz w:val="20"/>
                <w:szCs w:val="20"/>
              </w:rPr>
              <w:t>油</w:t>
            </w:r>
          </w:p>
        </w:tc>
        <w:tc>
          <w:tcPr>
            <w:tcW w:w="693" w:type="dxa"/>
            <w:vAlign w:val="top"/>
          </w:tcPr>
          <w:p w14:paraId="10AF4288">
            <w:pPr>
              <w:pStyle w:val="6"/>
              <w:spacing w:before="41" w:line="229" w:lineRule="auto"/>
              <w:ind w:left="241" w:right="139" w:hanging="108"/>
              <w:rPr>
                <w:sz w:val="20"/>
                <w:szCs w:val="20"/>
              </w:rPr>
            </w:pPr>
            <w:r>
              <w:rPr>
                <w:spacing w:val="5"/>
                <w:sz w:val="20"/>
                <w:szCs w:val="20"/>
              </w:rPr>
              <w:t>勘探</w:t>
            </w:r>
            <w:r>
              <w:rPr>
                <w:sz w:val="20"/>
                <w:szCs w:val="20"/>
              </w:rPr>
              <w:t>期</w:t>
            </w:r>
          </w:p>
        </w:tc>
        <w:tc>
          <w:tcPr>
            <w:tcW w:w="707" w:type="dxa"/>
            <w:gridSpan w:val="2"/>
            <w:vAlign w:val="top"/>
          </w:tcPr>
          <w:p w14:paraId="3A5DDE60">
            <w:pPr>
              <w:pStyle w:val="6"/>
              <w:spacing w:before="215" w:line="183" w:lineRule="auto"/>
              <w:ind w:left="13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T</w:t>
            </w:r>
            <w:r>
              <w:rPr>
                <w:rFonts w:ascii="Times New Roman" w:hAnsi="Times New Roman" w:eastAsia="Times New Roman" w:cs="Times New Roman"/>
                <w:spacing w:val="-21"/>
                <w:sz w:val="20"/>
                <w:szCs w:val="20"/>
              </w:rPr>
              <w:t xml:space="preserve"> </w:t>
            </w:r>
            <w:r>
              <w:rPr>
                <w:spacing w:val="-5"/>
                <w:sz w:val="20"/>
                <w:szCs w:val="20"/>
              </w:rPr>
              <w:t>，</w:t>
            </w:r>
            <w:r>
              <w:rPr>
                <w:rFonts w:ascii="Times New Roman" w:hAnsi="Times New Roman" w:eastAsia="Times New Roman" w:cs="Times New Roman"/>
                <w:spacing w:val="-5"/>
                <w:sz w:val="20"/>
                <w:szCs w:val="20"/>
              </w:rPr>
              <w:t>I</w:t>
            </w:r>
          </w:p>
        </w:tc>
        <w:tc>
          <w:tcPr>
            <w:tcW w:w="970" w:type="dxa"/>
            <w:gridSpan w:val="2"/>
            <w:vMerge w:val="continue"/>
            <w:tcBorders>
              <w:top w:val="nil"/>
              <w:bottom w:val="nil"/>
              <w:right w:val="single" w:color="000000" w:sz="6" w:space="0"/>
            </w:tcBorders>
            <w:vAlign w:val="top"/>
          </w:tcPr>
          <w:p w14:paraId="689FB255">
            <w:pPr>
              <w:rPr>
                <w:rFonts w:ascii="Arial"/>
                <w:sz w:val="21"/>
              </w:rPr>
            </w:pPr>
          </w:p>
        </w:tc>
      </w:tr>
      <w:tr w14:paraId="0DED53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495" w:type="dxa"/>
            <w:vMerge w:val="continue"/>
            <w:tcBorders>
              <w:top w:val="nil"/>
              <w:left w:val="single" w:color="000000" w:sz="6" w:space="0"/>
              <w:bottom w:val="nil"/>
              <w:right w:val="single" w:color="000000" w:sz="2" w:space="0"/>
            </w:tcBorders>
            <w:vAlign w:val="top"/>
          </w:tcPr>
          <w:p w14:paraId="363F8037">
            <w:pPr>
              <w:rPr>
                <w:rFonts w:ascii="Arial"/>
                <w:sz w:val="21"/>
              </w:rPr>
            </w:pPr>
          </w:p>
        </w:tc>
        <w:tc>
          <w:tcPr>
            <w:tcW w:w="523" w:type="dxa"/>
            <w:tcBorders>
              <w:left w:val="single" w:color="000000" w:sz="2" w:space="0"/>
              <w:bottom w:val="single" w:color="000000" w:sz="10" w:space="0"/>
            </w:tcBorders>
            <w:vAlign w:val="top"/>
          </w:tcPr>
          <w:p w14:paraId="677D9DF4">
            <w:pPr>
              <w:spacing w:before="214" w:line="195" w:lineRule="auto"/>
              <w:ind w:left="25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770" w:type="dxa"/>
            <w:tcBorders>
              <w:bottom w:val="single" w:color="000000" w:sz="10" w:space="0"/>
            </w:tcBorders>
            <w:vAlign w:val="top"/>
          </w:tcPr>
          <w:p w14:paraId="763A6FD8">
            <w:pPr>
              <w:pStyle w:val="6"/>
              <w:spacing w:before="42" w:line="233" w:lineRule="auto"/>
              <w:ind w:left="153" w:right="88" w:hanging="104"/>
              <w:rPr>
                <w:sz w:val="20"/>
                <w:szCs w:val="20"/>
              </w:rPr>
            </w:pPr>
            <w:r>
              <w:rPr>
                <w:spacing w:val="7"/>
                <w:sz w:val="20"/>
                <w:szCs w:val="20"/>
              </w:rPr>
              <w:t>废防渗</w:t>
            </w:r>
            <w:r>
              <w:rPr>
                <w:spacing w:val="4"/>
                <w:sz w:val="20"/>
                <w:szCs w:val="20"/>
              </w:rPr>
              <w:t>材料</w:t>
            </w:r>
          </w:p>
        </w:tc>
        <w:tc>
          <w:tcPr>
            <w:tcW w:w="771" w:type="dxa"/>
            <w:gridSpan w:val="3"/>
            <w:tcBorders>
              <w:bottom w:val="single" w:color="000000" w:sz="10" w:space="0"/>
            </w:tcBorders>
            <w:vAlign w:val="top"/>
          </w:tcPr>
          <w:p w14:paraId="7030B8C3">
            <w:pPr>
              <w:spacing w:before="214" w:line="195" w:lineRule="auto"/>
              <w:ind w:left="82"/>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08</w:t>
            </w:r>
          </w:p>
        </w:tc>
        <w:tc>
          <w:tcPr>
            <w:tcW w:w="1149" w:type="dxa"/>
            <w:gridSpan w:val="3"/>
            <w:tcBorders>
              <w:bottom w:val="single" w:color="000000" w:sz="10" w:space="0"/>
            </w:tcBorders>
            <w:vAlign w:val="top"/>
          </w:tcPr>
          <w:p w14:paraId="63B740BD">
            <w:pPr>
              <w:spacing w:before="214" w:line="195" w:lineRule="auto"/>
              <w:ind w:left="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900-249-08</w:t>
            </w:r>
          </w:p>
        </w:tc>
        <w:tc>
          <w:tcPr>
            <w:tcW w:w="810" w:type="dxa"/>
            <w:gridSpan w:val="2"/>
            <w:tcBorders>
              <w:bottom w:val="single" w:color="000000" w:sz="10" w:space="0"/>
            </w:tcBorders>
            <w:vAlign w:val="top"/>
          </w:tcPr>
          <w:p w14:paraId="3D0DB885">
            <w:pPr>
              <w:spacing w:before="214" w:line="195" w:lineRule="auto"/>
              <w:ind w:left="29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990" w:type="dxa"/>
            <w:gridSpan w:val="3"/>
            <w:tcBorders>
              <w:bottom w:val="single" w:color="000000" w:sz="10" w:space="0"/>
            </w:tcBorders>
            <w:vAlign w:val="top"/>
          </w:tcPr>
          <w:p w14:paraId="76047F16">
            <w:pPr>
              <w:pStyle w:val="6"/>
              <w:spacing w:before="42" w:line="233" w:lineRule="auto"/>
              <w:ind w:left="422" w:right="48" w:hanging="320"/>
              <w:rPr>
                <w:sz w:val="20"/>
                <w:szCs w:val="20"/>
              </w:rPr>
            </w:pPr>
            <w:r>
              <w:rPr>
                <w:spacing w:val="7"/>
                <w:sz w:val="20"/>
                <w:szCs w:val="20"/>
              </w:rPr>
              <w:t>钻井、试</w:t>
            </w:r>
            <w:r>
              <w:rPr>
                <w:sz w:val="20"/>
                <w:szCs w:val="20"/>
              </w:rPr>
              <w:t>油</w:t>
            </w:r>
          </w:p>
        </w:tc>
        <w:tc>
          <w:tcPr>
            <w:tcW w:w="471" w:type="dxa"/>
            <w:gridSpan w:val="2"/>
            <w:tcBorders>
              <w:bottom w:val="single" w:color="000000" w:sz="10" w:space="0"/>
            </w:tcBorders>
            <w:textDirection w:val="tbRlV"/>
            <w:vAlign w:val="top"/>
          </w:tcPr>
          <w:p w14:paraId="1FC615D7">
            <w:pPr>
              <w:pStyle w:val="6"/>
              <w:spacing w:before="99" w:line="216" w:lineRule="auto"/>
              <w:ind w:left="42"/>
              <w:rPr>
                <w:sz w:val="20"/>
                <w:szCs w:val="20"/>
              </w:rPr>
            </w:pPr>
            <w:r>
              <w:rPr>
                <w:spacing w:val="8"/>
                <w:sz w:val="20"/>
                <w:szCs w:val="20"/>
              </w:rPr>
              <w:t>固</w:t>
            </w:r>
            <w:r>
              <w:rPr>
                <w:spacing w:val="-38"/>
                <w:sz w:val="20"/>
                <w:szCs w:val="20"/>
              </w:rPr>
              <w:t xml:space="preserve"> </w:t>
            </w:r>
            <w:r>
              <w:rPr>
                <w:spacing w:val="8"/>
                <w:sz w:val="20"/>
                <w:szCs w:val="20"/>
              </w:rPr>
              <w:t>体</w:t>
            </w:r>
          </w:p>
        </w:tc>
        <w:tc>
          <w:tcPr>
            <w:tcW w:w="552" w:type="dxa"/>
            <w:tcBorders>
              <w:bottom w:val="single" w:color="000000" w:sz="10" w:space="0"/>
            </w:tcBorders>
            <w:vAlign w:val="top"/>
          </w:tcPr>
          <w:p w14:paraId="2771A68C">
            <w:pPr>
              <w:pStyle w:val="6"/>
              <w:spacing w:before="42" w:line="233" w:lineRule="auto"/>
              <w:ind w:left="192" w:right="46" w:hanging="107"/>
              <w:rPr>
                <w:sz w:val="20"/>
                <w:szCs w:val="20"/>
              </w:rPr>
            </w:pPr>
            <w:r>
              <w:rPr>
                <w:spacing w:val="5"/>
                <w:sz w:val="20"/>
                <w:szCs w:val="20"/>
              </w:rPr>
              <w:t>矿物</w:t>
            </w:r>
            <w:r>
              <w:rPr>
                <w:sz w:val="20"/>
                <w:szCs w:val="20"/>
              </w:rPr>
              <w:t>油</w:t>
            </w:r>
          </w:p>
        </w:tc>
        <w:tc>
          <w:tcPr>
            <w:tcW w:w="693" w:type="dxa"/>
            <w:tcBorders>
              <w:bottom w:val="single" w:color="000000" w:sz="10" w:space="0"/>
            </w:tcBorders>
            <w:vAlign w:val="top"/>
          </w:tcPr>
          <w:p w14:paraId="1FA778B2">
            <w:pPr>
              <w:pStyle w:val="6"/>
              <w:spacing w:before="42" w:line="233" w:lineRule="auto"/>
              <w:ind w:left="241" w:right="139" w:hanging="108"/>
              <w:rPr>
                <w:sz w:val="20"/>
                <w:szCs w:val="20"/>
              </w:rPr>
            </w:pPr>
            <w:r>
              <w:rPr>
                <w:spacing w:val="5"/>
                <w:sz w:val="20"/>
                <w:szCs w:val="20"/>
              </w:rPr>
              <w:t>勘探</w:t>
            </w:r>
            <w:r>
              <w:rPr>
                <w:sz w:val="20"/>
                <w:szCs w:val="20"/>
              </w:rPr>
              <w:t>期</w:t>
            </w:r>
          </w:p>
        </w:tc>
        <w:tc>
          <w:tcPr>
            <w:tcW w:w="707" w:type="dxa"/>
            <w:gridSpan w:val="2"/>
            <w:tcBorders>
              <w:bottom w:val="single" w:color="000000" w:sz="10" w:space="0"/>
            </w:tcBorders>
            <w:vAlign w:val="top"/>
          </w:tcPr>
          <w:p w14:paraId="1FB0B375">
            <w:pPr>
              <w:pStyle w:val="6"/>
              <w:spacing w:before="216" w:line="183" w:lineRule="auto"/>
              <w:ind w:left="13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T</w:t>
            </w:r>
            <w:r>
              <w:rPr>
                <w:rFonts w:ascii="Times New Roman" w:hAnsi="Times New Roman" w:eastAsia="Times New Roman" w:cs="Times New Roman"/>
                <w:spacing w:val="-21"/>
                <w:sz w:val="20"/>
                <w:szCs w:val="20"/>
              </w:rPr>
              <w:t xml:space="preserve"> </w:t>
            </w:r>
            <w:r>
              <w:rPr>
                <w:spacing w:val="-5"/>
                <w:sz w:val="20"/>
                <w:szCs w:val="20"/>
              </w:rPr>
              <w:t>，</w:t>
            </w:r>
            <w:r>
              <w:rPr>
                <w:rFonts w:ascii="Times New Roman" w:hAnsi="Times New Roman" w:eastAsia="Times New Roman" w:cs="Times New Roman"/>
                <w:spacing w:val="-5"/>
                <w:sz w:val="20"/>
                <w:szCs w:val="20"/>
              </w:rPr>
              <w:t>I</w:t>
            </w:r>
          </w:p>
        </w:tc>
        <w:tc>
          <w:tcPr>
            <w:tcW w:w="970" w:type="dxa"/>
            <w:gridSpan w:val="2"/>
            <w:vMerge w:val="continue"/>
            <w:tcBorders>
              <w:top w:val="nil"/>
              <w:bottom w:val="single" w:color="000000" w:sz="10" w:space="0"/>
              <w:right w:val="single" w:color="000000" w:sz="6" w:space="0"/>
            </w:tcBorders>
            <w:vAlign w:val="top"/>
          </w:tcPr>
          <w:p w14:paraId="5FC6B269">
            <w:pPr>
              <w:rPr>
                <w:rFonts w:ascii="Arial"/>
                <w:sz w:val="21"/>
              </w:rPr>
            </w:pPr>
          </w:p>
        </w:tc>
      </w:tr>
      <w:tr w14:paraId="708976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495" w:type="dxa"/>
            <w:vMerge w:val="continue"/>
            <w:tcBorders>
              <w:top w:val="nil"/>
              <w:left w:val="single" w:color="000000" w:sz="6" w:space="0"/>
              <w:bottom w:val="nil"/>
              <w:right w:val="single" w:color="000000" w:sz="2" w:space="0"/>
            </w:tcBorders>
            <w:vAlign w:val="top"/>
          </w:tcPr>
          <w:p w14:paraId="4FB53BB1">
            <w:pPr>
              <w:rPr>
                <w:rFonts w:ascii="Arial"/>
                <w:sz w:val="21"/>
              </w:rPr>
            </w:pPr>
          </w:p>
        </w:tc>
        <w:tc>
          <w:tcPr>
            <w:tcW w:w="8406" w:type="dxa"/>
            <w:gridSpan w:val="21"/>
            <w:tcBorders>
              <w:top w:val="single" w:color="000000" w:sz="10" w:space="0"/>
              <w:left w:val="single" w:color="000000" w:sz="2" w:space="0"/>
              <w:bottom w:val="single" w:color="000000" w:sz="10" w:space="0"/>
              <w:right w:val="single" w:color="000000" w:sz="6" w:space="0"/>
            </w:tcBorders>
            <w:vAlign w:val="top"/>
          </w:tcPr>
          <w:p w14:paraId="3F0C14D1">
            <w:pPr>
              <w:spacing w:before="38" w:line="206" w:lineRule="auto"/>
              <w:ind w:left="1708"/>
              <w:rPr>
                <w:rFonts w:ascii="黑体" w:hAnsi="黑体" w:eastAsia="黑体" w:cs="黑体"/>
                <w:sz w:val="24"/>
                <w:szCs w:val="24"/>
              </w:rPr>
            </w:pPr>
            <w:r>
              <w:rPr>
                <w:rFonts w:ascii="黑体" w:hAnsi="黑体" w:eastAsia="黑体" w:cs="黑体"/>
                <w:spacing w:val="-1"/>
                <w:sz w:val="24"/>
                <w:szCs w:val="24"/>
              </w:rPr>
              <w:t>表</w:t>
            </w:r>
            <w:r>
              <w:rPr>
                <w:rFonts w:ascii="Times New Roman" w:hAnsi="Times New Roman" w:eastAsia="Times New Roman" w:cs="Times New Roman"/>
                <w:spacing w:val="-1"/>
                <w:sz w:val="24"/>
                <w:szCs w:val="24"/>
              </w:rPr>
              <w:t xml:space="preserve">4-9  </w:t>
            </w:r>
            <w:r>
              <w:rPr>
                <w:rFonts w:ascii="黑体" w:hAnsi="黑体" w:eastAsia="黑体" w:cs="黑体"/>
                <w:spacing w:val="-1"/>
                <w:sz w:val="24"/>
                <w:szCs w:val="24"/>
              </w:rPr>
              <w:t>建设项目危险废物贮存场所（设施）基本情况</w:t>
            </w:r>
          </w:p>
        </w:tc>
      </w:tr>
      <w:tr w14:paraId="36C45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495" w:type="dxa"/>
            <w:vMerge w:val="continue"/>
            <w:tcBorders>
              <w:top w:val="nil"/>
              <w:left w:val="single" w:color="000000" w:sz="6" w:space="0"/>
              <w:bottom w:val="nil"/>
              <w:right w:val="single" w:color="000000" w:sz="2" w:space="0"/>
            </w:tcBorders>
            <w:vAlign w:val="top"/>
          </w:tcPr>
          <w:p w14:paraId="0B61BB5A">
            <w:pPr>
              <w:rPr>
                <w:rFonts w:ascii="Arial"/>
                <w:sz w:val="21"/>
              </w:rPr>
            </w:pPr>
          </w:p>
        </w:tc>
        <w:tc>
          <w:tcPr>
            <w:tcW w:w="523" w:type="dxa"/>
            <w:tcBorders>
              <w:top w:val="single" w:color="000000" w:sz="10" w:space="0"/>
              <w:left w:val="single" w:color="000000" w:sz="2" w:space="0"/>
            </w:tcBorders>
            <w:vAlign w:val="top"/>
          </w:tcPr>
          <w:p w14:paraId="12458DFE">
            <w:pPr>
              <w:pStyle w:val="6"/>
              <w:spacing w:before="182" w:line="229" w:lineRule="auto"/>
              <w:jc w:val="right"/>
              <w:rPr>
                <w:sz w:val="20"/>
                <w:szCs w:val="20"/>
              </w:rPr>
            </w:pPr>
            <w:r>
              <w:rPr>
                <w:spacing w:val="-2"/>
                <w:sz w:val="20"/>
                <w:szCs w:val="20"/>
              </w:rPr>
              <w:t>序号</w:t>
            </w:r>
          </w:p>
        </w:tc>
        <w:tc>
          <w:tcPr>
            <w:tcW w:w="886" w:type="dxa"/>
            <w:gridSpan w:val="3"/>
            <w:tcBorders>
              <w:top w:val="single" w:color="000000" w:sz="10" w:space="0"/>
            </w:tcBorders>
            <w:vAlign w:val="top"/>
          </w:tcPr>
          <w:p w14:paraId="62C14D3A">
            <w:pPr>
              <w:pStyle w:val="6"/>
              <w:spacing w:before="44" w:line="235" w:lineRule="auto"/>
              <w:ind w:left="265" w:hanging="210"/>
              <w:rPr>
                <w:sz w:val="20"/>
                <w:szCs w:val="20"/>
              </w:rPr>
            </w:pPr>
            <w:r>
              <w:rPr>
                <w:spacing w:val="5"/>
                <w:sz w:val="20"/>
                <w:szCs w:val="20"/>
              </w:rPr>
              <w:t>贮存场所</w:t>
            </w:r>
            <w:r>
              <w:rPr>
                <w:spacing w:val="1"/>
                <w:sz w:val="20"/>
                <w:szCs w:val="20"/>
              </w:rPr>
              <w:t>名称</w:t>
            </w:r>
          </w:p>
        </w:tc>
        <w:tc>
          <w:tcPr>
            <w:tcW w:w="841" w:type="dxa"/>
            <w:gridSpan w:val="2"/>
            <w:tcBorders>
              <w:top w:val="single" w:color="000000" w:sz="10" w:space="0"/>
            </w:tcBorders>
            <w:vAlign w:val="top"/>
          </w:tcPr>
          <w:p w14:paraId="70177C32">
            <w:pPr>
              <w:pStyle w:val="6"/>
              <w:spacing w:before="46" w:line="228" w:lineRule="auto"/>
              <w:ind w:left="143"/>
              <w:rPr>
                <w:sz w:val="20"/>
                <w:szCs w:val="20"/>
              </w:rPr>
            </w:pPr>
            <w:r>
              <w:rPr>
                <w:spacing w:val="6"/>
                <w:sz w:val="20"/>
                <w:szCs w:val="20"/>
              </w:rPr>
              <w:t>危险废</w:t>
            </w:r>
          </w:p>
          <w:p w14:paraId="256E9175">
            <w:pPr>
              <w:pStyle w:val="6"/>
              <w:spacing w:before="25" w:line="217" w:lineRule="auto"/>
              <w:ind w:left="141"/>
              <w:rPr>
                <w:sz w:val="20"/>
                <w:szCs w:val="20"/>
              </w:rPr>
            </w:pPr>
            <w:r>
              <w:rPr>
                <w:spacing w:val="6"/>
                <w:sz w:val="20"/>
                <w:szCs w:val="20"/>
              </w:rPr>
              <w:t>物名称</w:t>
            </w:r>
          </w:p>
        </w:tc>
        <w:tc>
          <w:tcPr>
            <w:tcW w:w="963" w:type="dxa"/>
            <w:gridSpan w:val="2"/>
            <w:tcBorders>
              <w:top w:val="single" w:color="000000" w:sz="10" w:space="0"/>
            </w:tcBorders>
            <w:vAlign w:val="top"/>
          </w:tcPr>
          <w:p w14:paraId="43D932F6">
            <w:pPr>
              <w:pStyle w:val="6"/>
              <w:spacing w:before="44" w:line="235" w:lineRule="auto"/>
              <w:ind w:left="264" w:right="69" w:hanging="208"/>
              <w:rPr>
                <w:sz w:val="20"/>
                <w:szCs w:val="20"/>
              </w:rPr>
            </w:pPr>
            <w:r>
              <w:rPr>
                <w:spacing w:val="6"/>
                <w:sz w:val="20"/>
                <w:szCs w:val="20"/>
              </w:rPr>
              <w:t>危险废物</w:t>
            </w:r>
            <w:r>
              <w:rPr>
                <w:spacing w:val="4"/>
                <w:sz w:val="20"/>
                <w:szCs w:val="20"/>
              </w:rPr>
              <w:t>类别</w:t>
            </w:r>
          </w:p>
        </w:tc>
        <w:tc>
          <w:tcPr>
            <w:tcW w:w="1262" w:type="dxa"/>
            <w:gridSpan w:val="3"/>
            <w:tcBorders>
              <w:top w:val="single" w:color="000000" w:sz="10" w:space="0"/>
            </w:tcBorders>
            <w:vAlign w:val="top"/>
          </w:tcPr>
          <w:p w14:paraId="4727C533">
            <w:pPr>
              <w:pStyle w:val="6"/>
              <w:spacing w:before="44" w:line="235" w:lineRule="auto"/>
              <w:ind w:left="476" w:right="153" w:hanging="416"/>
              <w:rPr>
                <w:sz w:val="20"/>
                <w:szCs w:val="20"/>
              </w:rPr>
            </w:pPr>
            <w:r>
              <w:rPr>
                <w:spacing w:val="7"/>
                <w:sz w:val="20"/>
                <w:szCs w:val="20"/>
              </w:rPr>
              <w:t>危险废物代</w:t>
            </w:r>
            <w:r>
              <w:rPr>
                <w:spacing w:val="1"/>
                <w:sz w:val="20"/>
                <w:szCs w:val="20"/>
              </w:rPr>
              <w:t>码</w:t>
            </w:r>
          </w:p>
        </w:tc>
        <w:tc>
          <w:tcPr>
            <w:tcW w:w="911" w:type="dxa"/>
            <w:gridSpan w:val="3"/>
            <w:tcBorders>
              <w:top w:val="single" w:color="000000" w:sz="10" w:space="0"/>
            </w:tcBorders>
            <w:vAlign w:val="top"/>
          </w:tcPr>
          <w:p w14:paraId="1644E3FA">
            <w:pPr>
              <w:pStyle w:val="6"/>
              <w:spacing w:before="182" w:line="229" w:lineRule="auto"/>
              <w:ind w:left="199"/>
              <w:rPr>
                <w:sz w:val="20"/>
                <w:szCs w:val="20"/>
              </w:rPr>
            </w:pPr>
            <w:r>
              <w:rPr>
                <w:spacing w:val="4"/>
                <w:sz w:val="20"/>
                <w:szCs w:val="20"/>
              </w:rPr>
              <w:t>位置</w:t>
            </w:r>
          </w:p>
        </w:tc>
        <w:tc>
          <w:tcPr>
            <w:tcW w:w="650" w:type="dxa"/>
            <w:gridSpan w:val="2"/>
            <w:tcBorders>
              <w:top w:val="single" w:color="000000" w:sz="10" w:space="0"/>
            </w:tcBorders>
            <w:vAlign w:val="top"/>
          </w:tcPr>
          <w:p w14:paraId="60C01405">
            <w:pPr>
              <w:pStyle w:val="6"/>
              <w:spacing w:before="44" w:line="235" w:lineRule="auto"/>
              <w:ind w:left="199" w:right="29" w:hanging="176"/>
              <w:rPr>
                <w:sz w:val="20"/>
                <w:szCs w:val="20"/>
              </w:rPr>
            </w:pPr>
            <w:r>
              <w:rPr>
                <w:spacing w:val="-5"/>
                <w:sz w:val="20"/>
                <w:szCs w:val="20"/>
              </w:rPr>
              <w:t>占地面</w:t>
            </w:r>
            <w:r>
              <w:rPr>
                <w:sz w:val="20"/>
                <w:szCs w:val="20"/>
              </w:rPr>
              <w:t>积</w:t>
            </w:r>
          </w:p>
        </w:tc>
        <w:tc>
          <w:tcPr>
            <w:tcW w:w="693" w:type="dxa"/>
            <w:tcBorders>
              <w:top w:val="single" w:color="000000" w:sz="10" w:space="0"/>
            </w:tcBorders>
            <w:vAlign w:val="top"/>
          </w:tcPr>
          <w:p w14:paraId="4DC19091">
            <w:pPr>
              <w:pStyle w:val="6"/>
              <w:spacing w:before="44" w:line="235" w:lineRule="auto"/>
              <w:ind w:left="270" w:right="4" w:hanging="212"/>
              <w:rPr>
                <w:sz w:val="20"/>
                <w:szCs w:val="20"/>
              </w:rPr>
            </w:pPr>
            <w:r>
              <w:rPr>
                <w:spacing w:val="6"/>
                <w:sz w:val="20"/>
                <w:szCs w:val="20"/>
              </w:rPr>
              <w:t>贮存方</w:t>
            </w:r>
            <w:r>
              <w:rPr>
                <w:sz w:val="20"/>
                <w:szCs w:val="20"/>
              </w:rPr>
              <w:t>式</w:t>
            </w:r>
          </w:p>
        </w:tc>
        <w:tc>
          <w:tcPr>
            <w:tcW w:w="735" w:type="dxa"/>
            <w:gridSpan w:val="3"/>
            <w:tcBorders>
              <w:top w:val="single" w:color="000000" w:sz="10" w:space="0"/>
            </w:tcBorders>
            <w:vAlign w:val="top"/>
          </w:tcPr>
          <w:p w14:paraId="45654F88">
            <w:pPr>
              <w:pStyle w:val="6"/>
              <w:spacing w:before="44" w:line="235" w:lineRule="auto"/>
              <w:ind w:left="310" w:right="5" w:hanging="211"/>
              <w:rPr>
                <w:sz w:val="20"/>
                <w:szCs w:val="20"/>
              </w:rPr>
            </w:pPr>
            <w:r>
              <w:rPr>
                <w:spacing w:val="6"/>
                <w:sz w:val="20"/>
                <w:szCs w:val="20"/>
              </w:rPr>
              <w:t>贮存能</w:t>
            </w:r>
            <w:r>
              <w:rPr>
                <w:sz w:val="20"/>
                <w:szCs w:val="20"/>
              </w:rPr>
              <w:t>力</w:t>
            </w:r>
          </w:p>
        </w:tc>
        <w:tc>
          <w:tcPr>
            <w:tcW w:w="942" w:type="dxa"/>
            <w:tcBorders>
              <w:top w:val="single" w:color="000000" w:sz="10" w:space="0"/>
              <w:right w:val="single" w:color="000000" w:sz="6" w:space="0"/>
            </w:tcBorders>
            <w:vAlign w:val="top"/>
          </w:tcPr>
          <w:p w14:paraId="0DEE517C">
            <w:pPr>
              <w:pStyle w:val="6"/>
              <w:spacing w:before="44" w:line="235" w:lineRule="auto"/>
              <w:ind w:left="340" w:right="179" w:hanging="210"/>
              <w:rPr>
                <w:sz w:val="20"/>
                <w:szCs w:val="20"/>
              </w:rPr>
            </w:pPr>
            <w:r>
              <w:rPr>
                <w:spacing w:val="6"/>
                <w:sz w:val="20"/>
                <w:szCs w:val="20"/>
              </w:rPr>
              <w:t>贮存周</w:t>
            </w:r>
            <w:r>
              <w:rPr>
                <w:sz w:val="20"/>
                <w:szCs w:val="20"/>
              </w:rPr>
              <w:t>期</w:t>
            </w:r>
          </w:p>
        </w:tc>
      </w:tr>
      <w:tr w14:paraId="677A6F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495" w:type="dxa"/>
            <w:vMerge w:val="continue"/>
            <w:tcBorders>
              <w:top w:val="nil"/>
              <w:left w:val="single" w:color="000000" w:sz="6" w:space="0"/>
              <w:bottom w:val="single" w:color="000000" w:sz="6" w:space="0"/>
              <w:right w:val="single" w:color="000000" w:sz="2" w:space="0"/>
            </w:tcBorders>
            <w:vAlign w:val="top"/>
          </w:tcPr>
          <w:p w14:paraId="0909E746">
            <w:pPr>
              <w:rPr>
                <w:rFonts w:ascii="Arial"/>
                <w:sz w:val="21"/>
              </w:rPr>
            </w:pPr>
          </w:p>
        </w:tc>
        <w:tc>
          <w:tcPr>
            <w:tcW w:w="523" w:type="dxa"/>
            <w:tcBorders>
              <w:left w:val="single" w:color="000000" w:sz="2" w:space="0"/>
              <w:bottom w:val="single" w:color="000000" w:sz="6" w:space="0"/>
            </w:tcBorders>
            <w:vAlign w:val="top"/>
          </w:tcPr>
          <w:p w14:paraId="45C38B7F">
            <w:pPr>
              <w:spacing w:before="215" w:line="195" w:lineRule="auto"/>
              <w:ind w:left="29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886" w:type="dxa"/>
            <w:gridSpan w:val="3"/>
            <w:tcBorders>
              <w:bottom w:val="single" w:color="000000" w:sz="6" w:space="0"/>
            </w:tcBorders>
            <w:vAlign w:val="top"/>
          </w:tcPr>
          <w:p w14:paraId="6F689DA8">
            <w:pPr>
              <w:pStyle w:val="6"/>
              <w:spacing w:before="177" w:line="228" w:lineRule="auto"/>
              <w:jc w:val="right"/>
              <w:rPr>
                <w:sz w:val="20"/>
                <w:szCs w:val="20"/>
              </w:rPr>
            </w:pPr>
            <w:r>
              <w:rPr>
                <w:spacing w:val="5"/>
                <w:sz w:val="20"/>
                <w:szCs w:val="20"/>
              </w:rPr>
              <w:t>撬装式危</w:t>
            </w:r>
          </w:p>
        </w:tc>
        <w:tc>
          <w:tcPr>
            <w:tcW w:w="841" w:type="dxa"/>
            <w:gridSpan w:val="2"/>
            <w:tcBorders>
              <w:bottom w:val="single" w:color="000000" w:sz="6" w:space="0"/>
            </w:tcBorders>
            <w:vAlign w:val="top"/>
          </w:tcPr>
          <w:p w14:paraId="328C16E3">
            <w:pPr>
              <w:pStyle w:val="6"/>
              <w:spacing w:before="41" w:line="234" w:lineRule="auto"/>
              <w:ind w:left="352" w:right="69" w:hanging="212"/>
              <w:rPr>
                <w:sz w:val="20"/>
                <w:szCs w:val="20"/>
              </w:rPr>
            </w:pPr>
            <w:r>
              <w:rPr>
                <w:spacing w:val="7"/>
                <w:sz w:val="20"/>
                <w:szCs w:val="20"/>
              </w:rPr>
              <w:t>废润滑</w:t>
            </w:r>
            <w:r>
              <w:rPr>
                <w:sz w:val="20"/>
                <w:szCs w:val="20"/>
              </w:rPr>
              <w:t>油</w:t>
            </w:r>
          </w:p>
        </w:tc>
        <w:tc>
          <w:tcPr>
            <w:tcW w:w="963" w:type="dxa"/>
            <w:gridSpan w:val="2"/>
            <w:tcBorders>
              <w:bottom w:val="single" w:color="000000" w:sz="6" w:space="0"/>
            </w:tcBorders>
            <w:vAlign w:val="top"/>
          </w:tcPr>
          <w:p w14:paraId="18AC1D2B">
            <w:pPr>
              <w:spacing w:before="215" w:line="195" w:lineRule="auto"/>
              <w:ind w:left="190"/>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08</w:t>
            </w:r>
          </w:p>
        </w:tc>
        <w:tc>
          <w:tcPr>
            <w:tcW w:w="1262" w:type="dxa"/>
            <w:gridSpan w:val="3"/>
            <w:tcBorders>
              <w:bottom w:val="single" w:color="000000" w:sz="6" w:space="0"/>
            </w:tcBorders>
            <w:vAlign w:val="top"/>
          </w:tcPr>
          <w:p w14:paraId="7ABE63A9">
            <w:pPr>
              <w:spacing w:before="215" w:line="195" w:lineRule="auto"/>
              <w:ind w:left="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900-214-08</w:t>
            </w:r>
          </w:p>
        </w:tc>
        <w:tc>
          <w:tcPr>
            <w:tcW w:w="911" w:type="dxa"/>
            <w:gridSpan w:val="3"/>
            <w:tcBorders>
              <w:bottom w:val="single" w:color="000000" w:sz="6" w:space="0"/>
            </w:tcBorders>
            <w:vAlign w:val="top"/>
          </w:tcPr>
          <w:p w14:paraId="62278D1C">
            <w:pPr>
              <w:pStyle w:val="6"/>
              <w:spacing w:before="177" w:line="228" w:lineRule="auto"/>
              <w:ind w:left="199"/>
              <w:rPr>
                <w:sz w:val="20"/>
                <w:szCs w:val="20"/>
              </w:rPr>
            </w:pPr>
            <w:r>
              <w:rPr>
                <w:spacing w:val="4"/>
                <w:sz w:val="20"/>
                <w:szCs w:val="20"/>
              </w:rPr>
              <w:t>井场</w:t>
            </w:r>
          </w:p>
        </w:tc>
        <w:tc>
          <w:tcPr>
            <w:tcW w:w="650" w:type="dxa"/>
            <w:gridSpan w:val="2"/>
            <w:tcBorders>
              <w:bottom w:val="single" w:color="000000" w:sz="6" w:space="0"/>
            </w:tcBorders>
            <w:vAlign w:val="top"/>
          </w:tcPr>
          <w:p w14:paraId="1E0C601C">
            <w:pPr>
              <w:spacing w:before="195" w:line="216" w:lineRule="auto"/>
              <w:ind w:left="99"/>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0"/>
                <w:szCs w:val="20"/>
              </w:rPr>
              <w:t>10m</w:t>
            </w:r>
            <w:r>
              <w:rPr>
                <w:rFonts w:ascii="Times New Roman" w:hAnsi="Times New Roman" w:eastAsia="Times New Roman" w:cs="Times New Roman"/>
                <w:spacing w:val="-1"/>
                <w:position w:val="5"/>
                <w:sz w:val="13"/>
                <w:szCs w:val="13"/>
              </w:rPr>
              <w:t>2</w:t>
            </w:r>
          </w:p>
        </w:tc>
        <w:tc>
          <w:tcPr>
            <w:tcW w:w="693" w:type="dxa"/>
            <w:tcBorders>
              <w:bottom w:val="single" w:color="000000" w:sz="6" w:space="0"/>
            </w:tcBorders>
            <w:vAlign w:val="top"/>
          </w:tcPr>
          <w:p w14:paraId="504920B8">
            <w:pPr>
              <w:pStyle w:val="6"/>
              <w:spacing w:before="42" w:line="228" w:lineRule="auto"/>
              <w:ind w:left="162"/>
              <w:rPr>
                <w:sz w:val="20"/>
                <w:szCs w:val="20"/>
              </w:rPr>
            </w:pPr>
            <w:r>
              <w:rPr>
                <w:spacing w:val="3"/>
                <w:sz w:val="20"/>
                <w:szCs w:val="20"/>
              </w:rPr>
              <w:t>桶内</w:t>
            </w:r>
          </w:p>
          <w:p w14:paraId="2ED737AF">
            <w:pPr>
              <w:pStyle w:val="6"/>
              <w:spacing w:before="26" w:line="215" w:lineRule="auto"/>
              <w:ind w:left="161"/>
              <w:rPr>
                <w:sz w:val="20"/>
                <w:szCs w:val="20"/>
              </w:rPr>
            </w:pPr>
            <w:r>
              <w:rPr>
                <w:spacing w:val="4"/>
                <w:sz w:val="20"/>
                <w:szCs w:val="20"/>
              </w:rPr>
              <w:t>贮存</w:t>
            </w:r>
          </w:p>
        </w:tc>
        <w:tc>
          <w:tcPr>
            <w:tcW w:w="735" w:type="dxa"/>
            <w:gridSpan w:val="3"/>
            <w:tcBorders>
              <w:bottom w:val="single" w:color="000000" w:sz="6" w:space="0"/>
            </w:tcBorders>
            <w:vAlign w:val="top"/>
          </w:tcPr>
          <w:p w14:paraId="46781669">
            <w:pPr>
              <w:spacing w:before="215" w:line="195" w:lineRule="auto"/>
              <w:ind w:left="3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3t</w:t>
            </w:r>
          </w:p>
        </w:tc>
        <w:tc>
          <w:tcPr>
            <w:tcW w:w="942" w:type="dxa"/>
            <w:tcBorders>
              <w:bottom w:val="single" w:color="000000" w:sz="6" w:space="0"/>
              <w:right w:val="single" w:color="000000" w:sz="6" w:space="0"/>
            </w:tcBorders>
            <w:vAlign w:val="top"/>
          </w:tcPr>
          <w:p w14:paraId="4FAA6013">
            <w:pPr>
              <w:pStyle w:val="6"/>
              <w:spacing w:before="176" w:line="228" w:lineRule="auto"/>
              <w:ind w:left="128"/>
              <w:rPr>
                <w:sz w:val="20"/>
                <w:szCs w:val="20"/>
              </w:rPr>
            </w:pPr>
            <w:r>
              <w:rPr>
                <w:spacing w:val="7"/>
                <w:sz w:val="20"/>
                <w:szCs w:val="20"/>
              </w:rPr>
              <w:t>勘探期</w:t>
            </w:r>
          </w:p>
        </w:tc>
      </w:tr>
    </w:tbl>
    <w:p w14:paraId="6B88B866">
      <w:pPr>
        <w:rPr>
          <w:rFonts w:ascii="Arial"/>
          <w:sz w:val="21"/>
        </w:rPr>
      </w:pPr>
    </w:p>
    <w:p w14:paraId="728899D1">
      <w:pPr>
        <w:rPr>
          <w:rFonts w:ascii="Arial" w:hAnsi="Arial" w:eastAsia="Arial" w:cs="Arial"/>
          <w:sz w:val="21"/>
          <w:szCs w:val="21"/>
        </w:rPr>
        <w:sectPr>
          <w:footerReference r:id="rId71" w:type="default"/>
          <w:pgSz w:w="11906" w:h="16839"/>
          <w:pgMar w:top="400" w:right="1410" w:bottom="1240" w:left="1579" w:header="0" w:footer="1078" w:gutter="0"/>
          <w:cols w:space="720" w:num="1"/>
        </w:sectPr>
      </w:pPr>
    </w:p>
    <w:p w14:paraId="7F1FD434">
      <w:pPr>
        <w:spacing w:before="56"/>
      </w:pPr>
    </w:p>
    <w:p w14:paraId="6A375FA0">
      <w:pPr>
        <w:spacing w:before="56"/>
      </w:pPr>
    </w:p>
    <w:p w14:paraId="09CEF985">
      <w:pPr>
        <w:spacing w:before="55"/>
      </w:pPr>
    </w:p>
    <w:p w14:paraId="5D5722A1">
      <w:pPr>
        <w:spacing w:before="55"/>
      </w:pPr>
    </w:p>
    <w:tbl>
      <w:tblPr>
        <w:tblStyle w:val="5"/>
        <w:tblW w:w="890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5"/>
        <w:gridCol w:w="559"/>
        <w:gridCol w:w="885"/>
        <w:gridCol w:w="841"/>
        <w:gridCol w:w="877"/>
        <w:gridCol w:w="173"/>
        <w:gridCol w:w="1090"/>
        <w:gridCol w:w="911"/>
        <w:gridCol w:w="697"/>
        <w:gridCol w:w="733"/>
        <w:gridCol w:w="735"/>
        <w:gridCol w:w="110"/>
        <w:gridCol w:w="795"/>
      </w:tblGrid>
      <w:tr w14:paraId="5E9D21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495" w:type="dxa"/>
            <w:vMerge w:val="restart"/>
            <w:tcBorders>
              <w:top w:val="single" w:color="000000" w:sz="6" w:space="0"/>
              <w:left w:val="single" w:color="000000" w:sz="6" w:space="0"/>
              <w:bottom w:val="nil"/>
            </w:tcBorders>
            <w:vAlign w:val="top"/>
          </w:tcPr>
          <w:p w14:paraId="0DDE01ED">
            <w:pPr>
              <w:rPr>
                <w:rFonts w:ascii="Arial"/>
                <w:sz w:val="21"/>
              </w:rPr>
            </w:pPr>
          </w:p>
        </w:tc>
        <w:tc>
          <w:tcPr>
            <w:tcW w:w="559" w:type="dxa"/>
            <w:tcBorders>
              <w:top w:val="single" w:color="000000" w:sz="6" w:space="0"/>
              <w:bottom w:val="single" w:color="000000" w:sz="4" w:space="0"/>
              <w:right w:val="single" w:color="000000" w:sz="4" w:space="0"/>
            </w:tcBorders>
            <w:vAlign w:val="top"/>
          </w:tcPr>
          <w:p w14:paraId="33F42474">
            <w:pPr>
              <w:spacing w:before="222" w:line="195" w:lineRule="auto"/>
              <w:ind w:left="27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885" w:type="dxa"/>
            <w:vMerge w:val="restart"/>
            <w:tcBorders>
              <w:top w:val="single" w:color="000000" w:sz="6" w:space="0"/>
              <w:left w:val="single" w:color="000000" w:sz="4" w:space="0"/>
              <w:bottom w:val="nil"/>
              <w:right w:val="single" w:color="000000" w:sz="4" w:space="0"/>
            </w:tcBorders>
            <w:vAlign w:val="top"/>
          </w:tcPr>
          <w:p w14:paraId="36BF95B4">
            <w:pPr>
              <w:pStyle w:val="6"/>
              <w:spacing w:before="51" w:line="228" w:lineRule="auto"/>
              <w:ind w:left="18"/>
              <w:rPr>
                <w:sz w:val="20"/>
                <w:szCs w:val="20"/>
              </w:rPr>
            </w:pPr>
            <w:r>
              <w:rPr>
                <w:spacing w:val="8"/>
                <w:sz w:val="20"/>
                <w:szCs w:val="20"/>
              </w:rPr>
              <w:t>废贮存点</w:t>
            </w:r>
          </w:p>
        </w:tc>
        <w:tc>
          <w:tcPr>
            <w:tcW w:w="841" w:type="dxa"/>
            <w:tcBorders>
              <w:top w:val="single" w:color="000000" w:sz="6" w:space="0"/>
              <w:left w:val="single" w:color="000000" w:sz="4" w:space="0"/>
              <w:bottom w:val="single" w:color="000000" w:sz="4" w:space="0"/>
              <w:right w:val="single" w:color="000000" w:sz="4" w:space="0"/>
            </w:tcBorders>
            <w:vAlign w:val="top"/>
          </w:tcPr>
          <w:p w14:paraId="471007F6">
            <w:pPr>
              <w:pStyle w:val="6"/>
              <w:spacing w:before="186" w:line="229" w:lineRule="auto"/>
              <w:ind w:left="107"/>
              <w:rPr>
                <w:sz w:val="20"/>
                <w:szCs w:val="20"/>
              </w:rPr>
            </w:pPr>
            <w:r>
              <w:rPr>
                <w:spacing w:val="6"/>
                <w:sz w:val="20"/>
                <w:szCs w:val="20"/>
              </w:rPr>
              <w:t>落地油</w:t>
            </w:r>
          </w:p>
        </w:tc>
        <w:tc>
          <w:tcPr>
            <w:tcW w:w="877" w:type="dxa"/>
            <w:tcBorders>
              <w:top w:val="single" w:color="000000" w:sz="6" w:space="0"/>
              <w:left w:val="single" w:color="000000" w:sz="4" w:space="0"/>
              <w:bottom w:val="single" w:color="000000" w:sz="4" w:space="0"/>
              <w:right w:val="single" w:color="000000" w:sz="4" w:space="0"/>
            </w:tcBorders>
            <w:vAlign w:val="top"/>
          </w:tcPr>
          <w:p w14:paraId="45B1E6A7">
            <w:pPr>
              <w:spacing w:before="222" w:line="195" w:lineRule="auto"/>
              <w:ind w:left="155"/>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08</w:t>
            </w:r>
          </w:p>
        </w:tc>
        <w:tc>
          <w:tcPr>
            <w:tcW w:w="1263" w:type="dxa"/>
            <w:gridSpan w:val="2"/>
            <w:tcBorders>
              <w:top w:val="single" w:color="000000" w:sz="6" w:space="0"/>
              <w:left w:val="single" w:color="000000" w:sz="4" w:space="0"/>
              <w:bottom w:val="single" w:color="000000" w:sz="4" w:space="0"/>
              <w:right w:val="single" w:color="000000" w:sz="4" w:space="0"/>
            </w:tcBorders>
            <w:vAlign w:val="top"/>
          </w:tcPr>
          <w:p w14:paraId="469101CE">
            <w:pPr>
              <w:spacing w:before="222" w:line="195" w:lineRule="auto"/>
              <w:ind w:left="1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071-001-08</w:t>
            </w:r>
          </w:p>
        </w:tc>
        <w:tc>
          <w:tcPr>
            <w:tcW w:w="911" w:type="dxa"/>
            <w:vMerge w:val="restart"/>
            <w:tcBorders>
              <w:top w:val="single" w:color="000000" w:sz="6" w:space="0"/>
              <w:left w:val="single" w:color="000000" w:sz="4" w:space="0"/>
              <w:bottom w:val="nil"/>
              <w:right w:val="single" w:color="000000" w:sz="4" w:space="0"/>
            </w:tcBorders>
            <w:vAlign w:val="top"/>
          </w:tcPr>
          <w:p w14:paraId="49906BD9">
            <w:pPr>
              <w:rPr>
                <w:rFonts w:ascii="Arial"/>
                <w:sz w:val="21"/>
              </w:rPr>
            </w:pPr>
          </w:p>
        </w:tc>
        <w:tc>
          <w:tcPr>
            <w:tcW w:w="697" w:type="dxa"/>
            <w:vMerge w:val="restart"/>
            <w:tcBorders>
              <w:top w:val="single" w:color="000000" w:sz="6" w:space="0"/>
              <w:left w:val="single" w:color="000000" w:sz="4" w:space="0"/>
              <w:bottom w:val="nil"/>
              <w:right w:val="single" w:color="000000" w:sz="4" w:space="0"/>
            </w:tcBorders>
            <w:vAlign w:val="top"/>
          </w:tcPr>
          <w:p w14:paraId="72E8BCF4">
            <w:pPr>
              <w:rPr>
                <w:rFonts w:ascii="Arial"/>
                <w:sz w:val="21"/>
              </w:rPr>
            </w:pPr>
          </w:p>
        </w:tc>
        <w:tc>
          <w:tcPr>
            <w:tcW w:w="733" w:type="dxa"/>
            <w:tcBorders>
              <w:top w:val="single" w:color="000000" w:sz="6" w:space="0"/>
              <w:left w:val="single" w:color="000000" w:sz="4" w:space="0"/>
              <w:bottom w:val="single" w:color="000000" w:sz="4" w:space="0"/>
              <w:right w:val="single" w:color="000000" w:sz="4" w:space="0"/>
            </w:tcBorders>
            <w:vAlign w:val="top"/>
          </w:tcPr>
          <w:p w14:paraId="0E88C5D5">
            <w:pPr>
              <w:pStyle w:val="6"/>
              <w:spacing w:before="51" w:line="228" w:lineRule="auto"/>
              <w:ind w:left="165"/>
              <w:rPr>
                <w:sz w:val="20"/>
                <w:szCs w:val="20"/>
              </w:rPr>
            </w:pPr>
            <w:r>
              <w:rPr>
                <w:spacing w:val="3"/>
                <w:sz w:val="20"/>
                <w:szCs w:val="20"/>
              </w:rPr>
              <w:t>罐内</w:t>
            </w:r>
          </w:p>
          <w:p w14:paraId="0F1D27A5">
            <w:pPr>
              <w:pStyle w:val="6"/>
              <w:spacing w:before="25" w:line="219" w:lineRule="auto"/>
              <w:ind w:left="164"/>
              <w:rPr>
                <w:sz w:val="20"/>
                <w:szCs w:val="20"/>
              </w:rPr>
            </w:pPr>
            <w:r>
              <w:rPr>
                <w:spacing w:val="4"/>
                <w:sz w:val="20"/>
                <w:szCs w:val="20"/>
              </w:rPr>
              <w:t>贮存</w:t>
            </w:r>
          </w:p>
        </w:tc>
        <w:tc>
          <w:tcPr>
            <w:tcW w:w="735" w:type="dxa"/>
            <w:vMerge w:val="restart"/>
            <w:tcBorders>
              <w:top w:val="single" w:color="000000" w:sz="6" w:space="0"/>
              <w:left w:val="single" w:color="000000" w:sz="4" w:space="0"/>
              <w:bottom w:val="nil"/>
              <w:right w:val="single" w:color="000000" w:sz="4" w:space="0"/>
            </w:tcBorders>
            <w:vAlign w:val="top"/>
          </w:tcPr>
          <w:p w14:paraId="68DB38D0">
            <w:pPr>
              <w:rPr>
                <w:rFonts w:ascii="Arial"/>
                <w:sz w:val="21"/>
              </w:rPr>
            </w:pPr>
          </w:p>
        </w:tc>
        <w:tc>
          <w:tcPr>
            <w:tcW w:w="905" w:type="dxa"/>
            <w:gridSpan w:val="2"/>
            <w:tcBorders>
              <w:top w:val="single" w:color="000000" w:sz="6" w:space="0"/>
              <w:left w:val="single" w:color="000000" w:sz="4" w:space="0"/>
              <w:bottom w:val="single" w:color="000000" w:sz="4" w:space="0"/>
              <w:right w:val="single" w:color="000000" w:sz="6" w:space="0"/>
            </w:tcBorders>
            <w:vAlign w:val="top"/>
          </w:tcPr>
          <w:p w14:paraId="47CE58E6">
            <w:pPr>
              <w:pStyle w:val="6"/>
              <w:spacing w:before="186" w:line="228" w:lineRule="auto"/>
              <w:ind w:left="91"/>
              <w:rPr>
                <w:sz w:val="20"/>
                <w:szCs w:val="20"/>
              </w:rPr>
            </w:pPr>
            <w:r>
              <w:rPr>
                <w:spacing w:val="7"/>
                <w:sz w:val="20"/>
                <w:szCs w:val="20"/>
              </w:rPr>
              <w:t>勘探期</w:t>
            </w:r>
          </w:p>
        </w:tc>
      </w:tr>
      <w:tr w14:paraId="10AF9B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95" w:type="dxa"/>
            <w:vMerge w:val="continue"/>
            <w:tcBorders>
              <w:top w:val="nil"/>
              <w:left w:val="single" w:color="000000" w:sz="6" w:space="0"/>
              <w:bottom w:val="nil"/>
            </w:tcBorders>
            <w:vAlign w:val="top"/>
          </w:tcPr>
          <w:p w14:paraId="232BB730">
            <w:pPr>
              <w:rPr>
                <w:rFonts w:ascii="Arial"/>
                <w:sz w:val="21"/>
              </w:rPr>
            </w:pPr>
          </w:p>
        </w:tc>
        <w:tc>
          <w:tcPr>
            <w:tcW w:w="559" w:type="dxa"/>
            <w:tcBorders>
              <w:top w:val="single" w:color="000000" w:sz="4" w:space="0"/>
              <w:bottom w:val="single" w:color="000000" w:sz="10" w:space="0"/>
              <w:right w:val="single" w:color="000000" w:sz="4" w:space="0"/>
            </w:tcBorders>
            <w:vAlign w:val="top"/>
          </w:tcPr>
          <w:p w14:paraId="1911253A">
            <w:pPr>
              <w:spacing w:before="200" w:line="195" w:lineRule="auto"/>
              <w:ind w:left="280"/>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885" w:type="dxa"/>
            <w:vMerge w:val="continue"/>
            <w:tcBorders>
              <w:top w:val="nil"/>
              <w:left w:val="single" w:color="000000" w:sz="4" w:space="0"/>
              <w:bottom w:val="single" w:color="000000" w:sz="10" w:space="0"/>
              <w:right w:val="single" w:color="000000" w:sz="4" w:space="0"/>
            </w:tcBorders>
            <w:vAlign w:val="top"/>
          </w:tcPr>
          <w:p w14:paraId="6240153F">
            <w:pPr>
              <w:rPr>
                <w:rFonts w:ascii="Arial"/>
                <w:sz w:val="21"/>
              </w:rPr>
            </w:pPr>
          </w:p>
        </w:tc>
        <w:tc>
          <w:tcPr>
            <w:tcW w:w="841" w:type="dxa"/>
            <w:tcBorders>
              <w:top w:val="single" w:color="000000" w:sz="4" w:space="0"/>
              <w:left w:val="single" w:color="000000" w:sz="4" w:space="0"/>
              <w:bottom w:val="single" w:color="000000" w:sz="10" w:space="0"/>
              <w:right w:val="single" w:color="000000" w:sz="4" w:space="0"/>
            </w:tcBorders>
            <w:vAlign w:val="top"/>
          </w:tcPr>
          <w:p w14:paraId="7977DCAF">
            <w:pPr>
              <w:pStyle w:val="6"/>
              <w:spacing w:before="30" w:line="238" w:lineRule="auto"/>
              <w:ind w:left="209" w:right="104" w:hanging="104"/>
              <w:rPr>
                <w:sz w:val="20"/>
                <w:szCs w:val="20"/>
              </w:rPr>
            </w:pPr>
            <w:r>
              <w:rPr>
                <w:spacing w:val="7"/>
                <w:sz w:val="20"/>
                <w:szCs w:val="20"/>
              </w:rPr>
              <w:t>废防渗</w:t>
            </w:r>
            <w:r>
              <w:rPr>
                <w:spacing w:val="4"/>
                <w:sz w:val="20"/>
                <w:szCs w:val="20"/>
              </w:rPr>
              <w:t>材料</w:t>
            </w:r>
          </w:p>
        </w:tc>
        <w:tc>
          <w:tcPr>
            <w:tcW w:w="877" w:type="dxa"/>
            <w:tcBorders>
              <w:top w:val="single" w:color="000000" w:sz="4" w:space="0"/>
              <w:left w:val="single" w:color="000000" w:sz="4" w:space="0"/>
              <w:bottom w:val="single" w:color="000000" w:sz="10" w:space="0"/>
              <w:right w:val="single" w:color="000000" w:sz="4" w:space="0"/>
            </w:tcBorders>
            <w:vAlign w:val="top"/>
          </w:tcPr>
          <w:p w14:paraId="49D23A37">
            <w:pPr>
              <w:spacing w:before="200" w:line="195" w:lineRule="auto"/>
              <w:ind w:left="155"/>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08</w:t>
            </w:r>
          </w:p>
        </w:tc>
        <w:tc>
          <w:tcPr>
            <w:tcW w:w="1263" w:type="dxa"/>
            <w:gridSpan w:val="2"/>
            <w:tcBorders>
              <w:top w:val="single" w:color="000000" w:sz="4" w:space="0"/>
              <w:left w:val="single" w:color="000000" w:sz="4" w:space="0"/>
              <w:bottom w:val="single" w:color="000000" w:sz="10" w:space="0"/>
              <w:right w:val="single" w:color="000000" w:sz="4" w:space="0"/>
            </w:tcBorders>
            <w:vAlign w:val="top"/>
          </w:tcPr>
          <w:p w14:paraId="777C48A3">
            <w:pPr>
              <w:spacing w:before="200" w:line="195" w:lineRule="auto"/>
              <w:ind w:left="1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900-249-08</w:t>
            </w:r>
          </w:p>
        </w:tc>
        <w:tc>
          <w:tcPr>
            <w:tcW w:w="911" w:type="dxa"/>
            <w:vMerge w:val="continue"/>
            <w:tcBorders>
              <w:top w:val="nil"/>
              <w:left w:val="single" w:color="000000" w:sz="4" w:space="0"/>
              <w:bottom w:val="single" w:color="000000" w:sz="10" w:space="0"/>
              <w:right w:val="single" w:color="000000" w:sz="4" w:space="0"/>
            </w:tcBorders>
            <w:vAlign w:val="top"/>
          </w:tcPr>
          <w:p w14:paraId="5BD67D3B">
            <w:pPr>
              <w:rPr>
                <w:rFonts w:ascii="Arial"/>
                <w:sz w:val="21"/>
              </w:rPr>
            </w:pPr>
          </w:p>
        </w:tc>
        <w:tc>
          <w:tcPr>
            <w:tcW w:w="697" w:type="dxa"/>
            <w:vMerge w:val="continue"/>
            <w:tcBorders>
              <w:top w:val="nil"/>
              <w:left w:val="single" w:color="000000" w:sz="4" w:space="0"/>
              <w:bottom w:val="single" w:color="000000" w:sz="10" w:space="0"/>
              <w:right w:val="single" w:color="000000" w:sz="4" w:space="0"/>
            </w:tcBorders>
            <w:vAlign w:val="top"/>
          </w:tcPr>
          <w:p w14:paraId="21DE306F">
            <w:pPr>
              <w:rPr>
                <w:rFonts w:ascii="Arial"/>
                <w:sz w:val="21"/>
              </w:rPr>
            </w:pPr>
          </w:p>
        </w:tc>
        <w:tc>
          <w:tcPr>
            <w:tcW w:w="733" w:type="dxa"/>
            <w:tcBorders>
              <w:top w:val="single" w:color="000000" w:sz="4" w:space="0"/>
              <w:left w:val="single" w:color="000000" w:sz="4" w:space="0"/>
              <w:bottom w:val="single" w:color="000000" w:sz="10" w:space="0"/>
              <w:right w:val="single" w:color="000000" w:sz="4" w:space="0"/>
            </w:tcBorders>
            <w:vAlign w:val="top"/>
          </w:tcPr>
          <w:p w14:paraId="45AE1A72">
            <w:pPr>
              <w:pStyle w:val="6"/>
              <w:spacing w:before="29" w:line="228" w:lineRule="auto"/>
              <w:ind w:left="165"/>
              <w:rPr>
                <w:sz w:val="20"/>
                <w:szCs w:val="20"/>
              </w:rPr>
            </w:pPr>
            <w:r>
              <w:rPr>
                <w:spacing w:val="3"/>
                <w:sz w:val="20"/>
                <w:szCs w:val="20"/>
              </w:rPr>
              <w:t>编织</w:t>
            </w:r>
          </w:p>
          <w:p w14:paraId="2AF4E016">
            <w:pPr>
              <w:pStyle w:val="6"/>
              <w:spacing w:before="24" w:line="226" w:lineRule="auto"/>
              <w:ind w:left="163"/>
              <w:rPr>
                <w:sz w:val="20"/>
                <w:szCs w:val="20"/>
              </w:rPr>
            </w:pPr>
            <w:r>
              <w:rPr>
                <w:spacing w:val="4"/>
                <w:sz w:val="20"/>
                <w:szCs w:val="20"/>
              </w:rPr>
              <w:t>袋内</w:t>
            </w:r>
          </w:p>
        </w:tc>
        <w:tc>
          <w:tcPr>
            <w:tcW w:w="735" w:type="dxa"/>
            <w:vMerge w:val="continue"/>
            <w:tcBorders>
              <w:top w:val="nil"/>
              <w:left w:val="single" w:color="000000" w:sz="4" w:space="0"/>
              <w:bottom w:val="single" w:color="000000" w:sz="10" w:space="0"/>
              <w:right w:val="single" w:color="000000" w:sz="4" w:space="0"/>
            </w:tcBorders>
            <w:vAlign w:val="top"/>
          </w:tcPr>
          <w:p w14:paraId="7182DD75">
            <w:pPr>
              <w:rPr>
                <w:rFonts w:ascii="Arial"/>
                <w:sz w:val="21"/>
              </w:rPr>
            </w:pPr>
          </w:p>
        </w:tc>
        <w:tc>
          <w:tcPr>
            <w:tcW w:w="905" w:type="dxa"/>
            <w:gridSpan w:val="2"/>
            <w:tcBorders>
              <w:top w:val="single" w:color="000000" w:sz="4" w:space="0"/>
              <w:left w:val="single" w:color="000000" w:sz="4" w:space="0"/>
              <w:bottom w:val="single" w:color="000000" w:sz="10" w:space="0"/>
              <w:right w:val="single" w:color="000000" w:sz="6" w:space="0"/>
            </w:tcBorders>
            <w:vAlign w:val="top"/>
          </w:tcPr>
          <w:p w14:paraId="1C047133">
            <w:pPr>
              <w:pStyle w:val="6"/>
              <w:spacing w:before="164" w:line="228" w:lineRule="auto"/>
              <w:ind w:left="91"/>
              <w:rPr>
                <w:sz w:val="20"/>
                <w:szCs w:val="20"/>
              </w:rPr>
            </w:pPr>
            <w:r>
              <w:rPr>
                <w:spacing w:val="7"/>
                <w:sz w:val="20"/>
                <w:szCs w:val="20"/>
              </w:rPr>
              <w:t>勘探期</w:t>
            </w:r>
          </w:p>
        </w:tc>
      </w:tr>
      <w:tr w14:paraId="16C2C3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9" w:hRule="atLeast"/>
        </w:trPr>
        <w:tc>
          <w:tcPr>
            <w:tcW w:w="495" w:type="dxa"/>
            <w:vMerge w:val="continue"/>
            <w:tcBorders>
              <w:top w:val="nil"/>
              <w:left w:val="single" w:color="000000" w:sz="6" w:space="0"/>
              <w:bottom w:val="nil"/>
            </w:tcBorders>
            <w:vAlign w:val="top"/>
          </w:tcPr>
          <w:p w14:paraId="740C9EA8">
            <w:pPr>
              <w:rPr>
                <w:rFonts w:ascii="Arial"/>
                <w:sz w:val="21"/>
              </w:rPr>
            </w:pPr>
          </w:p>
        </w:tc>
        <w:tc>
          <w:tcPr>
            <w:tcW w:w="8406" w:type="dxa"/>
            <w:gridSpan w:val="12"/>
            <w:tcBorders>
              <w:top w:val="single" w:color="000000" w:sz="10" w:space="0"/>
              <w:bottom w:val="single" w:color="000000" w:sz="10" w:space="0"/>
              <w:right w:val="single" w:color="000000" w:sz="6" w:space="0"/>
            </w:tcBorders>
            <w:vAlign w:val="top"/>
          </w:tcPr>
          <w:p w14:paraId="7C151C78">
            <w:pPr>
              <w:pStyle w:val="6"/>
              <w:spacing w:before="27" w:line="220" w:lineRule="auto"/>
              <w:ind w:left="584"/>
            </w:pPr>
            <w:r>
              <w:rPr>
                <w:rFonts w:ascii="Times New Roman" w:hAnsi="Times New Roman" w:eastAsia="Times New Roman" w:cs="Times New Roman"/>
                <w:spacing w:val="-4"/>
              </w:rPr>
              <w:t>2</w:t>
            </w:r>
            <w:r>
              <w:rPr>
                <w:rFonts w:ascii="Times New Roman" w:hAnsi="Times New Roman" w:eastAsia="Times New Roman" w:cs="Times New Roman"/>
                <w:spacing w:val="-27"/>
              </w:rPr>
              <w:t xml:space="preserve"> </w:t>
            </w:r>
            <w:r>
              <w:rPr>
                <w:spacing w:val="-4"/>
              </w:rPr>
              <w:t>、固体废物影响分析</w:t>
            </w:r>
          </w:p>
          <w:p w14:paraId="79BF3EFA">
            <w:pPr>
              <w:pStyle w:val="6"/>
              <w:spacing w:before="182" w:line="220" w:lineRule="auto"/>
              <w:ind w:left="600"/>
            </w:pPr>
            <w:r>
              <w:rPr>
                <w:spacing w:val="-2"/>
              </w:rPr>
              <w:t>（</w:t>
            </w:r>
            <w:r>
              <w:rPr>
                <w:rFonts w:ascii="Times New Roman" w:hAnsi="Times New Roman" w:eastAsia="Times New Roman" w:cs="Times New Roman"/>
                <w:spacing w:val="-2"/>
              </w:rPr>
              <w:t>1</w:t>
            </w:r>
            <w:r>
              <w:rPr>
                <w:spacing w:val="-2"/>
              </w:rPr>
              <w:t>）一般固体废物环境影响分析</w:t>
            </w:r>
          </w:p>
          <w:p w14:paraId="2A084F8F">
            <w:pPr>
              <w:pStyle w:val="6"/>
              <w:spacing w:before="181" w:line="359" w:lineRule="auto"/>
              <w:ind w:left="107" w:right="22" w:firstLine="484"/>
            </w:pPr>
            <w:r>
              <w:rPr>
                <w:spacing w:val="14"/>
              </w:rPr>
              <w:t>项</w:t>
            </w:r>
            <w:r>
              <w:rPr>
                <w:spacing w:val="-41"/>
              </w:rPr>
              <w:t xml:space="preserve"> </w:t>
            </w:r>
            <w:r>
              <w:rPr>
                <w:spacing w:val="14"/>
              </w:rPr>
              <w:t>目废弃泥浆</w:t>
            </w:r>
            <w:r>
              <w:rPr>
                <w:spacing w:val="-70"/>
              </w:rPr>
              <w:t xml:space="preserve"> </w:t>
            </w:r>
            <w:r>
              <w:rPr>
                <w:spacing w:val="14"/>
              </w:rPr>
              <w:t>、岩屑收集至泥浆不落地循环系</w:t>
            </w:r>
            <w:r>
              <w:rPr>
                <w:spacing w:val="13"/>
              </w:rPr>
              <w:t>统装置旁的</w:t>
            </w:r>
            <w:r>
              <w:rPr>
                <w:spacing w:val="-28"/>
              </w:rPr>
              <w:t xml:space="preserve"> </w:t>
            </w:r>
            <w:r>
              <w:rPr>
                <w:rFonts w:ascii="Times New Roman" w:hAnsi="Times New Roman" w:eastAsia="Times New Roman" w:cs="Times New Roman"/>
                <w:spacing w:val="13"/>
              </w:rPr>
              <w:t>3</w:t>
            </w:r>
            <w:r>
              <w:rPr>
                <w:rFonts w:ascii="Times New Roman" w:hAnsi="Times New Roman" w:eastAsia="Times New Roman" w:cs="Times New Roman"/>
                <w:spacing w:val="41"/>
              </w:rPr>
              <w:t xml:space="preserve"> </w:t>
            </w:r>
            <w:r>
              <w:rPr>
                <w:spacing w:val="13"/>
              </w:rPr>
              <w:t>具</w:t>
            </w:r>
            <w:r>
              <w:rPr>
                <w:spacing w:val="-27"/>
              </w:rPr>
              <w:t xml:space="preserve"> </w:t>
            </w:r>
            <w:r>
              <w:rPr>
                <w:rFonts w:ascii="Times New Roman" w:hAnsi="Times New Roman" w:eastAsia="Times New Roman" w:cs="Times New Roman"/>
                <w:spacing w:val="13"/>
              </w:rPr>
              <w:t>30m</w:t>
            </w:r>
            <w:r>
              <w:rPr>
                <w:rFonts w:ascii="Times New Roman" w:hAnsi="Times New Roman" w:eastAsia="Times New Roman" w:cs="Times New Roman"/>
                <w:spacing w:val="13"/>
                <w:position w:val="7"/>
                <w:sz w:val="15"/>
                <w:szCs w:val="15"/>
              </w:rPr>
              <w:t>3</w:t>
            </w:r>
            <w:r>
              <w:rPr>
                <w:rFonts w:ascii="Times New Roman" w:hAnsi="Times New Roman" w:eastAsia="Times New Roman" w:cs="Times New Roman"/>
                <w:position w:val="7"/>
                <w:sz w:val="15"/>
                <w:szCs w:val="15"/>
              </w:rPr>
              <w:t xml:space="preserve"> </w:t>
            </w:r>
            <w:r>
              <w:rPr>
                <w:spacing w:val="1"/>
              </w:rPr>
              <w:t>（</w:t>
            </w:r>
            <w:r>
              <w:rPr>
                <w:rFonts w:ascii="Times New Roman" w:hAnsi="Times New Roman" w:eastAsia="Times New Roman" w:cs="Times New Roman"/>
                <w:spacing w:val="1"/>
              </w:rPr>
              <w:t>2×2.5×6m</w:t>
            </w:r>
            <w:r>
              <w:rPr>
                <w:spacing w:val="1"/>
              </w:rPr>
              <w:t>）、壁厚约</w:t>
            </w:r>
            <w:r>
              <w:rPr>
                <w:spacing w:val="-35"/>
              </w:rPr>
              <w:t xml:space="preserve"> </w:t>
            </w:r>
            <w:r>
              <w:rPr>
                <w:rFonts w:ascii="Times New Roman" w:hAnsi="Times New Roman" w:eastAsia="Times New Roman" w:cs="Times New Roman"/>
                <w:spacing w:val="1"/>
              </w:rPr>
              <w:t>5</w:t>
            </w:r>
            <w:r>
              <w:rPr>
                <w:rFonts w:ascii="Times New Roman" w:hAnsi="Times New Roman" w:eastAsia="Times New Roman" w:cs="Times New Roman"/>
              </w:rPr>
              <w:t>mm</w:t>
            </w:r>
            <w:r>
              <w:rPr>
                <w:rFonts w:ascii="Times New Roman" w:hAnsi="Times New Roman" w:eastAsia="Times New Roman" w:cs="Times New Roman"/>
                <w:spacing w:val="32"/>
              </w:rPr>
              <w:t xml:space="preserve"> </w:t>
            </w:r>
            <w:r>
              <w:rPr>
                <w:spacing w:val="1"/>
              </w:rPr>
              <w:t>的可移动废水罐临时贮存，定期拉运至内蒙古众宁环保科技有限公司油气田废弃物集中处理厂处理；泥浆不</w:t>
            </w:r>
            <w:r>
              <w:t>落地循环系统装置</w:t>
            </w:r>
            <w:r>
              <w:rPr>
                <w:spacing w:val="16"/>
              </w:rPr>
              <w:t>配备防渗防溢钻井泥浆循环罐，下方铺设双层防渗膜，</w:t>
            </w:r>
            <w:r>
              <w:rPr>
                <w:spacing w:val="15"/>
              </w:rPr>
              <w:t>防渗性能可以满足</w:t>
            </w:r>
            <w:r>
              <w:rPr>
                <w:rFonts w:ascii="Times New Roman" w:hAnsi="Times New Roman" w:eastAsia="Times New Roman" w:cs="Times New Roman"/>
                <w:spacing w:val="1"/>
              </w:rPr>
              <w:t>1.0×10</w:t>
            </w:r>
            <w:r>
              <w:rPr>
                <w:rFonts w:ascii="Times New Roman" w:hAnsi="Times New Roman" w:eastAsia="Times New Roman" w:cs="Times New Roman"/>
                <w:spacing w:val="1"/>
                <w:position w:val="8"/>
                <w:sz w:val="15"/>
                <w:szCs w:val="15"/>
              </w:rPr>
              <w:t>-</w:t>
            </w:r>
            <w:r>
              <w:rPr>
                <w:rFonts w:ascii="Times New Roman" w:hAnsi="Times New Roman" w:eastAsia="Times New Roman" w:cs="Times New Roman"/>
                <w:spacing w:val="-20"/>
                <w:position w:val="8"/>
                <w:sz w:val="15"/>
                <w:szCs w:val="15"/>
              </w:rPr>
              <w:t xml:space="preserve"> </w:t>
            </w:r>
            <w:r>
              <w:rPr>
                <w:rFonts w:ascii="Times New Roman" w:hAnsi="Times New Roman" w:eastAsia="Times New Roman" w:cs="Times New Roman"/>
                <w:spacing w:val="1"/>
                <w:position w:val="8"/>
                <w:sz w:val="15"/>
                <w:szCs w:val="15"/>
              </w:rPr>
              <w:t>10</w:t>
            </w:r>
            <w:r>
              <w:rPr>
                <w:rFonts w:ascii="Times New Roman" w:hAnsi="Times New Roman" w:eastAsia="Times New Roman" w:cs="Times New Roman"/>
              </w:rPr>
              <w:t>cm</w:t>
            </w:r>
            <w:r>
              <w:rPr>
                <w:rFonts w:ascii="Times New Roman" w:hAnsi="Times New Roman" w:eastAsia="Times New Roman" w:cs="Times New Roman"/>
                <w:spacing w:val="1"/>
              </w:rPr>
              <w:t>/s</w:t>
            </w:r>
            <w:r>
              <w:rPr>
                <w:rFonts w:ascii="Times New Roman" w:hAnsi="Times New Roman" w:eastAsia="Times New Roman" w:cs="Times New Roman"/>
                <w:spacing w:val="31"/>
                <w:w w:val="101"/>
              </w:rPr>
              <w:t xml:space="preserve"> </w:t>
            </w:r>
            <w:r>
              <w:rPr>
                <w:spacing w:val="1"/>
              </w:rPr>
              <w:t>的要求，能够有效防止钻井泥浆循</w:t>
            </w:r>
            <w:r>
              <w:t>环罐中的污染物下渗，可避免</w:t>
            </w:r>
            <w:r>
              <w:rPr>
                <w:spacing w:val="-4"/>
              </w:rPr>
              <w:t>对土壤、地下水环境等产生影响。生活垃圾集中收集后委托当地环卫部门处理。</w:t>
            </w:r>
            <w:r>
              <w:t>项目一般工业固体废物全部妥善处置，不外排，不会</w:t>
            </w:r>
            <w:r>
              <w:rPr>
                <w:spacing w:val="-1"/>
              </w:rPr>
              <w:t>对周围环境产生影响。</w:t>
            </w:r>
          </w:p>
          <w:p w14:paraId="5D3525A7">
            <w:pPr>
              <w:pStyle w:val="6"/>
              <w:spacing w:line="220" w:lineRule="auto"/>
              <w:ind w:left="600"/>
            </w:pPr>
            <w:r>
              <w:rPr>
                <w:spacing w:val="-2"/>
              </w:rPr>
              <w:t>（</w:t>
            </w:r>
            <w:r>
              <w:rPr>
                <w:rFonts w:ascii="Times New Roman" w:hAnsi="Times New Roman" w:eastAsia="Times New Roman" w:cs="Times New Roman"/>
                <w:spacing w:val="-2"/>
              </w:rPr>
              <w:t>2</w:t>
            </w:r>
            <w:r>
              <w:rPr>
                <w:spacing w:val="-2"/>
              </w:rPr>
              <w:t>）危险废物环境影响分析</w:t>
            </w:r>
          </w:p>
          <w:p w14:paraId="418DC373">
            <w:pPr>
              <w:pStyle w:val="6"/>
              <w:spacing w:before="182" w:line="217" w:lineRule="auto"/>
              <w:ind w:left="587"/>
            </w:pPr>
            <w:r>
              <w:rPr>
                <w:spacing w:val="-1"/>
              </w:rPr>
              <w:t>①危险废物贮存场所选址分析</w:t>
            </w:r>
          </w:p>
          <w:p w14:paraId="3B1AE0B2">
            <w:pPr>
              <w:pStyle w:val="6"/>
              <w:spacing w:before="183" w:line="359" w:lineRule="auto"/>
              <w:ind w:left="110" w:right="100" w:firstLine="480"/>
            </w:pPr>
            <w:r>
              <w:rPr>
                <w:spacing w:val="1"/>
              </w:rPr>
              <w:t>危险废物收集后暂存于井场撬装式危废贮存点内，</w:t>
            </w:r>
            <w:r>
              <w:t>选址与《危险废物贮存污染控制标准》（</w:t>
            </w:r>
            <w:r>
              <w:rPr>
                <w:rFonts w:ascii="Times New Roman" w:hAnsi="Times New Roman" w:eastAsia="Times New Roman" w:cs="Times New Roman"/>
              </w:rPr>
              <w:t>GB18597-2023</w:t>
            </w:r>
            <w:r>
              <w:t>）</w:t>
            </w:r>
            <w:r>
              <w:rPr>
                <w:spacing w:val="-1"/>
              </w:rPr>
              <w:t>相关要求符合性分析见下表。</w:t>
            </w:r>
          </w:p>
          <w:p w14:paraId="5EE2BC5A">
            <w:pPr>
              <w:spacing w:line="209" w:lineRule="auto"/>
              <w:ind w:left="2368"/>
              <w:rPr>
                <w:rFonts w:ascii="黑体" w:hAnsi="黑体" w:eastAsia="黑体" w:cs="黑体"/>
                <w:sz w:val="24"/>
                <w:szCs w:val="24"/>
              </w:rPr>
            </w:pPr>
            <w:r>
              <w:rPr>
                <w:rFonts w:ascii="黑体" w:hAnsi="黑体" w:eastAsia="黑体" w:cs="黑体"/>
                <w:spacing w:val="-3"/>
                <w:sz w:val="24"/>
                <w:szCs w:val="24"/>
              </w:rPr>
              <w:t>表</w:t>
            </w:r>
            <w:r>
              <w:rPr>
                <w:rFonts w:ascii="Times New Roman" w:hAnsi="Times New Roman" w:eastAsia="Times New Roman" w:cs="Times New Roman"/>
                <w:spacing w:val="-3"/>
                <w:sz w:val="24"/>
                <w:szCs w:val="24"/>
              </w:rPr>
              <w:t>4-</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pacing w:val="-3"/>
                <w:sz w:val="24"/>
                <w:szCs w:val="24"/>
              </w:rPr>
              <w:t xml:space="preserve">10  </w:t>
            </w:r>
            <w:r>
              <w:rPr>
                <w:rFonts w:ascii="黑体" w:hAnsi="黑体" w:eastAsia="黑体" w:cs="黑体"/>
                <w:spacing w:val="-3"/>
                <w:sz w:val="24"/>
                <w:szCs w:val="24"/>
              </w:rPr>
              <w:t>危险废物贮存场所选址分析</w:t>
            </w:r>
          </w:p>
        </w:tc>
      </w:tr>
      <w:tr w14:paraId="724519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495" w:type="dxa"/>
            <w:vMerge w:val="continue"/>
            <w:tcBorders>
              <w:top w:val="nil"/>
              <w:left w:val="single" w:color="000000" w:sz="6" w:space="0"/>
              <w:bottom w:val="nil"/>
            </w:tcBorders>
            <w:vAlign w:val="top"/>
          </w:tcPr>
          <w:p w14:paraId="6CB8596C">
            <w:pPr>
              <w:rPr>
                <w:rFonts w:ascii="Arial"/>
                <w:sz w:val="21"/>
              </w:rPr>
            </w:pPr>
          </w:p>
        </w:tc>
        <w:tc>
          <w:tcPr>
            <w:tcW w:w="3335" w:type="dxa"/>
            <w:gridSpan w:val="5"/>
            <w:tcBorders>
              <w:top w:val="single" w:color="000000" w:sz="10" w:space="0"/>
            </w:tcBorders>
            <w:vAlign w:val="top"/>
          </w:tcPr>
          <w:p w14:paraId="74B323D9">
            <w:pPr>
              <w:pStyle w:val="6"/>
              <w:spacing w:before="178" w:line="229" w:lineRule="auto"/>
              <w:ind w:left="1340"/>
              <w:rPr>
                <w:sz w:val="20"/>
                <w:szCs w:val="20"/>
              </w:rPr>
            </w:pPr>
            <w:r>
              <w:rPr>
                <w:b/>
                <w:bCs/>
                <w:spacing w:val="-7"/>
                <w:sz w:val="20"/>
                <w:szCs w:val="20"/>
              </w:rPr>
              <w:t>选址要求</w:t>
            </w:r>
          </w:p>
        </w:tc>
        <w:tc>
          <w:tcPr>
            <w:tcW w:w="4276" w:type="dxa"/>
            <w:gridSpan w:val="6"/>
            <w:tcBorders>
              <w:top w:val="single" w:color="000000" w:sz="10" w:space="0"/>
            </w:tcBorders>
            <w:vAlign w:val="top"/>
          </w:tcPr>
          <w:p w14:paraId="6E7ECAB9">
            <w:pPr>
              <w:pStyle w:val="6"/>
              <w:spacing w:before="178" w:line="228" w:lineRule="auto"/>
              <w:ind w:left="1768"/>
              <w:rPr>
                <w:sz w:val="20"/>
                <w:szCs w:val="20"/>
              </w:rPr>
            </w:pPr>
            <w:r>
              <w:rPr>
                <w:b/>
                <w:bCs/>
                <w:spacing w:val="-8"/>
                <w:sz w:val="20"/>
                <w:szCs w:val="20"/>
              </w:rPr>
              <w:t>项目情况</w:t>
            </w:r>
          </w:p>
        </w:tc>
        <w:tc>
          <w:tcPr>
            <w:tcW w:w="795" w:type="dxa"/>
            <w:tcBorders>
              <w:top w:val="single" w:color="000000" w:sz="10" w:space="0"/>
              <w:right w:val="single" w:color="000000" w:sz="6" w:space="0"/>
            </w:tcBorders>
            <w:vAlign w:val="top"/>
          </w:tcPr>
          <w:p w14:paraId="0850A105">
            <w:pPr>
              <w:pStyle w:val="6"/>
              <w:spacing w:before="177" w:line="228" w:lineRule="auto"/>
              <w:ind w:left="65"/>
              <w:rPr>
                <w:sz w:val="20"/>
                <w:szCs w:val="20"/>
              </w:rPr>
            </w:pPr>
            <w:r>
              <w:rPr>
                <w:b/>
                <w:bCs/>
                <w:spacing w:val="-6"/>
                <w:sz w:val="20"/>
                <w:szCs w:val="20"/>
              </w:rPr>
              <w:t>符合性</w:t>
            </w:r>
          </w:p>
        </w:tc>
      </w:tr>
      <w:tr w14:paraId="5D603B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495" w:type="dxa"/>
            <w:vMerge w:val="continue"/>
            <w:tcBorders>
              <w:top w:val="nil"/>
              <w:left w:val="single" w:color="000000" w:sz="6" w:space="0"/>
              <w:bottom w:val="nil"/>
            </w:tcBorders>
            <w:vAlign w:val="top"/>
          </w:tcPr>
          <w:p w14:paraId="4CEE6CD1">
            <w:pPr>
              <w:rPr>
                <w:rFonts w:ascii="Arial"/>
                <w:sz w:val="21"/>
              </w:rPr>
            </w:pPr>
          </w:p>
        </w:tc>
        <w:tc>
          <w:tcPr>
            <w:tcW w:w="3335" w:type="dxa"/>
            <w:gridSpan w:val="5"/>
            <w:vAlign w:val="top"/>
          </w:tcPr>
          <w:p w14:paraId="74C5A49B">
            <w:pPr>
              <w:pStyle w:val="6"/>
              <w:spacing w:before="38" w:line="241" w:lineRule="auto"/>
              <w:ind w:left="134" w:right="28"/>
              <w:jc w:val="both"/>
              <w:rPr>
                <w:sz w:val="20"/>
                <w:szCs w:val="20"/>
              </w:rPr>
            </w:pPr>
            <w:r>
              <w:rPr>
                <w:spacing w:val="11"/>
                <w:sz w:val="20"/>
                <w:szCs w:val="20"/>
              </w:rPr>
              <w:t>贮存设施选址应满足生态环境保护</w:t>
            </w:r>
            <w:r>
              <w:rPr>
                <w:spacing w:val="9"/>
                <w:sz w:val="20"/>
                <w:szCs w:val="20"/>
              </w:rPr>
              <w:t>法律法规、规划和“三线一单</w:t>
            </w:r>
            <w:r>
              <w:rPr>
                <w:spacing w:val="-69"/>
                <w:sz w:val="20"/>
                <w:szCs w:val="20"/>
              </w:rPr>
              <w:t xml:space="preserve"> </w:t>
            </w:r>
            <w:r>
              <w:rPr>
                <w:spacing w:val="9"/>
                <w:sz w:val="20"/>
                <w:szCs w:val="20"/>
              </w:rPr>
              <w:t>”生</w:t>
            </w:r>
            <w:r>
              <w:rPr>
                <w:spacing w:val="11"/>
                <w:sz w:val="20"/>
                <w:szCs w:val="20"/>
              </w:rPr>
              <w:t>态环境分区管控的要求，建设项目</w:t>
            </w:r>
            <w:r>
              <w:rPr>
                <w:spacing w:val="9"/>
                <w:sz w:val="20"/>
                <w:szCs w:val="20"/>
              </w:rPr>
              <w:t>应依法进行环境影响评价</w:t>
            </w:r>
          </w:p>
        </w:tc>
        <w:tc>
          <w:tcPr>
            <w:tcW w:w="4276" w:type="dxa"/>
            <w:gridSpan w:val="6"/>
            <w:vAlign w:val="top"/>
          </w:tcPr>
          <w:p w14:paraId="145BE161">
            <w:pPr>
              <w:spacing w:line="245" w:lineRule="auto"/>
              <w:rPr>
                <w:rFonts w:ascii="Arial"/>
                <w:sz w:val="21"/>
              </w:rPr>
            </w:pPr>
          </w:p>
          <w:p w14:paraId="18B08EBE">
            <w:pPr>
              <w:pStyle w:val="6"/>
              <w:spacing w:before="65" w:line="254" w:lineRule="auto"/>
              <w:ind w:left="21" w:right="49" w:firstLine="433"/>
              <w:rPr>
                <w:sz w:val="20"/>
                <w:szCs w:val="20"/>
              </w:rPr>
            </w:pPr>
            <w:r>
              <w:rPr>
                <w:spacing w:val="9"/>
                <w:sz w:val="20"/>
                <w:szCs w:val="20"/>
              </w:rPr>
              <w:t>项目满足生态环境保护法律法规、规划和</w:t>
            </w:r>
            <w:r>
              <w:rPr>
                <w:spacing w:val="7"/>
                <w:sz w:val="20"/>
                <w:szCs w:val="20"/>
              </w:rPr>
              <w:t>“三线一单</w:t>
            </w:r>
            <w:r>
              <w:rPr>
                <w:spacing w:val="-57"/>
                <w:sz w:val="20"/>
                <w:szCs w:val="20"/>
              </w:rPr>
              <w:t xml:space="preserve"> </w:t>
            </w:r>
            <w:r>
              <w:rPr>
                <w:spacing w:val="7"/>
                <w:sz w:val="20"/>
                <w:szCs w:val="20"/>
              </w:rPr>
              <w:t>”生态环境分区管控的要求。</w:t>
            </w:r>
          </w:p>
        </w:tc>
        <w:tc>
          <w:tcPr>
            <w:tcW w:w="795" w:type="dxa"/>
            <w:tcBorders>
              <w:right w:val="single" w:color="000000" w:sz="6" w:space="0"/>
            </w:tcBorders>
            <w:vAlign w:val="top"/>
          </w:tcPr>
          <w:p w14:paraId="56B5633E">
            <w:pPr>
              <w:spacing w:line="380" w:lineRule="auto"/>
              <w:rPr>
                <w:rFonts w:ascii="Arial"/>
                <w:sz w:val="21"/>
              </w:rPr>
            </w:pPr>
          </w:p>
          <w:p w14:paraId="3F57976A">
            <w:pPr>
              <w:pStyle w:val="6"/>
              <w:spacing w:before="65" w:line="228" w:lineRule="auto"/>
              <w:ind w:left="142"/>
              <w:rPr>
                <w:sz w:val="20"/>
                <w:szCs w:val="20"/>
              </w:rPr>
            </w:pPr>
            <w:r>
              <w:rPr>
                <w:spacing w:val="3"/>
                <w:sz w:val="20"/>
                <w:szCs w:val="20"/>
              </w:rPr>
              <w:t>符合</w:t>
            </w:r>
          </w:p>
        </w:tc>
      </w:tr>
      <w:tr w14:paraId="38540E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495" w:type="dxa"/>
            <w:vMerge w:val="continue"/>
            <w:tcBorders>
              <w:top w:val="nil"/>
              <w:left w:val="single" w:color="000000" w:sz="6" w:space="0"/>
              <w:bottom w:val="nil"/>
            </w:tcBorders>
            <w:vAlign w:val="top"/>
          </w:tcPr>
          <w:p w14:paraId="7C7512F0">
            <w:pPr>
              <w:rPr>
                <w:rFonts w:ascii="Arial"/>
                <w:sz w:val="21"/>
              </w:rPr>
            </w:pPr>
          </w:p>
        </w:tc>
        <w:tc>
          <w:tcPr>
            <w:tcW w:w="3335" w:type="dxa"/>
            <w:gridSpan w:val="5"/>
            <w:vAlign w:val="top"/>
          </w:tcPr>
          <w:p w14:paraId="51EF6653">
            <w:pPr>
              <w:spacing w:line="246" w:lineRule="auto"/>
              <w:rPr>
                <w:rFonts w:ascii="Arial"/>
                <w:sz w:val="21"/>
              </w:rPr>
            </w:pPr>
          </w:p>
          <w:p w14:paraId="4DF85BED">
            <w:pPr>
              <w:pStyle w:val="6"/>
              <w:spacing w:before="65" w:line="252" w:lineRule="auto"/>
              <w:ind w:left="133" w:right="28"/>
              <w:rPr>
                <w:sz w:val="20"/>
                <w:szCs w:val="20"/>
              </w:rPr>
            </w:pPr>
            <w:r>
              <w:rPr>
                <w:spacing w:val="11"/>
                <w:sz w:val="20"/>
                <w:szCs w:val="20"/>
              </w:rPr>
              <w:t>集中贮存设施不应选在生态保护红线区域、永久基本农田和其他需要特别保护的区域内，不应建在溶洞区或易遭受洪水、滑坡、泥石流、</w:t>
            </w:r>
            <w:r>
              <w:rPr>
                <w:spacing w:val="9"/>
                <w:sz w:val="20"/>
                <w:szCs w:val="20"/>
              </w:rPr>
              <w:t>潮汐等严重自然灾害影响的地区</w:t>
            </w:r>
          </w:p>
        </w:tc>
        <w:tc>
          <w:tcPr>
            <w:tcW w:w="4276" w:type="dxa"/>
            <w:gridSpan w:val="6"/>
            <w:vAlign w:val="top"/>
          </w:tcPr>
          <w:p w14:paraId="1933050A">
            <w:pPr>
              <w:pStyle w:val="6"/>
              <w:spacing w:before="42" w:line="245" w:lineRule="auto"/>
              <w:ind w:left="31" w:right="46" w:firstLine="424"/>
              <w:rPr>
                <w:sz w:val="20"/>
                <w:szCs w:val="20"/>
              </w:rPr>
            </w:pPr>
            <w:r>
              <w:rPr>
                <w:spacing w:val="9"/>
                <w:sz w:val="20"/>
                <w:szCs w:val="20"/>
              </w:rPr>
              <w:t>项目撬装式危废贮存点不属于集中贮存设施，设置在井场施工范围内，贮存的危险废物定期委托有资质单位拉运处置，施工结束后撬装式危废贮存点拉运至下一个井场继续使用。撬装式危废贮存点所在井场不在生态保护红线区域和其他需要特别保护的区域内，不在易受</w:t>
            </w:r>
            <w:r>
              <w:rPr>
                <w:spacing w:val="8"/>
                <w:sz w:val="20"/>
                <w:szCs w:val="20"/>
              </w:rPr>
              <w:t>严重自然灾害影响的地区。</w:t>
            </w:r>
          </w:p>
        </w:tc>
        <w:tc>
          <w:tcPr>
            <w:tcW w:w="795" w:type="dxa"/>
            <w:tcBorders>
              <w:right w:val="single" w:color="000000" w:sz="6" w:space="0"/>
            </w:tcBorders>
            <w:vAlign w:val="top"/>
          </w:tcPr>
          <w:p w14:paraId="1259C299">
            <w:pPr>
              <w:spacing w:line="262" w:lineRule="auto"/>
              <w:rPr>
                <w:rFonts w:ascii="Arial"/>
                <w:sz w:val="21"/>
              </w:rPr>
            </w:pPr>
          </w:p>
          <w:p w14:paraId="62FAD6AA">
            <w:pPr>
              <w:spacing w:line="262" w:lineRule="auto"/>
              <w:rPr>
                <w:rFonts w:ascii="Arial"/>
                <w:sz w:val="21"/>
              </w:rPr>
            </w:pPr>
          </w:p>
          <w:p w14:paraId="1D09DBC1">
            <w:pPr>
              <w:spacing w:line="263" w:lineRule="auto"/>
              <w:rPr>
                <w:rFonts w:ascii="Arial"/>
                <w:sz w:val="21"/>
              </w:rPr>
            </w:pPr>
          </w:p>
          <w:p w14:paraId="79DD0CF1">
            <w:pPr>
              <w:pStyle w:val="6"/>
              <w:spacing w:before="65" w:line="228" w:lineRule="auto"/>
              <w:ind w:left="142"/>
              <w:rPr>
                <w:sz w:val="20"/>
                <w:szCs w:val="20"/>
              </w:rPr>
            </w:pPr>
            <w:r>
              <w:rPr>
                <w:spacing w:val="3"/>
                <w:sz w:val="20"/>
                <w:szCs w:val="20"/>
              </w:rPr>
              <w:t>符合</w:t>
            </w:r>
          </w:p>
        </w:tc>
      </w:tr>
      <w:tr w14:paraId="2C95B5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495" w:type="dxa"/>
            <w:vMerge w:val="continue"/>
            <w:tcBorders>
              <w:top w:val="nil"/>
              <w:left w:val="single" w:color="000000" w:sz="6" w:space="0"/>
              <w:bottom w:val="nil"/>
            </w:tcBorders>
            <w:vAlign w:val="top"/>
          </w:tcPr>
          <w:p w14:paraId="15FC3C96">
            <w:pPr>
              <w:rPr>
                <w:rFonts w:ascii="Arial"/>
                <w:sz w:val="21"/>
              </w:rPr>
            </w:pPr>
          </w:p>
        </w:tc>
        <w:tc>
          <w:tcPr>
            <w:tcW w:w="3335" w:type="dxa"/>
            <w:gridSpan w:val="5"/>
            <w:vAlign w:val="top"/>
          </w:tcPr>
          <w:p w14:paraId="33C5BD6F">
            <w:pPr>
              <w:pStyle w:val="6"/>
              <w:spacing w:before="42"/>
              <w:ind w:left="133" w:right="28" w:firstLine="1"/>
              <w:jc w:val="both"/>
              <w:rPr>
                <w:sz w:val="20"/>
                <w:szCs w:val="20"/>
              </w:rPr>
            </w:pPr>
            <w:r>
              <w:rPr>
                <w:spacing w:val="11"/>
                <w:sz w:val="20"/>
                <w:szCs w:val="20"/>
              </w:rPr>
              <w:t>贮存设施不应选在江河、湖泊、运河、渠道、水库及其最高水位线以</w:t>
            </w:r>
            <w:r>
              <w:rPr>
                <w:spacing w:val="8"/>
                <w:sz w:val="20"/>
                <w:szCs w:val="20"/>
              </w:rPr>
              <w:t>下的滩地和岸坡，</w:t>
            </w:r>
            <w:r>
              <w:rPr>
                <w:spacing w:val="-54"/>
                <w:sz w:val="20"/>
                <w:szCs w:val="20"/>
              </w:rPr>
              <w:t xml:space="preserve"> </w:t>
            </w:r>
            <w:r>
              <w:rPr>
                <w:spacing w:val="8"/>
                <w:sz w:val="20"/>
                <w:szCs w:val="20"/>
              </w:rPr>
              <w:t>以及法律法规规</w:t>
            </w:r>
            <w:r>
              <w:rPr>
                <w:spacing w:val="9"/>
                <w:sz w:val="20"/>
                <w:szCs w:val="20"/>
              </w:rPr>
              <w:t>定禁止贮存危险废物的其他地点</w:t>
            </w:r>
          </w:p>
        </w:tc>
        <w:tc>
          <w:tcPr>
            <w:tcW w:w="4276" w:type="dxa"/>
            <w:gridSpan w:val="6"/>
            <w:vAlign w:val="top"/>
          </w:tcPr>
          <w:p w14:paraId="0B2CED5C">
            <w:pPr>
              <w:spacing w:line="247" w:lineRule="auto"/>
              <w:rPr>
                <w:rFonts w:ascii="Arial"/>
                <w:sz w:val="21"/>
              </w:rPr>
            </w:pPr>
          </w:p>
          <w:p w14:paraId="0585410C">
            <w:pPr>
              <w:pStyle w:val="6"/>
              <w:spacing w:before="65" w:line="254" w:lineRule="auto"/>
              <w:ind w:left="31" w:right="49" w:firstLine="423"/>
              <w:rPr>
                <w:sz w:val="20"/>
                <w:szCs w:val="20"/>
              </w:rPr>
            </w:pPr>
            <w:r>
              <w:rPr>
                <w:spacing w:val="9"/>
                <w:sz w:val="20"/>
                <w:szCs w:val="20"/>
              </w:rPr>
              <w:t>项目不在江河、湖泊等最高水位线以下的</w:t>
            </w:r>
            <w:r>
              <w:rPr>
                <w:spacing w:val="6"/>
                <w:sz w:val="20"/>
                <w:szCs w:val="20"/>
              </w:rPr>
              <w:t>滩地和岸坡。</w:t>
            </w:r>
          </w:p>
        </w:tc>
        <w:tc>
          <w:tcPr>
            <w:tcW w:w="795" w:type="dxa"/>
            <w:tcBorders>
              <w:right w:val="single" w:color="000000" w:sz="6" w:space="0"/>
            </w:tcBorders>
            <w:vAlign w:val="top"/>
          </w:tcPr>
          <w:p w14:paraId="11081100">
            <w:pPr>
              <w:spacing w:line="382" w:lineRule="auto"/>
              <w:rPr>
                <w:rFonts w:ascii="Arial"/>
                <w:sz w:val="21"/>
              </w:rPr>
            </w:pPr>
          </w:p>
          <w:p w14:paraId="6326625D">
            <w:pPr>
              <w:pStyle w:val="6"/>
              <w:spacing w:before="65" w:line="228" w:lineRule="auto"/>
              <w:ind w:left="142"/>
              <w:rPr>
                <w:sz w:val="20"/>
                <w:szCs w:val="20"/>
              </w:rPr>
            </w:pPr>
            <w:r>
              <w:rPr>
                <w:spacing w:val="3"/>
                <w:sz w:val="20"/>
                <w:szCs w:val="20"/>
              </w:rPr>
              <w:t>符合</w:t>
            </w:r>
          </w:p>
        </w:tc>
      </w:tr>
      <w:tr w14:paraId="05D9E4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5" w:hRule="atLeast"/>
        </w:trPr>
        <w:tc>
          <w:tcPr>
            <w:tcW w:w="495" w:type="dxa"/>
            <w:vMerge w:val="continue"/>
            <w:tcBorders>
              <w:top w:val="nil"/>
              <w:left w:val="single" w:color="000000" w:sz="6" w:space="0"/>
              <w:bottom w:val="nil"/>
            </w:tcBorders>
            <w:vAlign w:val="top"/>
          </w:tcPr>
          <w:p w14:paraId="2253F47C">
            <w:pPr>
              <w:rPr>
                <w:rFonts w:ascii="Arial"/>
                <w:sz w:val="21"/>
              </w:rPr>
            </w:pPr>
          </w:p>
        </w:tc>
        <w:tc>
          <w:tcPr>
            <w:tcW w:w="3335" w:type="dxa"/>
            <w:gridSpan w:val="5"/>
            <w:tcBorders>
              <w:bottom w:val="single" w:color="000000" w:sz="10" w:space="0"/>
            </w:tcBorders>
            <w:vAlign w:val="top"/>
          </w:tcPr>
          <w:p w14:paraId="4E07A2A2">
            <w:pPr>
              <w:pStyle w:val="6"/>
              <w:spacing w:before="126" w:line="251" w:lineRule="auto"/>
              <w:ind w:left="134" w:right="28"/>
              <w:jc w:val="both"/>
              <w:rPr>
                <w:sz w:val="20"/>
                <w:szCs w:val="20"/>
              </w:rPr>
            </w:pPr>
            <w:r>
              <w:rPr>
                <w:spacing w:val="11"/>
                <w:sz w:val="20"/>
                <w:szCs w:val="20"/>
              </w:rPr>
              <w:t>贮存设施场址的位置以及其与周围环境敏感目标的距离应依据环境影</w:t>
            </w:r>
            <w:r>
              <w:rPr>
                <w:spacing w:val="8"/>
                <w:sz w:val="20"/>
                <w:szCs w:val="20"/>
              </w:rPr>
              <w:t>响评价文件确定</w:t>
            </w:r>
          </w:p>
        </w:tc>
        <w:tc>
          <w:tcPr>
            <w:tcW w:w="4276" w:type="dxa"/>
            <w:gridSpan w:val="6"/>
            <w:tcBorders>
              <w:bottom w:val="single" w:color="000000" w:sz="10" w:space="0"/>
            </w:tcBorders>
            <w:vAlign w:val="top"/>
          </w:tcPr>
          <w:p w14:paraId="7D00D199">
            <w:pPr>
              <w:pStyle w:val="6"/>
              <w:spacing w:before="127" w:line="251" w:lineRule="auto"/>
              <w:ind w:left="31" w:firstLine="418"/>
              <w:jc w:val="both"/>
              <w:rPr>
                <w:sz w:val="20"/>
                <w:szCs w:val="20"/>
              </w:rPr>
            </w:pPr>
            <w:r>
              <w:rPr>
                <w:spacing w:val="8"/>
                <w:sz w:val="20"/>
                <w:szCs w:val="20"/>
              </w:rPr>
              <w:t>项目仅涉及施工期，施工期危险废物产生量较小，且撬装式危废贮存点采取了重点防渗</w:t>
            </w:r>
            <w:r>
              <w:rPr>
                <w:spacing w:val="1"/>
                <w:sz w:val="20"/>
                <w:szCs w:val="20"/>
              </w:rPr>
              <w:t>措施，不会对周围环境敏感目标产生污染影响。</w:t>
            </w:r>
          </w:p>
        </w:tc>
        <w:tc>
          <w:tcPr>
            <w:tcW w:w="795" w:type="dxa"/>
            <w:tcBorders>
              <w:bottom w:val="single" w:color="000000" w:sz="10" w:space="0"/>
              <w:right w:val="single" w:color="000000" w:sz="6" w:space="0"/>
            </w:tcBorders>
            <w:vAlign w:val="top"/>
          </w:tcPr>
          <w:p w14:paraId="573BE26D">
            <w:pPr>
              <w:spacing w:line="331" w:lineRule="auto"/>
              <w:rPr>
                <w:rFonts w:ascii="Arial"/>
                <w:sz w:val="21"/>
              </w:rPr>
            </w:pPr>
          </w:p>
          <w:p w14:paraId="755F994A">
            <w:pPr>
              <w:pStyle w:val="6"/>
              <w:spacing w:before="65" w:line="228" w:lineRule="auto"/>
              <w:ind w:left="142"/>
              <w:rPr>
                <w:sz w:val="20"/>
                <w:szCs w:val="20"/>
              </w:rPr>
            </w:pPr>
            <w:r>
              <w:rPr>
                <w:spacing w:val="3"/>
                <w:sz w:val="20"/>
                <w:szCs w:val="20"/>
              </w:rPr>
              <w:t>符合</w:t>
            </w:r>
          </w:p>
        </w:tc>
      </w:tr>
      <w:tr w14:paraId="3491AE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495" w:type="dxa"/>
            <w:vMerge w:val="continue"/>
            <w:tcBorders>
              <w:top w:val="nil"/>
              <w:left w:val="single" w:color="000000" w:sz="6" w:space="0"/>
              <w:bottom w:val="single" w:color="000000" w:sz="6" w:space="0"/>
            </w:tcBorders>
            <w:vAlign w:val="top"/>
          </w:tcPr>
          <w:p w14:paraId="3F4B99A2">
            <w:pPr>
              <w:rPr>
                <w:rFonts w:ascii="Arial"/>
                <w:sz w:val="21"/>
              </w:rPr>
            </w:pPr>
          </w:p>
        </w:tc>
        <w:tc>
          <w:tcPr>
            <w:tcW w:w="8406" w:type="dxa"/>
            <w:gridSpan w:val="12"/>
            <w:tcBorders>
              <w:top w:val="single" w:color="000000" w:sz="10" w:space="0"/>
              <w:bottom w:val="single" w:color="000000" w:sz="6" w:space="0"/>
              <w:right w:val="single" w:color="000000" w:sz="6" w:space="0"/>
            </w:tcBorders>
            <w:vAlign w:val="top"/>
          </w:tcPr>
          <w:p w14:paraId="256C6D0E">
            <w:pPr>
              <w:pStyle w:val="6"/>
              <w:spacing w:before="41" w:line="219" w:lineRule="auto"/>
              <w:jc w:val="right"/>
            </w:pPr>
            <w:r>
              <w:rPr>
                <w:spacing w:val="-4"/>
              </w:rPr>
              <w:t>综上，危险废物撬装式危废贮存点选址符合《危险废物贮存污染控制标准》</w:t>
            </w:r>
          </w:p>
        </w:tc>
      </w:tr>
    </w:tbl>
    <w:p w14:paraId="50F7B9A8">
      <w:pPr>
        <w:spacing w:line="231" w:lineRule="exact"/>
        <w:rPr>
          <w:rFonts w:ascii="Arial"/>
          <w:sz w:val="20"/>
        </w:rPr>
      </w:pPr>
    </w:p>
    <w:p w14:paraId="338ED285">
      <w:pPr>
        <w:spacing w:line="231" w:lineRule="exact"/>
        <w:rPr>
          <w:rFonts w:ascii="Arial" w:hAnsi="Arial" w:eastAsia="Arial" w:cs="Arial"/>
          <w:sz w:val="20"/>
          <w:szCs w:val="20"/>
        </w:rPr>
        <w:sectPr>
          <w:footerReference r:id="rId72" w:type="default"/>
          <w:pgSz w:w="11906" w:h="16839"/>
          <w:pgMar w:top="400" w:right="1410" w:bottom="1240" w:left="1579" w:header="0" w:footer="1078" w:gutter="0"/>
          <w:cols w:space="720" w:num="1"/>
        </w:sectPr>
      </w:pPr>
    </w:p>
    <w:p w14:paraId="059FFA89">
      <w:pPr>
        <w:spacing w:before="56"/>
      </w:pPr>
    </w:p>
    <w:p w14:paraId="35D0AFEF">
      <w:pPr>
        <w:spacing w:before="56"/>
      </w:pPr>
    </w:p>
    <w:p w14:paraId="225CF687">
      <w:pPr>
        <w:spacing w:before="55"/>
      </w:pPr>
    </w:p>
    <w:p w14:paraId="6DADA6A4">
      <w:pPr>
        <w:spacing w:before="55"/>
      </w:pPr>
    </w:p>
    <w:tbl>
      <w:tblPr>
        <w:tblStyle w:val="5"/>
        <w:tblW w:w="890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95"/>
        <w:gridCol w:w="8406"/>
      </w:tblGrid>
      <w:tr w14:paraId="5AA784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495" w:type="dxa"/>
            <w:tcBorders>
              <w:right w:val="single" w:color="000000" w:sz="2" w:space="0"/>
            </w:tcBorders>
            <w:vAlign w:val="top"/>
          </w:tcPr>
          <w:p w14:paraId="0BA7F361">
            <w:pPr>
              <w:rPr>
                <w:rFonts w:ascii="Arial"/>
                <w:sz w:val="21"/>
              </w:rPr>
            </w:pPr>
          </w:p>
        </w:tc>
        <w:tc>
          <w:tcPr>
            <w:tcW w:w="8406" w:type="dxa"/>
            <w:tcBorders>
              <w:left w:val="single" w:color="000000" w:sz="2" w:space="0"/>
            </w:tcBorders>
            <w:vAlign w:val="top"/>
          </w:tcPr>
          <w:p w14:paraId="16832FE6">
            <w:pPr>
              <w:pStyle w:val="6"/>
              <w:spacing w:before="39" w:line="220" w:lineRule="auto"/>
              <w:ind w:left="120"/>
            </w:pPr>
            <w:r>
              <w:rPr>
                <w:spacing w:val="-2"/>
              </w:rPr>
              <w:t>（</w:t>
            </w:r>
            <w:r>
              <w:rPr>
                <w:rFonts w:ascii="Times New Roman" w:hAnsi="Times New Roman" w:eastAsia="Times New Roman" w:cs="Times New Roman"/>
                <w:spacing w:val="-2"/>
              </w:rPr>
              <w:t>GB18597-2023</w:t>
            </w:r>
            <w:r>
              <w:rPr>
                <w:spacing w:val="-2"/>
              </w:rPr>
              <w:t>）相关要求。</w:t>
            </w:r>
          </w:p>
          <w:p w14:paraId="015FCF11">
            <w:pPr>
              <w:pStyle w:val="6"/>
              <w:spacing w:before="182" w:line="217" w:lineRule="auto"/>
              <w:ind w:left="587"/>
            </w:pPr>
            <w:r>
              <w:rPr>
                <w:spacing w:val="-1"/>
              </w:rPr>
              <w:t>②危险废物储存能力分析</w:t>
            </w:r>
          </w:p>
          <w:p w14:paraId="63020AAF">
            <w:pPr>
              <w:pStyle w:val="6"/>
              <w:spacing w:before="183" w:line="359" w:lineRule="auto"/>
              <w:ind w:left="109" w:right="92" w:firstLine="478"/>
            </w:pPr>
            <w:r>
              <w:rPr>
                <w:spacing w:val="-4"/>
              </w:rPr>
              <w:t>施工期产生的危险废物贮存在井场撬装式危废贮存点内，</w:t>
            </w:r>
            <w:r>
              <w:rPr>
                <w:spacing w:val="-59"/>
              </w:rPr>
              <w:t xml:space="preserve"> </w:t>
            </w:r>
            <w:r>
              <w:rPr>
                <w:spacing w:val="-4"/>
              </w:rPr>
              <w:t>占地面积</w:t>
            </w:r>
            <w:r>
              <w:rPr>
                <w:spacing w:val="-32"/>
              </w:rPr>
              <w:t xml:space="preserve"> </w:t>
            </w:r>
            <w:r>
              <w:rPr>
                <w:rFonts w:ascii="Times New Roman" w:hAnsi="Times New Roman" w:eastAsia="Times New Roman" w:cs="Times New Roman"/>
                <w:spacing w:val="-4"/>
              </w:rPr>
              <w:t>10m</w:t>
            </w:r>
            <w:r>
              <w:rPr>
                <w:rFonts w:ascii="Times New Roman" w:hAnsi="Times New Roman" w:eastAsia="Times New Roman" w:cs="Times New Roman"/>
                <w:spacing w:val="-4"/>
                <w:position w:val="8"/>
                <w:sz w:val="15"/>
                <w:szCs w:val="15"/>
              </w:rPr>
              <w:t>2</w:t>
            </w:r>
            <w:r>
              <w:rPr>
                <w:spacing w:val="-4"/>
              </w:rPr>
              <w:t>、</w:t>
            </w:r>
            <w:r>
              <w:rPr>
                <w:spacing w:val="-3"/>
              </w:rPr>
              <w:t>贮存能力</w:t>
            </w:r>
            <w:r>
              <w:rPr>
                <w:spacing w:val="-40"/>
              </w:rPr>
              <w:t xml:space="preserve"> </w:t>
            </w:r>
            <w:r>
              <w:rPr>
                <w:rFonts w:ascii="Times New Roman" w:hAnsi="Times New Roman" w:eastAsia="Times New Roman" w:cs="Times New Roman"/>
                <w:spacing w:val="-3"/>
              </w:rPr>
              <w:t>3t</w:t>
            </w:r>
            <w:r>
              <w:rPr>
                <w:rFonts w:ascii="Times New Roman" w:hAnsi="Times New Roman" w:eastAsia="Times New Roman" w:cs="Times New Roman"/>
                <w:spacing w:val="-29"/>
              </w:rPr>
              <w:t xml:space="preserve"> </w:t>
            </w:r>
            <w:r>
              <w:rPr>
                <w:spacing w:val="-3"/>
              </w:rPr>
              <w:t>。项目施工期危险废物最大产生量</w:t>
            </w:r>
            <w:r>
              <w:rPr>
                <w:spacing w:val="-51"/>
              </w:rPr>
              <w:t xml:space="preserve"> </w:t>
            </w:r>
            <w:r>
              <w:rPr>
                <w:rFonts w:ascii="Times New Roman" w:hAnsi="Times New Roman" w:eastAsia="Times New Roman" w:cs="Times New Roman"/>
                <w:spacing w:val="-3"/>
              </w:rPr>
              <w:t>0.8t</w:t>
            </w:r>
            <w:r>
              <w:rPr>
                <w:rFonts w:ascii="Times New Roman" w:hAnsi="Times New Roman" w:eastAsia="Times New Roman" w:cs="Times New Roman"/>
                <w:spacing w:val="-31"/>
              </w:rPr>
              <w:t xml:space="preserve"> </w:t>
            </w:r>
            <w:r>
              <w:rPr>
                <w:spacing w:val="-3"/>
              </w:rPr>
              <w:t>，可满足项目需求。</w:t>
            </w:r>
          </w:p>
          <w:p w14:paraId="603AA5BF">
            <w:pPr>
              <w:pStyle w:val="6"/>
              <w:spacing w:line="217" w:lineRule="auto"/>
              <w:ind w:left="587"/>
            </w:pPr>
            <w:r>
              <w:rPr>
                <w:spacing w:val="-1"/>
              </w:rPr>
              <w:t>③危险废物贮存环境影响分析</w:t>
            </w:r>
          </w:p>
          <w:p w14:paraId="050FB85B">
            <w:pPr>
              <w:pStyle w:val="6"/>
              <w:spacing w:before="186" w:line="359" w:lineRule="auto"/>
              <w:ind w:left="109" w:right="100" w:firstLine="482"/>
            </w:pPr>
            <w:r>
              <w:rPr>
                <w:spacing w:val="1"/>
              </w:rPr>
              <w:t>项目含油废物采用专门密闭容器，贮存过程中挥</w:t>
            </w:r>
            <w:r>
              <w:t>发量较少，不会对环境空气产生明显影响；同时撬装式危废贮存点按照《危险废物贮存污染控制标准》</w:t>
            </w:r>
            <w:r>
              <w:rPr>
                <w:spacing w:val="15"/>
              </w:rPr>
              <w:t xml:space="preserve"> </w:t>
            </w:r>
            <w:r>
              <w:rPr>
                <w:spacing w:val="-1"/>
              </w:rPr>
              <w:t>（</w:t>
            </w:r>
            <w:r>
              <w:rPr>
                <w:rFonts w:ascii="Times New Roman" w:hAnsi="Times New Roman" w:eastAsia="Times New Roman" w:cs="Times New Roman"/>
                <w:spacing w:val="-1"/>
              </w:rPr>
              <w:t>GB18597-2023</w:t>
            </w:r>
            <w:r>
              <w:rPr>
                <w:spacing w:val="-1"/>
              </w:rPr>
              <w:t>）的相关要求做好防渗、防风、防雨、防晒措施，可有效防止危险废物泄漏可能对地下水、地表水及土壤环境产生的影响。</w:t>
            </w:r>
          </w:p>
          <w:p w14:paraId="5D0DD73B">
            <w:pPr>
              <w:pStyle w:val="6"/>
              <w:spacing w:line="217" w:lineRule="auto"/>
              <w:ind w:left="587"/>
            </w:pPr>
            <w:r>
              <w:rPr>
                <w:spacing w:val="-1"/>
              </w:rPr>
              <w:t>④危险废物运输过程影响分析</w:t>
            </w:r>
          </w:p>
          <w:p w14:paraId="10C085DA">
            <w:pPr>
              <w:pStyle w:val="6"/>
              <w:spacing w:before="184" w:line="359" w:lineRule="auto"/>
              <w:ind w:left="107" w:right="100" w:firstLine="483"/>
            </w:pPr>
            <w:r>
              <w:rPr>
                <w:spacing w:val="1"/>
              </w:rPr>
              <w:t>危险废物桶装或袋装密闭收集后暂存于撬装式危废</w:t>
            </w:r>
            <w:r>
              <w:t>贮存点，运输过程中全</w:t>
            </w:r>
            <w:r>
              <w:rPr>
                <w:spacing w:val="1"/>
              </w:rPr>
              <w:t>部采用密闭容器储存，正常情况下不会发生散落或泄漏。若</w:t>
            </w:r>
            <w:r>
              <w:t>危险废物在运输过程中发生散落或泄漏，及时清理，不会对周</w:t>
            </w:r>
            <w:r>
              <w:rPr>
                <w:spacing w:val="-1"/>
              </w:rPr>
              <w:t>边环境产生明显影响。</w:t>
            </w:r>
          </w:p>
          <w:p w14:paraId="75C2C640">
            <w:pPr>
              <w:pStyle w:val="6"/>
              <w:spacing w:before="1" w:line="217" w:lineRule="auto"/>
              <w:ind w:left="587"/>
            </w:pPr>
            <w:r>
              <w:rPr>
                <w:spacing w:val="-1"/>
              </w:rPr>
              <w:t>⑤危险废物委托处置的环境影响分析</w:t>
            </w:r>
          </w:p>
          <w:p w14:paraId="1EC241F1">
            <w:pPr>
              <w:pStyle w:val="6"/>
              <w:spacing w:before="185" w:line="359" w:lineRule="auto"/>
              <w:ind w:left="109" w:right="102" w:firstLine="482"/>
            </w:pPr>
            <w:r>
              <w:rPr>
                <w:spacing w:val="1"/>
              </w:rPr>
              <w:t>项目施工期产生的危险废物全部委托有资质</w:t>
            </w:r>
            <w:r>
              <w:t>单位拉运处置，不会对周边环</w:t>
            </w:r>
            <w:r>
              <w:rPr>
                <w:spacing w:val="-2"/>
              </w:rPr>
              <w:t>境产生明显影响。</w:t>
            </w:r>
          </w:p>
          <w:p w14:paraId="0FF25F7B">
            <w:pPr>
              <w:pStyle w:val="6"/>
              <w:spacing w:before="1" w:line="219" w:lineRule="auto"/>
              <w:ind w:left="592"/>
            </w:pPr>
            <w:r>
              <w:rPr>
                <w:b/>
                <w:bCs/>
                <w:spacing w:val="-3"/>
              </w:rPr>
              <w:t>五、施工期地下水、土壤环境影响分析</w:t>
            </w:r>
          </w:p>
          <w:p w14:paraId="1DC7A775">
            <w:pPr>
              <w:pStyle w:val="6"/>
              <w:spacing w:before="181" w:line="359" w:lineRule="auto"/>
              <w:ind w:left="107" w:right="100" w:firstLine="480"/>
            </w:pPr>
            <w:r>
              <w:rPr>
                <w:spacing w:val="1"/>
              </w:rPr>
              <w:t>施工期钻探过程中，钻进至含水层时，在未下套管前，废水</w:t>
            </w:r>
            <w:r>
              <w:t>（泥浆）会直</w:t>
            </w:r>
            <w:r>
              <w:rPr>
                <w:spacing w:val="-1"/>
              </w:rPr>
              <w:t>接与含水层接触，通过压力差进入含水层。</w:t>
            </w:r>
          </w:p>
          <w:p w14:paraId="4F344314">
            <w:pPr>
              <w:pStyle w:val="6"/>
              <w:spacing w:before="1" w:line="359" w:lineRule="auto"/>
              <w:ind w:left="107" w:right="43" w:firstLine="480"/>
              <w:jc w:val="both"/>
            </w:pPr>
            <w:r>
              <w:rPr>
                <w:spacing w:val="1"/>
              </w:rPr>
              <w:t>根据开发实际情况及业主提供资料，钻井泥浆中含有大量</w:t>
            </w:r>
            <w:r>
              <w:t>的膨润土及少量</w:t>
            </w:r>
            <w:r>
              <w:rPr>
                <w:spacing w:val="1"/>
              </w:rPr>
              <w:t>的纯碱、烧碱、包被抑制剂、聚合物、降滤失剂、防塌剂等</w:t>
            </w:r>
            <w:r>
              <w:t>。钻井废水以井筒</w:t>
            </w:r>
            <w:r>
              <w:rPr>
                <w:spacing w:val="1"/>
              </w:rPr>
              <w:t>为中心向四周扩散，在钻进过程中，钻井泥浆会在井壁形成</w:t>
            </w:r>
            <w:r>
              <w:t>一定厚度的泥浆滤</w:t>
            </w:r>
            <w:r>
              <w:rPr>
                <w:spacing w:val="-5"/>
              </w:rPr>
              <w:t>饼，对钻井废水的扩散起到一定的阻隔作用，实际进入到含水层的废水量较小；</w:t>
            </w:r>
            <w:r>
              <w:rPr>
                <w:spacing w:val="-1"/>
              </w:rPr>
              <w:t>项目钻探时间短，对含水层的影响较小。</w:t>
            </w:r>
          </w:p>
          <w:p w14:paraId="34622D11">
            <w:pPr>
              <w:pStyle w:val="6"/>
              <w:spacing w:line="359" w:lineRule="auto"/>
              <w:ind w:left="112" w:right="41" w:firstLine="494"/>
            </w:pPr>
            <w:r>
              <w:rPr>
                <w:spacing w:val="-5"/>
              </w:rPr>
              <w:t>因此废水对含水层影响时间较短，范围较小，程度较</w:t>
            </w:r>
            <w:r>
              <w:rPr>
                <w:spacing w:val="-6"/>
              </w:rPr>
              <w:t>低，在可接受范围内，</w:t>
            </w:r>
            <w:r>
              <w:rPr>
                <w:spacing w:val="-2"/>
              </w:rPr>
              <w:t>不会对地下含水层造成影响。</w:t>
            </w:r>
          </w:p>
          <w:p w14:paraId="36C4FF23">
            <w:pPr>
              <w:pStyle w:val="6"/>
              <w:spacing w:before="1" w:line="359" w:lineRule="auto"/>
              <w:ind w:left="112" w:right="100" w:firstLine="476"/>
            </w:pPr>
            <w:r>
              <w:rPr>
                <w:spacing w:val="1"/>
              </w:rPr>
              <w:t>根据建设项目的工程内容，对土壤的影响主要表现为对土</w:t>
            </w:r>
            <w:r>
              <w:t>壤性质、土壤肥</w:t>
            </w:r>
            <w:r>
              <w:rPr>
                <w:spacing w:val="-2"/>
              </w:rPr>
              <w:t>力和土壤污染三个方面。</w:t>
            </w:r>
          </w:p>
          <w:p w14:paraId="1FB75BC1">
            <w:pPr>
              <w:pStyle w:val="6"/>
              <w:spacing w:line="220" w:lineRule="auto"/>
              <w:ind w:left="600"/>
            </w:pPr>
            <w:r>
              <w:rPr>
                <w:spacing w:val="-3"/>
              </w:rPr>
              <w:t>（</w:t>
            </w:r>
            <w:r>
              <w:rPr>
                <w:rFonts w:ascii="Times New Roman" w:hAnsi="Times New Roman" w:eastAsia="Times New Roman" w:cs="Times New Roman"/>
                <w:spacing w:val="-3"/>
              </w:rPr>
              <w:t>1</w:t>
            </w:r>
            <w:r>
              <w:rPr>
                <w:spacing w:val="-3"/>
              </w:rPr>
              <w:t>）土壤性质影响</w:t>
            </w:r>
          </w:p>
        </w:tc>
      </w:tr>
    </w:tbl>
    <w:p w14:paraId="531A11F3">
      <w:pPr>
        <w:rPr>
          <w:rFonts w:ascii="Arial"/>
          <w:sz w:val="21"/>
        </w:rPr>
      </w:pPr>
    </w:p>
    <w:p w14:paraId="6F2E2185">
      <w:pPr>
        <w:rPr>
          <w:rFonts w:ascii="Arial" w:hAnsi="Arial" w:eastAsia="Arial" w:cs="Arial"/>
          <w:sz w:val="21"/>
          <w:szCs w:val="21"/>
        </w:rPr>
        <w:sectPr>
          <w:footerReference r:id="rId73" w:type="default"/>
          <w:pgSz w:w="11906" w:h="16839"/>
          <w:pgMar w:top="400" w:right="1410" w:bottom="1240" w:left="1579" w:header="0" w:footer="1078" w:gutter="0"/>
          <w:cols w:space="720" w:num="1"/>
        </w:sectPr>
      </w:pPr>
    </w:p>
    <w:p w14:paraId="30E674CC">
      <w:pPr>
        <w:spacing w:before="56"/>
      </w:pPr>
    </w:p>
    <w:p w14:paraId="4CE01C8A">
      <w:pPr>
        <w:spacing w:before="56"/>
      </w:pPr>
    </w:p>
    <w:p w14:paraId="78C33CE9">
      <w:pPr>
        <w:spacing w:before="55"/>
      </w:pPr>
    </w:p>
    <w:p w14:paraId="392CA792">
      <w:pPr>
        <w:spacing w:before="55"/>
      </w:pPr>
    </w:p>
    <w:tbl>
      <w:tblPr>
        <w:tblStyle w:val="5"/>
        <w:tblW w:w="890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95"/>
        <w:gridCol w:w="8406"/>
      </w:tblGrid>
      <w:tr w14:paraId="6C77E1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495" w:type="dxa"/>
            <w:tcBorders>
              <w:right w:val="single" w:color="000000" w:sz="2" w:space="0"/>
            </w:tcBorders>
            <w:vAlign w:val="top"/>
          </w:tcPr>
          <w:p w14:paraId="61DBE4D5">
            <w:pPr>
              <w:rPr>
                <w:rFonts w:ascii="Arial"/>
                <w:sz w:val="21"/>
              </w:rPr>
            </w:pPr>
          </w:p>
        </w:tc>
        <w:tc>
          <w:tcPr>
            <w:tcW w:w="8406" w:type="dxa"/>
            <w:tcBorders>
              <w:left w:val="single" w:color="000000" w:sz="2" w:space="0"/>
            </w:tcBorders>
            <w:vAlign w:val="top"/>
          </w:tcPr>
          <w:p w14:paraId="0D9EFD0D">
            <w:pPr>
              <w:pStyle w:val="6"/>
              <w:spacing w:before="40" w:line="359" w:lineRule="auto"/>
              <w:ind w:left="109" w:right="100" w:firstLine="482"/>
            </w:pPr>
            <w:r>
              <w:rPr>
                <w:spacing w:val="1"/>
              </w:rPr>
              <w:t>项目建设过程中，表土剥离和堆放、回填、人工</w:t>
            </w:r>
            <w:r>
              <w:t>践踏、机械设备碾压等活</w:t>
            </w:r>
            <w:r>
              <w:rPr>
                <w:spacing w:val="-1"/>
              </w:rPr>
              <w:t>动将对土壤理化性质产生影响。</w:t>
            </w:r>
          </w:p>
          <w:p w14:paraId="73247FC7">
            <w:pPr>
              <w:pStyle w:val="6"/>
              <w:spacing w:line="218" w:lineRule="auto"/>
              <w:ind w:left="607"/>
            </w:pPr>
            <w:r>
              <w:rPr>
                <w:rFonts w:ascii="Times New Roman" w:hAnsi="Times New Roman" w:eastAsia="Times New Roman" w:cs="Times New Roman"/>
                <w:spacing w:val="-2"/>
              </w:rPr>
              <w:t>1</w:t>
            </w:r>
            <w:r>
              <w:rPr>
                <w:spacing w:val="-2"/>
              </w:rPr>
              <w:t>）扰乱土壤耕作层，破坏土壤耕层结构。</w:t>
            </w:r>
          </w:p>
          <w:p w14:paraId="4BEF4171">
            <w:pPr>
              <w:pStyle w:val="6"/>
              <w:spacing w:before="183" w:line="359" w:lineRule="auto"/>
              <w:ind w:left="111" w:right="74" w:firstLine="472"/>
            </w:pPr>
            <w:r>
              <w:rPr>
                <w:rFonts w:ascii="Times New Roman" w:hAnsi="Times New Roman" w:eastAsia="Times New Roman" w:cs="Times New Roman"/>
                <w:spacing w:val="-2"/>
              </w:rPr>
              <w:t>2</w:t>
            </w:r>
            <w:r>
              <w:rPr>
                <w:spacing w:val="-2"/>
              </w:rPr>
              <w:t>）改变土体构型，使表层通气透水性变差、亚表层保水和保肥性能降低，</w:t>
            </w:r>
            <w:r>
              <w:rPr>
                <w:spacing w:val="-1"/>
              </w:rPr>
              <w:t>从而造成对植物的生长、发育及其产量影响。</w:t>
            </w:r>
          </w:p>
          <w:p w14:paraId="25A8B4BC">
            <w:pPr>
              <w:pStyle w:val="6"/>
              <w:spacing w:line="359" w:lineRule="auto"/>
              <w:ind w:left="108" w:right="102" w:firstLine="480"/>
            </w:pPr>
            <w:r>
              <w:rPr>
                <w:rFonts w:ascii="Times New Roman" w:hAnsi="Times New Roman" w:eastAsia="Times New Roman" w:cs="Times New Roman"/>
                <w:spacing w:val="-3"/>
              </w:rPr>
              <w:t>3</w:t>
            </w:r>
            <w:r>
              <w:rPr>
                <w:spacing w:val="-3"/>
              </w:rPr>
              <w:t>）施工过程中机械碾压，将改变土壤的紧实程度，与原有的上松下紧结构</w:t>
            </w:r>
            <w:r>
              <w:rPr>
                <w:spacing w:val="-1"/>
              </w:rPr>
              <w:t>相比，极不利于土壤的通气、透水作用，影响作物生长。</w:t>
            </w:r>
          </w:p>
          <w:p w14:paraId="3F03C82E">
            <w:pPr>
              <w:pStyle w:val="6"/>
              <w:spacing w:line="218" w:lineRule="auto"/>
              <w:ind w:left="600"/>
            </w:pPr>
            <w:r>
              <w:rPr>
                <w:spacing w:val="-3"/>
              </w:rPr>
              <w:t>（</w:t>
            </w:r>
            <w:r>
              <w:rPr>
                <w:rFonts w:ascii="Times New Roman" w:hAnsi="Times New Roman" w:eastAsia="Times New Roman" w:cs="Times New Roman"/>
                <w:spacing w:val="-3"/>
              </w:rPr>
              <w:t>2</w:t>
            </w:r>
            <w:r>
              <w:rPr>
                <w:spacing w:val="-3"/>
              </w:rPr>
              <w:t>）土壤肥力影响</w:t>
            </w:r>
          </w:p>
          <w:p w14:paraId="18096762">
            <w:pPr>
              <w:pStyle w:val="6"/>
              <w:spacing w:before="185" w:line="358" w:lineRule="auto"/>
              <w:ind w:left="115" w:right="100" w:firstLine="472"/>
            </w:pPr>
            <w:r>
              <w:rPr>
                <w:spacing w:val="1"/>
              </w:rPr>
              <w:t>施工期将扰动甚至打乱原土体构型，使土壤养分、水分含量</w:t>
            </w:r>
            <w:r>
              <w:t>及肥力状况受</w:t>
            </w:r>
            <w:r>
              <w:rPr>
                <w:spacing w:val="-1"/>
              </w:rPr>
              <w:t>到一定程度的影响，影响植被正常生长。</w:t>
            </w:r>
          </w:p>
          <w:p w14:paraId="7FA29501">
            <w:pPr>
              <w:pStyle w:val="6"/>
              <w:spacing w:line="220" w:lineRule="auto"/>
              <w:ind w:left="600"/>
            </w:pPr>
            <w:r>
              <w:rPr>
                <w:spacing w:val="-3"/>
              </w:rPr>
              <w:t>（</w:t>
            </w:r>
            <w:r>
              <w:rPr>
                <w:rFonts w:ascii="Times New Roman" w:hAnsi="Times New Roman" w:eastAsia="Times New Roman" w:cs="Times New Roman"/>
                <w:spacing w:val="-3"/>
              </w:rPr>
              <w:t>3</w:t>
            </w:r>
            <w:r>
              <w:rPr>
                <w:spacing w:val="-3"/>
              </w:rPr>
              <w:t>）土壤污染影响</w:t>
            </w:r>
          </w:p>
          <w:p w14:paraId="20414CBF">
            <w:pPr>
              <w:pStyle w:val="6"/>
              <w:spacing w:before="183" w:line="359" w:lineRule="auto"/>
              <w:ind w:left="110" w:right="100" w:firstLine="478"/>
            </w:pPr>
            <w:r>
              <w:rPr>
                <w:spacing w:val="1"/>
              </w:rPr>
              <w:t>根据工程特点，正常状况下操作规范、管理到位，不会污</w:t>
            </w:r>
            <w:r>
              <w:t>染土壤环境。非</w:t>
            </w:r>
            <w:r>
              <w:rPr>
                <w:spacing w:val="1"/>
              </w:rPr>
              <w:t>正常状况下，设备检修产生的废润滑油落地，柴油罐</w:t>
            </w:r>
            <w:r>
              <w:t>、储液罐泄漏，钻井泥浆</w:t>
            </w:r>
            <w:r>
              <w:rPr>
                <w:spacing w:val="-2"/>
              </w:rPr>
              <w:t>落地等造成土壤污染。</w:t>
            </w:r>
          </w:p>
          <w:p w14:paraId="48F889DA">
            <w:pPr>
              <w:pStyle w:val="6"/>
              <w:spacing w:before="1" w:line="218" w:lineRule="auto"/>
              <w:jc w:val="right"/>
              <w:outlineLvl w:val="0"/>
            </w:pPr>
            <w:r>
              <w:rPr>
                <w:spacing w:val="-4"/>
              </w:rPr>
              <w:t>项目位于平原区，土地利用类型主要为耕地，土壤中的养分含量相对较高。</w:t>
            </w:r>
          </w:p>
          <w:p w14:paraId="251C3887">
            <w:pPr>
              <w:pStyle w:val="6"/>
              <w:spacing w:before="182" w:line="359" w:lineRule="auto"/>
              <w:ind w:left="108" w:right="100" w:firstLine="18"/>
              <w:jc w:val="both"/>
            </w:pPr>
            <w:r>
              <w:t>因此在对表土进行剥离并集中堆存，可有效降低因工程开挖施工对土壤养分的</w:t>
            </w:r>
            <w:r>
              <w:rPr>
                <w:spacing w:val="1"/>
              </w:rPr>
              <w:t>影响。施工过程中采取带罐作业和分区防渗措施，铺</w:t>
            </w:r>
            <w:r>
              <w:t>设的防渗膜可以有效回收</w:t>
            </w:r>
            <w:r>
              <w:rPr>
                <w:spacing w:val="1"/>
              </w:rPr>
              <w:t>落地油、钻井泥浆等，产生的废水、固废等均妥善处</w:t>
            </w:r>
            <w:r>
              <w:t>置；施工结束后对临时用</w:t>
            </w:r>
            <w:r>
              <w:rPr>
                <w:spacing w:val="-1"/>
              </w:rPr>
              <w:t>地采取翻耕、表土回覆等土地复垦措施。</w:t>
            </w:r>
          </w:p>
          <w:p w14:paraId="1A6FD62A">
            <w:pPr>
              <w:pStyle w:val="6"/>
              <w:spacing w:line="218" w:lineRule="auto"/>
              <w:ind w:left="591"/>
            </w:pPr>
            <w:r>
              <w:rPr>
                <w:spacing w:val="-1"/>
              </w:rPr>
              <w:t>综上所述，项目在采取相应措施后，对地下水、土壤影响较小。</w:t>
            </w:r>
          </w:p>
          <w:p w14:paraId="58FE8CFA">
            <w:pPr>
              <w:pStyle w:val="6"/>
              <w:spacing w:before="184" w:line="220" w:lineRule="auto"/>
              <w:ind w:left="590"/>
            </w:pPr>
            <w:r>
              <w:rPr>
                <w:b/>
                <w:bCs/>
                <w:spacing w:val="-3"/>
              </w:rPr>
              <w:t>六、施工期生态影响分析</w:t>
            </w:r>
          </w:p>
          <w:p w14:paraId="15EE981A">
            <w:pPr>
              <w:pStyle w:val="6"/>
              <w:spacing w:before="182" w:line="359" w:lineRule="auto"/>
              <w:ind w:left="108" w:right="100" w:firstLine="483"/>
              <w:jc w:val="both"/>
            </w:pPr>
            <w:r>
              <w:rPr>
                <w:spacing w:val="1"/>
              </w:rPr>
              <w:t>项目对生态的影响主要表现为施工期的占地</w:t>
            </w:r>
            <w:r>
              <w:t>、施工人员的踩踏、勘探过程</w:t>
            </w:r>
            <w:r>
              <w:rPr>
                <w:spacing w:val="1"/>
              </w:rPr>
              <w:t>中的三废排放对生态环境的影响。钻井施工作业使当</w:t>
            </w:r>
            <w:r>
              <w:t>地植被遭到破坏，覆盖率</w:t>
            </w:r>
            <w:r>
              <w:rPr>
                <w:spacing w:val="1"/>
              </w:rPr>
              <w:t>降低，破坏原生地表土壤的结构，使原生地表</w:t>
            </w:r>
            <w:r>
              <w:t>的水土保持功能降低或丧失。探</w:t>
            </w:r>
            <w:r>
              <w:rPr>
                <w:spacing w:val="1"/>
              </w:rPr>
              <w:t>井结束后，若未探出原油，则直接进行封井，及时进行植</w:t>
            </w:r>
            <w:r>
              <w:t>被恢复，恢复原有土</w:t>
            </w:r>
            <w:r>
              <w:rPr>
                <w:spacing w:val="-2"/>
              </w:rPr>
              <w:t>地利用现状。</w:t>
            </w:r>
          </w:p>
          <w:p w14:paraId="1BBFE8DE">
            <w:pPr>
              <w:pStyle w:val="6"/>
              <w:spacing w:line="219" w:lineRule="auto"/>
              <w:ind w:left="607"/>
            </w:pPr>
            <w:r>
              <w:rPr>
                <w:rFonts w:ascii="Times New Roman" w:hAnsi="Times New Roman" w:eastAsia="Times New Roman" w:cs="Times New Roman"/>
                <w:spacing w:val="-6"/>
              </w:rPr>
              <w:t>1</w:t>
            </w:r>
            <w:r>
              <w:rPr>
                <w:rFonts w:ascii="Times New Roman" w:hAnsi="Times New Roman" w:eastAsia="Times New Roman" w:cs="Times New Roman"/>
                <w:spacing w:val="-30"/>
              </w:rPr>
              <w:t xml:space="preserve"> </w:t>
            </w:r>
            <w:r>
              <w:rPr>
                <w:spacing w:val="-6"/>
              </w:rPr>
              <w:t>、土地利用格局变化</w:t>
            </w:r>
          </w:p>
          <w:p w14:paraId="7F89FC6F">
            <w:pPr>
              <w:pStyle w:val="6"/>
              <w:spacing w:before="180" w:line="343" w:lineRule="auto"/>
              <w:ind w:left="108" w:right="102" w:firstLine="483"/>
            </w:pPr>
            <w:r>
              <w:rPr>
                <w:spacing w:val="1"/>
              </w:rPr>
              <w:t>项目所在区域以农业经营为主，项目土地利</w:t>
            </w:r>
            <w:r>
              <w:t>用类型为农用地，现状为水浇</w:t>
            </w:r>
            <w:r>
              <w:rPr>
                <w:spacing w:val="-1"/>
              </w:rPr>
              <w:t>地、沟渠，勘探期会造成土地利用类型的变化。</w:t>
            </w:r>
          </w:p>
        </w:tc>
      </w:tr>
    </w:tbl>
    <w:p w14:paraId="21200175">
      <w:pPr>
        <w:rPr>
          <w:rFonts w:ascii="Arial"/>
          <w:sz w:val="21"/>
        </w:rPr>
      </w:pPr>
    </w:p>
    <w:p w14:paraId="292F0CF1">
      <w:pPr>
        <w:rPr>
          <w:rFonts w:ascii="Arial" w:hAnsi="Arial" w:eastAsia="Arial" w:cs="Arial"/>
          <w:sz w:val="21"/>
          <w:szCs w:val="21"/>
        </w:rPr>
        <w:sectPr>
          <w:footerReference r:id="rId74" w:type="default"/>
          <w:pgSz w:w="11906" w:h="16839"/>
          <w:pgMar w:top="400" w:right="1410" w:bottom="1240" w:left="1579" w:header="0" w:footer="1078" w:gutter="0"/>
          <w:cols w:space="720" w:num="1"/>
        </w:sectPr>
      </w:pPr>
    </w:p>
    <w:p w14:paraId="53E9E030">
      <w:pPr>
        <w:spacing w:before="56"/>
      </w:pPr>
    </w:p>
    <w:p w14:paraId="5E195D42">
      <w:pPr>
        <w:spacing w:before="56"/>
      </w:pPr>
    </w:p>
    <w:p w14:paraId="082C4C6D">
      <w:pPr>
        <w:spacing w:before="55"/>
      </w:pPr>
    </w:p>
    <w:p w14:paraId="107821DD">
      <w:pPr>
        <w:spacing w:before="55"/>
      </w:pPr>
    </w:p>
    <w:tbl>
      <w:tblPr>
        <w:tblStyle w:val="5"/>
        <w:tblW w:w="890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95"/>
        <w:gridCol w:w="8406"/>
      </w:tblGrid>
      <w:tr w14:paraId="252AE1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495" w:type="dxa"/>
            <w:tcBorders>
              <w:right w:val="single" w:color="000000" w:sz="2" w:space="0"/>
            </w:tcBorders>
            <w:vAlign w:val="top"/>
          </w:tcPr>
          <w:p w14:paraId="22DDC8A2">
            <w:pPr>
              <w:rPr>
                <w:rFonts w:ascii="Arial"/>
                <w:sz w:val="21"/>
              </w:rPr>
            </w:pPr>
          </w:p>
        </w:tc>
        <w:tc>
          <w:tcPr>
            <w:tcW w:w="8406" w:type="dxa"/>
            <w:tcBorders>
              <w:left w:val="single" w:color="000000" w:sz="2" w:space="0"/>
            </w:tcBorders>
            <w:vAlign w:val="top"/>
          </w:tcPr>
          <w:p w14:paraId="1DD093E7">
            <w:pPr>
              <w:pStyle w:val="6"/>
              <w:spacing w:before="40" w:line="359" w:lineRule="auto"/>
              <w:ind w:left="109" w:right="100" w:firstLine="478"/>
              <w:jc w:val="both"/>
            </w:pPr>
            <w:r>
              <w:rPr>
                <w:spacing w:val="1"/>
              </w:rPr>
              <w:t>在施工期发生的临时占地是施工期对耕地产生影响的一个主</w:t>
            </w:r>
            <w:r>
              <w:t>要环节。施工</w:t>
            </w:r>
            <w:r>
              <w:rPr>
                <w:spacing w:val="1"/>
              </w:rPr>
              <w:t>过程中，车辆碾压，机械推挖、人员践踏等对地表进行</w:t>
            </w:r>
            <w:r>
              <w:t>的平整将会对耕地地表</w:t>
            </w:r>
            <w:r>
              <w:rPr>
                <w:spacing w:val="1"/>
              </w:rPr>
              <w:t>植被造成很大破坏，这种影响是短期可逆的，施工结束</w:t>
            </w:r>
            <w:r>
              <w:t>后，被占用土地开始恢</w:t>
            </w:r>
            <w:r>
              <w:rPr>
                <w:spacing w:val="-6"/>
              </w:rPr>
              <w:t>复。</w:t>
            </w:r>
          </w:p>
          <w:p w14:paraId="600A7F95">
            <w:pPr>
              <w:pStyle w:val="6"/>
              <w:spacing w:before="1" w:line="358" w:lineRule="auto"/>
              <w:ind w:left="109" w:right="41" w:firstLine="482"/>
              <w:jc w:val="both"/>
            </w:pPr>
            <w:r>
              <w:rPr>
                <w:spacing w:val="-2"/>
              </w:rPr>
              <w:t>项目施工期临时占地面积</w:t>
            </w:r>
            <w:r>
              <w:rPr>
                <w:spacing w:val="-26"/>
              </w:rPr>
              <w:t xml:space="preserve"> </w:t>
            </w:r>
            <w:r>
              <w:rPr>
                <w:rFonts w:ascii="Times New Roman" w:hAnsi="Times New Roman" w:eastAsia="Times New Roman" w:cs="Times New Roman"/>
                <w:spacing w:val="-2"/>
              </w:rPr>
              <w:t>13293m</w:t>
            </w:r>
            <w:r>
              <w:rPr>
                <w:rFonts w:ascii="Times New Roman" w:hAnsi="Times New Roman" w:eastAsia="Times New Roman" w:cs="Times New Roman"/>
                <w:spacing w:val="-2"/>
                <w:position w:val="7"/>
                <w:sz w:val="15"/>
                <w:szCs w:val="15"/>
              </w:rPr>
              <w:t>2</w:t>
            </w:r>
            <w:r>
              <w:rPr>
                <w:spacing w:val="-2"/>
              </w:rPr>
              <w:t>（</w:t>
            </w:r>
            <w:r>
              <w:rPr>
                <w:spacing w:val="-32"/>
              </w:rPr>
              <w:t xml:space="preserve"> </w:t>
            </w:r>
            <w:r>
              <w:rPr>
                <w:spacing w:val="-2"/>
              </w:rPr>
              <w:t>占用基本农田面积</w:t>
            </w:r>
            <w:r>
              <w:rPr>
                <w:spacing w:val="-27"/>
              </w:rPr>
              <w:t xml:space="preserve"> </w:t>
            </w:r>
            <w:r>
              <w:rPr>
                <w:rFonts w:ascii="Times New Roman" w:hAnsi="Times New Roman" w:eastAsia="Times New Roman" w:cs="Times New Roman"/>
                <w:spacing w:val="-2"/>
              </w:rPr>
              <w:t>12987</w:t>
            </w:r>
            <w:r>
              <w:rPr>
                <w:rFonts w:ascii="Times New Roman" w:hAnsi="Times New Roman" w:eastAsia="Times New Roman" w:cs="Times New Roman"/>
                <w:spacing w:val="-3"/>
              </w:rPr>
              <w:t>m</w:t>
            </w:r>
            <w:r>
              <w:rPr>
                <w:rFonts w:ascii="Times New Roman" w:hAnsi="Times New Roman" w:eastAsia="Times New Roman" w:cs="Times New Roman"/>
                <w:spacing w:val="-3"/>
                <w:position w:val="1"/>
                <w:sz w:val="15"/>
                <w:szCs w:val="15"/>
              </w:rPr>
              <w:t xml:space="preserve">2 </w:t>
            </w:r>
            <w:r>
              <w:rPr>
                <w:spacing w:val="-9"/>
                <w:position w:val="1"/>
              </w:rPr>
              <w:t>）</w:t>
            </w:r>
            <w:r>
              <w:rPr>
                <w:spacing w:val="-9"/>
              </w:rPr>
              <w:t>，</w:t>
            </w:r>
            <w:r>
              <w:rPr>
                <w:spacing w:val="-3"/>
              </w:rPr>
              <w:t>其中</w:t>
            </w:r>
            <w:r>
              <w:t>水浇地</w:t>
            </w:r>
            <w:r>
              <w:rPr>
                <w:spacing w:val="-20"/>
              </w:rPr>
              <w:t xml:space="preserve"> </w:t>
            </w:r>
            <w:r>
              <w:rPr>
                <w:rFonts w:ascii="Times New Roman" w:hAnsi="Times New Roman" w:eastAsia="Times New Roman" w:cs="Times New Roman"/>
              </w:rPr>
              <w:t>12989m</w:t>
            </w:r>
            <w:r>
              <w:rPr>
                <w:rFonts w:ascii="Times New Roman" w:hAnsi="Times New Roman" w:eastAsia="Times New Roman" w:cs="Times New Roman"/>
                <w:position w:val="8"/>
                <w:sz w:val="15"/>
                <w:szCs w:val="15"/>
              </w:rPr>
              <w:t xml:space="preserve">2 </w:t>
            </w:r>
            <w:r>
              <w:t>，沟渠</w:t>
            </w:r>
            <w:r>
              <w:rPr>
                <w:spacing w:val="-48"/>
              </w:rPr>
              <w:t xml:space="preserve"> </w:t>
            </w:r>
            <w:r>
              <w:rPr>
                <w:rFonts w:ascii="Times New Roman" w:hAnsi="Times New Roman" w:eastAsia="Times New Roman" w:cs="Times New Roman"/>
              </w:rPr>
              <w:t>304m</w:t>
            </w:r>
            <w:r>
              <w:rPr>
                <w:rFonts w:ascii="Times New Roman" w:hAnsi="Times New Roman" w:eastAsia="Times New Roman" w:cs="Times New Roman"/>
                <w:position w:val="8"/>
                <w:sz w:val="15"/>
                <w:szCs w:val="15"/>
              </w:rPr>
              <w:t xml:space="preserve">2 </w:t>
            </w:r>
            <w:r>
              <w:t>。对当地的农业生产也会带来一定的负面影响，</w:t>
            </w:r>
            <w:r>
              <w:rPr>
                <w:spacing w:val="1"/>
              </w:rPr>
              <w:t>严格执行国家有关的土地复垦规定，施工前</w:t>
            </w:r>
            <w:r>
              <w:t>对表层土壤剥离并堆放，勘探施工</w:t>
            </w:r>
            <w:r>
              <w:rPr>
                <w:spacing w:val="-5"/>
              </w:rPr>
              <w:t>结束后对临时用地进行翻耕并将表层比较肥沃的土铺在最上层。通过及时复垦，</w:t>
            </w:r>
            <w:r>
              <w:rPr>
                <w:spacing w:val="1"/>
              </w:rPr>
              <w:t>恢复原来的作用功能。临时占地对农业产值的影响主要</w:t>
            </w:r>
            <w:r>
              <w:t>体现在施工期，施工期</w:t>
            </w:r>
            <w:r>
              <w:rPr>
                <w:spacing w:val="1"/>
              </w:rPr>
              <w:t>间被占地的农民将失去经济来源，建设单位应办理相关</w:t>
            </w:r>
            <w:r>
              <w:t>土地使用手续，对临时</w:t>
            </w:r>
            <w:r>
              <w:rPr>
                <w:spacing w:val="-2"/>
              </w:rPr>
              <w:t>占地进行补偿。</w:t>
            </w:r>
          </w:p>
          <w:p w14:paraId="7D47B491">
            <w:pPr>
              <w:pStyle w:val="6"/>
              <w:spacing w:line="218" w:lineRule="auto"/>
              <w:ind w:left="576"/>
              <w:outlineLvl w:val="0"/>
            </w:pPr>
            <w:r>
              <w:rPr>
                <w:spacing w:val="2"/>
              </w:rPr>
              <w:t>耕地钻井后第一、二年产量将下降</w:t>
            </w:r>
            <w:r>
              <w:rPr>
                <w:rFonts w:ascii="Times New Roman" w:hAnsi="Times New Roman" w:eastAsia="Times New Roman" w:cs="Times New Roman"/>
                <w:spacing w:val="2"/>
              </w:rPr>
              <w:t>20%</w:t>
            </w:r>
            <w:r>
              <w:rPr>
                <w:spacing w:val="2"/>
              </w:rPr>
              <w:t>～</w:t>
            </w:r>
            <w:r>
              <w:rPr>
                <w:rFonts w:ascii="Times New Roman" w:hAnsi="Times New Roman" w:eastAsia="Times New Roman" w:cs="Times New Roman"/>
                <w:spacing w:val="2"/>
              </w:rPr>
              <w:t>40%</w:t>
            </w:r>
            <w:r>
              <w:rPr>
                <w:rFonts w:ascii="Times New Roman" w:hAnsi="Times New Roman" w:eastAsia="Times New Roman" w:cs="Times New Roman"/>
                <w:spacing w:val="-13"/>
              </w:rPr>
              <w:t xml:space="preserve"> </w:t>
            </w:r>
            <w:r>
              <w:rPr>
                <w:spacing w:val="2"/>
              </w:rPr>
              <w:t>，随后恢复正常产量，施工</w:t>
            </w:r>
          </w:p>
          <w:p w14:paraId="0064576F">
            <w:pPr>
              <w:pStyle w:val="6"/>
              <w:spacing w:before="182" w:line="359" w:lineRule="auto"/>
              <w:ind w:left="107" w:right="100" w:firstLine="3"/>
              <w:jc w:val="both"/>
            </w:pPr>
            <w:r>
              <w:rPr>
                <w:spacing w:val="1"/>
              </w:rPr>
              <w:t>期应严格控制临时占地范围，尽量减少对植被破坏</w:t>
            </w:r>
            <w:r>
              <w:t>，施工结束后，全部恢复地</w:t>
            </w:r>
            <w:r>
              <w:rPr>
                <w:spacing w:val="1"/>
              </w:rPr>
              <w:t>表形态。由于项目临时占地的占用期限短，在完工后可以及</w:t>
            </w:r>
            <w:r>
              <w:t>时恢复，所以不会</w:t>
            </w:r>
            <w:r>
              <w:rPr>
                <w:spacing w:val="-1"/>
              </w:rPr>
              <w:t>对当地植被产生大的影响。</w:t>
            </w:r>
          </w:p>
          <w:p w14:paraId="4A713DAC">
            <w:pPr>
              <w:pStyle w:val="6"/>
              <w:spacing w:line="219" w:lineRule="auto"/>
              <w:ind w:left="572"/>
              <w:outlineLvl w:val="0"/>
            </w:pPr>
            <w:r>
              <w:rPr>
                <w:rFonts w:ascii="Times New Roman" w:hAnsi="Times New Roman" w:eastAsia="Times New Roman" w:cs="Times New Roman"/>
                <w:spacing w:val="-4"/>
              </w:rPr>
              <w:t>2</w:t>
            </w:r>
            <w:r>
              <w:rPr>
                <w:rFonts w:ascii="Times New Roman" w:hAnsi="Times New Roman" w:eastAsia="Times New Roman" w:cs="Times New Roman"/>
                <w:spacing w:val="-34"/>
              </w:rPr>
              <w:t xml:space="preserve"> </w:t>
            </w:r>
            <w:r>
              <w:rPr>
                <w:spacing w:val="-4"/>
              </w:rPr>
              <w:t>、植被影响分析</w:t>
            </w:r>
          </w:p>
          <w:p w14:paraId="1E96A297">
            <w:pPr>
              <w:pStyle w:val="6"/>
              <w:spacing w:before="183" w:line="219" w:lineRule="auto"/>
              <w:ind w:left="600"/>
            </w:pPr>
            <w:r>
              <w:rPr>
                <w:spacing w:val="-2"/>
              </w:rPr>
              <w:t>（</w:t>
            </w:r>
            <w:r>
              <w:rPr>
                <w:rFonts w:ascii="Times New Roman" w:hAnsi="Times New Roman" w:eastAsia="Times New Roman" w:cs="Times New Roman"/>
                <w:spacing w:val="-2"/>
              </w:rPr>
              <w:t>1</w:t>
            </w:r>
            <w:r>
              <w:rPr>
                <w:spacing w:val="-2"/>
              </w:rPr>
              <w:t>）工程占地对植被的影响</w:t>
            </w:r>
          </w:p>
          <w:p w14:paraId="04DA75D7">
            <w:pPr>
              <w:pStyle w:val="6"/>
              <w:spacing w:before="182" w:line="359" w:lineRule="auto"/>
              <w:ind w:left="107" w:right="100" w:firstLine="484"/>
            </w:pPr>
            <w:r>
              <w:rPr>
                <w:spacing w:val="1"/>
              </w:rPr>
              <w:t>项目临时占地区域的影响主要表现在临时道</w:t>
            </w:r>
            <w:r>
              <w:t>路、设备堆压、土方开挖、车</w:t>
            </w:r>
            <w:r>
              <w:rPr>
                <w:spacing w:val="-1"/>
              </w:rPr>
              <w:t>辆碾压、施工人员踩踏等，</w:t>
            </w:r>
            <w:r>
              <w:rPr>
                <w:spacing w:val="-62"/>
              </w:rPr>
              <w:t xml:space="preserve"> </w:t>
            </w:r>
            <w:r>
              <w:rPr>
                <w:spacing w:val="-1"/>
              </w:rPr>
              <w:t>占地类型主要为农用地，主要植被类型为玉米、小</w:t>
            </w:r>
            <w:r>
              <w:rPr>
                <w:spacing w:val="1"/>
              </w:rPr>
              <w:t>麦、豆类、葵花等农作物及野生植被，待油井勘探工程</w:t>
            </w:r>
            <w:r>
              <w:t>结束全部恢复原有土地</w:t>
            </w:r>
            <w:r>
              <w:rPr>
                <w:spacing w:val="1"/>
              </w:rPr>
              <w:t>类型。通过加强施工管理，认真做好施工结束后的场地恢复</w:t>
            </w:r>
            <w:r>
              <w:t>工作，工程建设对</w:t>
            </w:r>
            <w:r>
              <w:rPr>
                <w:spacing w:val="-1"/>
              </w:rPr>
              <w:t>植被的环境影响是可以接受的。</w:t>
            </w:r>
          </w:p>
          <w:p w14:paraId="12C3554E">
            <w:pPr>
              <w:pStyle w:val="6"/>
              <w:spacing w:before="1" w:line="219" w:lineRule="auto"/>
              <w:ind w:left="600"/>
            </w:pPr>
            <w:r>
              <w:rPr>
                <w:spacing w:val="-2"/>
              </w:rPr>
              <w:t>（</w:t>
            </w:r>
            <w:r>
              <w:rPr>
                <w:rFonts w:ascii="Times New Roman" w:hAnsi="Times New Roman" w:eastAsia="Times New Roman" w:cs="Times New Roman"/>
                <w:spacing w:val="-2"/>
              </w:rPr>
              <w:t>2</w:t>
            </w:r>
            <w:r>
              <w:rPr>
                <w:spacing w:val="-2"/>
              </w:rPr>
              <w:t>）大气污染对植被的影响</w:t>
            </w:r>
          </w:p>
          <w:p w14:paraId="739B7DD9">
            <w:pPr>
              <w:pStyle w:val="6"/>
              <w:spacing w:before="182" w:line="359" w:lineRule="auto"/>
              <w:ind w:left="107" w:right="102" w:firstLine="483"/>
            </w:pPr>
            <w:r>
              <w:rPr>
                <w:spacing w:val="1"/>
              </w:rPr>
              <w:t>大气污染物主要是施工扬尘、柴油发电机组尾</w:t>
            </w:r>
            <w:r>
              <w:t>气及无组织挥发烃类气体。在这些污染物中能对植物产生影响的主要为柴油发电机组</w:t>
            </w:r>
            <w:r>
              <w:rPr>
                <w:spacing w:val="-1"/>
              </w:rPr>
              <w:t>尾气中的</w:t>
            </w:r>
            <w:r>
              <w:rPr>
                <w:rFonts w:ascii="Times New Roman" w:hAnsi="Times New Roman" w:eastAsia="Times New Roman" w:cs="Times New Roman"/>
                <w:spacing w:val="-1"/>
              </w:rPr>
              <w:t>NO</w:t>
            </w:r>
            <w:r>
              <w:rPr>
                <w:rFonts w:ascii="Times New Roman" w:hAnsi="Times New Roman" w:eastAsia="Times New Roman" w:cs="Times New Roman"/>
                <w:spacing w:val="-1"/>
                <w:position w:val="-1"/>
                <w:sz w:val="15"/>
                <w:szCs w:val="15"/>
              </w:rPr>
              <w:t>X</w:t>
            </w:r>
            <w:r>
              <w:rPr>
                <w:rFonts w:ascii="Times New Roman" w:hAnsi="Times New Roman" w:eastAsia="Times New Roman" w:cs="Times New Roman"/>
                <w:spacing w:val="21"/>
                <w:w w:val="101"/>
                <w:position w:val="-1"/>
                <w:sz w:val="15"/>
                <w:szCs w:val="15"/>
              </w:rPr>
              <w:t xml:space="preserve"> </w:t>
            </w:r>
            <w:r>
              <w:rPr>
                <w:spacing w:val="-1"/>
              </w:rPr>
              <w:t>以及施</w:t>
            </w:r>
            <w:r>
              <w:rPr>
                <w:spacing w:val="-3"/>
              </w:rPr>
              <w:t>工扬尘。</w:t>
            </w:r>
          </w:p>
          <w:p w14:paraId="499014F2">
            <w:pPr>
              <w:pStyle w:val="6"/>
              <w:spacing w:before="3" w:line="347" w:lineRule="auto"/>
              <w:ind w:left="126" w:right="102" w:firstLine="450"/>
              <w:jc w:val="both"/>
              <w:rPr>
                <w:rFonts w:ascii="Times New Roman" w:hAnsi="Times New Roman" w:eastAsia="Times New Roman" w:cs="Times New Roman"/>
                <w:sz w:val="15"/>
                <w:szCs w:val="15"/>
              </w:rPr>
            </w:pPr>
            <w:r>
              <w:rPr>
                <w:rFonts w:ascii="Times New Roman" w:hAnsi="Times New Roman" w:eastAsia="Times New Roman" w:cs="Times New Roman"/>
              </w:rPr>
              <w:t>NO</w:t>
            </w:r>
            <w:r>
              <w:rPr>
                <w:rFonts w:ascii="Times New Roman" w:hAnsi="Times New Roman" w:eastAsia="Times New Roman" w:cs="Times New Roman"/>
                <w:position w:val="-1"/>
                <w:sz w:val="15"/>
                <w:szCs w:val="15"/>
              </w:rPr>
              <w:t>X</w:t>
            </w:r>
            <w:r>
              <w:rPr>
                <w:rFonts w:ascii="Times New Roman" w:hAnsi="Times New Roman" w:eastAsia="Times New Roman" w:cs="Times New Roman"/>
                <w:spacing w:val="1"/>
                <w:position w:val="-1"/>
                <w:sz w:val="15"/>
                <w:szCs w:val="15"/>
              </w:rPr>
              <w:t xml:space="preserve"> </w:t>
            </w:r>
            <w:r>
              <w:rPr>
                <w:spacing w:val="1"/>
              </w:rPr>
              <w:t>对植物的伤害表现在叶肉组织内部的细胞上。植</w:t>
            </w:r>
            <w:r>
              <w:t>物通过气孔吸收大气</w:t>
            </w:r>
            <w:r>
              <w:rPr>
                <w:spacing w:val="2"/>
              </w:rPr>
              <w:t>中的氮氧化物，随后污染物由气态变为液态，改变细胞或细胞周围的</w:t>
            </w:r>
            <w:r>
              <w:rPr>
                <w:spacing w:val="-54"/>
              </w:rPr>
              <w:t xml:space="preserve"> </w:t>
            </w:r>
            <w:r>
              <w:rPr>
                <w:rFonts w:ascii="Times New Roman" w:hAnsi="Times New Roman" w:eastAsia="Times New Roman" w:cs="Times New Roman"/>
              </w:rPr>
              <w:t>pH</w:t>
            </w:r>
            <w:r>
              <w:rPr>
                <w:rFonts w:ascii="Times New Roman" w:hAnsi="Times New Roman" w:eastAsia="Times New Roman" w:cs="Times New Roman"/>
                <w:spacing w:val="2"/>
              </w:rPr>
              <w:t xml:space="preserve"> </w:t>
            </w:r>
            <w:r>
              <w:rPr>
                <w:spacing w:val="2"/>
              </w:rPr>
              <w:t>值，</w:t>
            </w:r>
            <w:r>
              <w:rPr>
                <w:spacing w:val="-7"/>
              </w:rPr>
              <w:t>引起细胞结构变化，光合作用降低，植物的生长</w:t>
            </w:r>
            <w:r>
              <w:rPr>
                <w:spacing w:val="-8"/>
              </w:rPr>
              <w:t>繁殖能力降低。当高浓度的</w:t>
            </w:r>
            <w:r>
              <w:rPr>
                <w:spacing w:val="-63"/>
              </w:rPr>
              <w:t xml:space="preserve"> </w:t>
            </w:r>
            <w:r>
              <w:rPr>
                <w:rFonts w:ascii="Times New Roman" w:hAnsi="Times New Roman" w:eastAsia="Times New Roman" w:cs="Times New Roman"/>
                <w:spacing w:val="-8"/>
              </w:rPr>
              <w:t>NO</w:t>
            </w:r>
            <w:r>
              <w:rPr>
                <w:rFonts w:ascii="Times New Roman" w:hAnsi="Times New Roman" w:eastAsia="Times New Roman" w:cs="Times New Roman"/>
                <w:spacing w:val="-8"/>
                <w:position w:val="-1"/>
                <w:sz w:val="15"/>
                <w:szCs w:val="15"/>
              </w:rPr>
              <w:t>X</w:t>
            </w:r>
          </w:p>
        </w:tc>
      </w:tr>
    </w:tbl>
    <w:p w14:paraId="2F1BC037">
      <w:pPr>
        <w:rPr>
          <w:rFonts w:ascii="Arial"/>
          <w:sz w:val="21"/>
        </w:rPr>
      </w:pPr>
    </w:p>
    <w:p w14:paraId="4CD2374E">
      <w:pPr>
        <w:rPr>
          <w:rFonts w:ascii="Arial" w:hAnsi="Arial" w:eastAsia="Arial" w:cs="Arial"/>
          <w:sz w:val="21"/>
          <w:szCs w:val="21"/>
        </w:rPr>
        <w:sectPr>
          <w:footerReference r:id="rId75" w:type="default"/>
          <w:pgSz w:w="11906" w:h="16839"/>
          <w:pgMar w:top="400" w:right="1410" w:bottom="1240" w:left="1579" w:header="0" w:footer="1078" w:gutter="0"/>
          <w:cols w:space="720" w:num="1"/>
        </w:sectPr>
      </w:pPr>
    </w:p>
    <w:p w14:paraId="0532D391">
      <w:pPr>
        <w:spacing w:before="56"/>
      </w:pPr>
    </w:p>
    <w:p w14:paraId="3FE2B5FE">
      <w:pPr>
        <w:spacing w:before="56"/>
      </w:pPr>
    </w:p>
    <w:p w14:paraId="53FD6365">
      <w:pPr>
        <w:spacing w:before="55"/>
      </w:pPr>
    </w:p>
    <w:p w14:paraId="347B3B66">
      <w:pPr>
        <w:spacing w:before="55"/>
      </w:pPr>
    </w:p>
    <w:tbl>
      <w:tblPr>
        <w:tblStyle w:val="5"/>
        <w:tblW w:w="890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95"/>
        <w:gridCol w:w="8406"/>
      </w:tblGrid>
      <w:tr w14:paraId="6E085F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495" w:type="dxa"/>
            <w:tcBorders>
              <w:right w:val="single" w:color="000000" w:sz="2" w:space="0"/>
            </w:tcBorders>
            <w:vAlign w:val="top"/>
          </w:tcPr>
          <w:p w14:paraId="67DF8BA1">
            <w:pPr>
              <w:rPr>
                <w:rFonts w:ascii="Arial"/>
                <w:sz w:val="21"/>
              </w:rPr>
            </w:pPr>
          </w:p>
        </w:tc>
        <w:tc>
          <w:tcPr>
            <w:tcW w:w="8406" w:type="dxa"/>
            <w:tcBorders>
              <w:left w:val="single" w:color="000000" w:sz="2" w:space="0"/>
            </w:tcBorders>
            <w:vAlign w:val="top"/>
          </w:tcPr>
          <w:p w14:paraId="7CC3FB38">
            <w:pPr>
              <w:pStyle w:val="6"/>
              <w:spacing w:before="41" w:line="359" w:lineRule="auto"/>
              <w:ind w:left="104" w:right="102" w:firstLine="3"/>
              <w:jc w:val="both"/>
            </w:pPr>
            <w:r>
              <w:t>在短时间内排放时，可使植物产生急性伤害，尤其在温</w:t>
            </w:r>
            <w:r>
              <w:rPr>
                <w:spacing w:val="-1"/>
              </w:rPr>
              <w:t>暖晴朗的天气下，植物</w:t>
            </w:r>
            <w:r>
              <w:rPr>
                <w:rFonts w:ascii="Times New Roman" w:hAnsi="Times New Roman" w:eastAsia="Times New Roman" w:cs="Times New Roman"/>
                <w:spacing w:val="-4"/>
              </w:rPr>
              <w:t>24</w:t>
            </w:r>
            <w:r>
              <w:rPr>
                <w:rFonts w:ascii="Times New Roman" w:hAnsi="Times New Roman" w:eastAsia="Times New Roman" w:cs="Times New Roman"/>
                <w:spacing w:val="32"/>
              </w:rPr>
              <w:t xml:space="preserve"> </w:t>
            </w:r>
            <w:r>
              <w:rPr>
                <w:spacing w:val="-4"/>
              </w:rPr>
              <w:t>小时内就可能出现坏死斑。而较低浓度的</w:t>
            </w:r>
            <w:r>
              <w:rPr>
                <w:spacing w:val="-63"/>
              </w:rPr>
              <w:t xml:space="preserve"> </w:t>
            </w:r>
            <w:r>
              <w:rPr>
                <w:rFonts w:ascii="Times New Roman" w:hAnsi="Times New Roman" w:eastAsia="Times New Roman" w:cs="Times New Roman"/>
                <w:spacing w:val="-4"/>
              </w:rPr>
              <w:t>NO</w:t>
            </w:r>
            <w:r>
              <w:rPr>
                <w:rFonts w:ascii="Times New Roman" w:hAnsi="Times New Roman" w:eastAsia="Times New Roman" w:cs="Times New Roman"/>
                <w:spacing w:val="-4"/>
                <w:position w:val="-1"/>
                <w:sz w:val="15"/>
                <w:szCs w:val="15"/>
              </w:rPr>
              <w:t>X</w:t>
            </w:r>
            <w:r>
              <w:rPr>
                <w:rFonts w:ascii="Times New Roman" w:hAnsi="Times New Roman" w:eastAsia="Times New Roman" w:cs="Times New Roman"/>
                <w:spacing w:val="10"/>
                <w:position w:val="-1"/>
                <w:sz w:val="15"/>
                <w:szCs w:val="15"/>
              </w:rPr>
              <w:t xml:space="preserve"> </w:t>
            </w:r>
            <w:r>
              <w:rPr>
                <w:spacing w:val="-4"/>
              </w:rPr>
              <w:t>对植物的伤害是慢性的，可使</w:t>
            </w:r>
            <w:r>
              <w:rPr>
                <w:spacing w:val="-1"/>
              </w:rPr>
              <w:t>植物叶片失绿。</w:t>
            </w:r>
          </w:p>
          <w:p w14:paraId="13A97721">
            <w:pPr>
              <w:pStyle w:val="6"/>
              <w:spacing w:line="359" w:lineRule="auto"/>
              <w:ind w:left="124" w:right="22" w:firstLine="469"/>
            </w:pPr>
            <w:r>
              <w:rPr>
                <w:spacing w:val="1"/>
              </w:rPr>
              <w:t>另一方面，油井钻井的扬尘颗粒物在植物表面以干粉尘、泥膜形式积累，</w:t>
            </w:r>
            <w:r>
              <w:rPr>
                <w:spacing w:val="-4"/>
              </w:rPr>
              <w:t>阻塞气孔，导致气体变换减少，叶片温度升高，光</w:t>
            </w:r>
            <w:r>
              <w:rPr>
                <w:spacing w:val="-5"/>
              </w:rPr>
              <w:t>合作用下降，叶片黄化干缩。</w:t>
            </w:r>
          </w:p>
          <w:p w14:paraId="6876C85D">
            <w:pPr>
              <w:pStyle w:val="6"/>
              <w:spacing w:before="1" w:line="359" w:lineRule="auto"/>
              <w:ind w:left="112" w:right="100" w:firstLine="480"/>
            </w:pPr>
            <w:r>
              <w:rPr>
                <w:spacing w:val="1"/>
              </w:rPr>
              <w:t>项目的施工时间短，施工期间采取合理化管理、</w:t>
            </w:r>
            <w:r>
              <w:t>控制作业面积、土堆适当</w:t>
            </w:r>
            <w:r>
              <w:rPr>
                <w:spacing w:val="1"/>
              </w:rPr>
              <w:t>喷水、土堆和材料遮盖、大风天停止作业等措施</w:t>
            </w:r>
            <w:r>
              <w:t>后，控制扬尘的影响范围。且</w:t>
            </w:r>
            <w:r>
              <w:rPr>
                <w:spacing w:val="-1"/>
              </w:rPr>
              <w:t>项目所在地地势开阔，污染物易扩散，大气污染对植被的影响较小。</w:t>
            </w:r>
          </w:p>
          <w:p w14:paraId="3016C2E7">
            <w:pPr>
              <w:pStyle w:val="6"/>
              <w:spacing w:line="219" w:lineRule="auto"/>
              <w:ind w:left="600"/>
            </w:pPr>
            <w:r>
              <w:rPr>
                <w:spacing w:val="-2"/>
              </w:rPr>
              <w:t>（</w:t>
            </w:r>
            <w:r>
              <w:rPr>
                <w:rFonts w:ascii="Times New Roman" w:hAnsi="Times New Roman" w:eastAsia="Times New Roman" w:cs="Times New Roman"/>
                <w:spacing w:val="-2"/>
              </w:rPr>
              <w:t>3</w:t>
            </w:r>
            <w:r>
              <w:rPr>
                <w:spacing w:val="-2"/>
              </w:rPr>
              <w:t>）石油类污染对植被的影响</w:t>
            </w:r>
          </w:p>
          <w:p w14:paraId="27B93FAD">
            <w:pPr>
              <w:pStyle w:val="6"/>
              <w:spacing w:before="182" w:line="359" w:lineRule="auto"/>
              <w:ind w:left="107" w:right="100" w:firstLine="480"/>
            </w:pPr>
            <w:r>
              <w:rPr>
                <w:spacing w:val="1"/>
              </w:rPr>
              <w:t>在油井开发过程中石油对植被的污染途径主要是试油过程中</w:t>
            </w:r>
            <w:r>
              <w:t>不慎将原油溅</w:t>
            </w:r>
            <w:r>
              <w:rPr>
                <w:spacing w:val="1"/>
              </w:rPr>
              <w:t>在植物体上，影响其生理功能，使植物生长发育受阻，重者</w:t>
            </w:r>
            <w:r>
              <w:t>导致死亡。项目正</w:t>
            </w:r>
            <w:r>
              <w:rPr>
                <w:spacing w:val="1"/>
              </w:rPr>
              <w:t>常状况下无落地油产生，非正常工况下的落地油主要产</w:t>
            </w:r>
            <w:r>
              <w:t>生在井场的临时占地范</w:t>
            </w:r>
            <w:r>
              <w:rPr>
                <w:spacing w:val="1"/>
              </w:rPr>
              <w:t>围内，施工期临时占地范围内无植被，因此地表石油类污染</w:t>
            </w:r>
            <w:r>
              <w:t>不会使植被受到明</w:t>
            </w:r>
            <w:r>
              <w:rPr>
                <w:spacing w:val="-3"/>
              </w:rPr>
              <w:t>显伤害。</w:t>
            </w:r>
          </w:p>
          <w:p w14:paraId="1D8D083C">
            <w:pPr>
              <w:pStyle w:val="6"/>
              <w:spacing w:line="220" w:lineRule="auto"/>
              <w:ind w:left="577"/>
              <w:outlineLvl w:val="0"/>
            </w:pPr>
            <w:r>
              <w:rPr>
                <w:rFonts w:ascii="Times New Roman" w:hAnsi="Times New Roman" w:eastAsia="Times New Roman" w:cs="Times New Roman"/>
                <w:spacing w:val="-4"/>
              </w:rPr>
              <w:t>3</w:t>
            </w:r>
            <w:r>
              <w:rPr>
                <w:rFonts w:ascii="Times New Roman" w:hAnsi="Times New Roman" w:eastAsia="Times New Roman" w:cs="Times New Roman"/>
                <w:spacing w:val="-31"/>
              </w:rPr>
              <w:t xml:space="preserve"> </w:t>
            </w:r>
            <w:r>
              <w:rPr>
                <w:spacing w:val="-4"/>
              </w:rPr>
              <w:t>、野生动物影响分析</w:t>
            </w:r>
          </w:p>
          <w:p w14:paraId="63AB0201">
            <w:pPr>
              <w:pStyle w:val="6"/>
              <w:spacing w:before="181" w:line="359" w:lineRule="auto"/>
              <w:ind w:left="108" w:right="41" w:firstLine="483"/>
              <w:jc w:val="both"/>
            </w:pPr>
            <w:r>
              <w:rPr>
                <w:spacing w:val="1"/>
              </w:rPr>
              <w:t>项目井场区域受人类长期干扰和开发影响，区内</w:t>
            </w:r>
            <w:r>
              <w:t>野生动物种类、数量均较</w:t>
            </w:r>
            <w:r>
              <w:rPr>
                <w:spacing w:val="-4"/>
              </w:rPr>
              <w:t>少。经调查，项目施工区域不是国家重点保</w:t>
            </w:r>
            <w:r>
              <w:rPr>
                <w:spacing w:val="-5"/>
              </w:rPr>
              <w:t>护野生动物的集中栖息地和繁殖地，</w:t>
            </w:r>
            <w:r>
              <w:rPr>
                <w:spacing w:val="2"/>
              </w:rPr>
              <w:t>区内野生动物为一些常见种类，例如野兔、刺</w:t>
            </w:r>
            <w:r>
              <w:rPr>
                <w:spacing w:val="1"/>
              </w:rPr>
              <w:t>猬、田鼠、蛇等小型动物出没，鸟类有麻雀、喜鹊、燕子等。项目的施工建设会对当地野</w:t>
            </w:r>
            <w:r>
              <w:t>生动物栖息环境产生</w:t>
            </w:r>
            <w:r>
              <w:rPr>
                <w:spacing w:val="1"/>
              </w:rPr>
              <w:t>一定的影响，栖息地的减少使动物的活动空间减少，使一</w:t>
            </w:r>
            <w:r>
              <w:t>些小型动物的活动范</w:t>
            </w:r>
            <w:r>
              <w:rPr>
                <w:spacing w:val="1"/>
              </w:rPr>
              <w:t>围受限。由于项目临时占地占用时间短，且区内主要为小</w:t>
            </w:r>
            <w:r>
              <w:t>型动物，其领地面积</w:t>
            </w:r>
            <w:r>
              <w:rPr>
                <w:spacing w:val="-1"/>
              </w:rPr>
              <w:t>相对较小，因此，项目建设对其动物的影响并不十分明显。</w:t>
            </w:r>
          </w:p>
          <w:p w14:paraId="5C1A07EB">
            <w:pPr>
              <w:pStyle w:val="6"/>
              <w:spacing w:line="218" w:lineRule="auto"/>
              <w:ind w:left="583"/>
            </w:pPr>
            <w:r>
              <w:rPr>
                <w:rFonts w:ascii="Times New Roman" w:hAnsi="Times New Roman" w:eastAsia="Times New Roman" w:cs="Times New Roman"/>
                <w:spacing w:val="-3"/>
              </w:rPr>
              <w:t>4</w:t>
            </w:r>
            <w:r>
              <w:rPr>
                <w:rFonts w:ascii="Times New Roman" w:hAnsi="Times New Roman" w:eastAsia="Times New Roman" w:cs="Times New Roman"/>
                <w:spacing w:val="-32"/>
              </w:rPr>
              <w:t xml:space="preserve"> </w:t>
            </w:r>
            <w:r>
              <w:rPr>
                <w:spacing w:val="-3"/>
              </w:rPr>
              <w:t>、基本农田的影响分析</w:t>
            </w:r>
          </w:p>
          <w:p w14:paraId="0259458D">
            <w:pPr>
              <w:pStyle w:val="6"/>
              <w:spacing w:before="183" w:line="359" w:lineRule="auto"/>
              <w:ind w:left="108" w:right="100" w:firstLine="509"/>
            </w:pPr>
            <w:r>
              <w:t>由于地质条件所限，井场选址难以避让基本农田。项目对基本农</w:t>
            </w:r>
            <w:r>
              <w:rPr>
                <w:spacing w:val="-1"/>
              </w:rPr>
              <w:t>田的直接</w:t>
            </w:r>
            <w:r>
              <w:rPr>
                <w:spacing w:val="1"/>
              </w:rPr>
              <w:t>影响主要体现为施工占地对基本农田的挖损、压占以及因</w:t>
            </w:r>
            <w:r>
              <w:t>占用基本农田而造成</w:t>
            </w:r>
            <w:r>
              <w:rPr>
                <w:spacing w:val="-2"/>
              </w:rPr>
              <w:t>农作物的减产。</w:t>
            </w:r>
          </w:p>
          <w:p w14:paraId="6483F083">
            <w:pPr>
              <w:pStyle w:val="6"/>
              <w:spacing w:before="4" w:line="347" w:lineRule="auto"/>
              <w:ind w:left="108" w:right="100" w:firstLine="483"/>
              <w:jc w:val="both"/>
            </w:pPr>
            <w:r>
              <w:rPr>
                <w:spacing w:val="1"/>
              </w:rPr>
              <w:t>项目临时用地过程中不涉及永久性建筑物、不涉</w:t>
            </w:r>
            <w:r>
              <w:t>及地面硬化，只涉及钻机</w:t>
            </w:r>
            <w:r>
              <w:rPr>
                <w:spacing w:val="1"/>
              </w:rPr>
              <w:t>设备压占，损毁程度为中度和轻度，通过土地复垦等有效</w:t>
            </w:r>
            <w:r>
              <w:t>措施可以恢复为基本</w:t>
            </w:r>
            <w:r>
              <w:rPr>
                <w:spacing w:val="1"/>
              </w:rPr>
              <w:t>农田。施工占地造成的农作物减产，除对其进行经济</w:t>
            </w:r>
            <w:r>
              <w:t>补偿外，应当在施工前，</w:t>
            </w:r>
          </w:p>
        </w:tc>
      </w:tr>
    </w:tbl>
    <w:p w14:paraId="77E0AAC7">
      <w:pPr>
        <w:rPr>
          <w:rFonts w:ascii="Arial"/>
          <w:sz w:val="21"/>
        </w:rPr>
      </w:pPr>
    </w:p>
    <w:p w14:paraId="73282D07">
      <w:pPr>
        <w:rPr>
          <w:rFonts w:ascii="Arial" w:hAnsi="Arial" w:eastAsia="Arial" w:cs="Arial"/>
          <w:sz w:val="21"/>
          <w:szCs w:val="21"/>
        </w:rPr>
        <w:sectPr>
          <w:footerReference r:id="rId76" w:type="default"/>
          <w:pgSz w:w="11906" w:h="16839"/>
          <w:pgMar w:top="400" w:right="1410" w:bottom="1240" w:left="1579" w:header="0" w:footer="1078" w:gutter="0"/>
          <w:cols w:space="720" w:num="1"/>
        </w:sectPr>
      </w:pPr>
    </w:p>
    <w:p w14:paraId="6840D1AD">
      <w:pPr>
        <w:spacing w:before="56"/>
      </w:pPr>
    </w:p>
    <w:p w14:paraId="6D460E86">
      <w:pPr>
        <w:spacing w:before="56"/>
      </w:pPr>
    </w:p>
    <w:p w14:paraId="48FFC515">
      <w:pPr>
        <w:spacing w:before="55"/>
      </w:pPr>
    </w:p>
    <w:p w14:paraId="58CD0624">
      <w:pPr>
        <w:spacing w:before="55"/>
      </w:pPr>
    </w:p>
    <w:tbl>
      <w:tblPr>
        <w:tblStyle w:val="5"/>
        <w:tblW w:w="890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95"/>
        <w:gridCol w:w="8406"/>
      </w:tblGrid>
      <w:tr w14:paraId="42EBFE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495" w:type="dxa"/>
            <w:tcBorders>
              <w:right w:val="single" w:color="000000" w:sz="2" w:space="0"/>
            </w:tcBorders>
            <w:vAlign w:val="top"/>
          </w:tcPr>
          <w:p w14:paraId="6658D67B">
            <w:pPr>
              <w:rPr>
                <w:rFonts w:ascii="Arial"/>
                <w:sz w:val="21"/>
              </w:rPr>
            </w:pPr>
          </w:p>
        </w:tc>
        <w:tc>
          <w:tcPr>
            <w:tcW w:w="8406" w:type="dxa"/>
            <w:tcBorders>
              <w:left w:val="single" w:color="000000" w:sz="2" w:space="0"/>
            </w:tcBorders>
            <w:vAlign w:val="top"/>
          </w:tcPr>
          <w:p w14:paraId="5AAE2137">
            <w:pPr>
              <w:pStyle w:val="6"/>
              <w:spacing w:before="41" w:line="359" w:lineRule="auto"/>
              <w:ind w:left="107" w:right="100"/>
              <w:jc w:val="both"/>
            </w:pPr>
            <w:r>
              <w:rPr>
                <w:spacing w:val="1"/>
              </w:rPr>
              <w:t>对临时用地范围内的表层土进行剥离并集中堆存，并对表土</w:t>
            </w:r>
            <w:r>
              <w:t>堆存区做好水保措</w:t>
            </w:r>
            <w:r>
              <w:rPr>
                <w:spacing w:val="1"/>
              </w:rPr>
              <w:t>施；施工过程中，井场采取分区防渗措施，产生的废水、固</w:t>
            </w:r>
            <w:r>
              <w:t>废等及时清运，防</w:t>
            </w:r>
            <w:r>
              <w:rPr>
                <w:spacing w:val="1"/>
              </w:rPr>
              <w:t>止废水、钻井泥浆及柴油等对基本农田造成污染；施工结束</w:t>
            </w:r>
            <w:r>
              <w:t>后，严格按照土地</w:t>
            </w:r>
            <w:r>
              <w:rPr>
                <w:spacing w:val="1"/>
              </w:rPr>
              <w:t>复垦方案，对临时用地进行清理、平整及翻耕，将剥离的比</w:t>
            </w:r>
            <w:r>
              <w:t>较肥沃的表层土铺</w:t>
            </w:r>
            <w:r>
              <w:rPr>
                <w:spacing w:val="-1"/>
              </w:rPr>
              <w:t>在最上层，并进行增肥作业，可以恢复占用基本农田的生产力。</w:t>
            </w:r>
          </w:p>
          <w:p w14:paraId="5453181F">
            <w:pPr>
              <w:pStyle w:val="6"/>
              <w:spacing w:line="359" w:lineRule="auto"/>
              <w:ind w:left="108" w:right="102" w:firstLine="482"/>
            </w:pPr>
            <w:r>
              <w:rPr>
                <w:spacing w:val="1"/>
              </w:rPr>
              <w:t>综上所述，通过采取表土剥离、土地复垦等措</w:t>
            </w:r>
            <w:r>
              <w:t>施，可以将临时用地恢复为</w:t>
            </w:r>
            <w:r>
              <w:rPr>
                <w:spacing w:val="-1"/>
              </w:rPr>
              <w:t>基本农田，对基本农田的影响是短期的、可逆的和可接受的。</w:t>
            </w:r>
          </w:p>
          <w:p w14:paraId="3219219C">
            <w:pPr>
              <w:pStyle w:val="6"/>
              <w:spacing w:line="219" w:lineRule="auto"/>
              <w:ind w:left="591"/>
            </w:pPr>
            <w:r>
              <w:rPr>
                <w:rFonts w:ascii="Times New Roman" w:hAnsi="Times New Roman" w:eastAsia="Times New Roman" w:cs="Times New Roman"/>
                <w:spacing w:val="-4"/>
              </w:rPr>
              <w:t>5</w:t>
            </w:r>
            <w:r>
              <w:rPr>
                <w:rFonts w:ascii="Times New Roman" w:hAnsi="Times New Roman" w:eastAsia="Times New Roman" w:cs="Times New Roman"/>
                <w:spacing w:val="-33"/>
              </w:rPr>
              <w:t xml:space="preserve"> </w:t>
            </w:r>
            <w:r>
              <w:rPr>
                <w:spacing w:val="-4"/>
              </w:rPr>
              <w:t>、水土流失影响分析</w:t>
            </w:r>
          </w:p>
          <w:p w14:paraId="2F433F07">
            <w:pPr>
              <w:pStyle w:val="6"/>
              <w:spacing w:before="183" w:line="358" w:lineRule="auto"/>
              <w:ind w:left="118" w:right="140" w:firstLine="469"/>
            </w:pPr>
            <w:r>
              <w:rPr>
                <w:spacing w:val="-1"/>
              </w:rPr>
              <w:t>施工过程中造成水土流失的原因主要是破坏地面表层结构以及大风季节、雨季时对表土堆存区的风力侵蚀、水力侵蚀等，影响主要有以下几个方面。</w:t>
            </w:r>
          </w:p>
          <w:p w14:paraId="49E41EA3">
            <w:pPr>
              <w:pStyle w:val="6"/>
              <w:spacing w:before="1" w:line="359" w:lineRule="auto"/>
              <w:ind w:left="108" w:right="100" w:firstLine="479"/>
            </w:pPr>
            <w:r>
              <w:rPr>
                <w:spacing w:val="1"/>
              </w:rPr>
              <w:t>①项目地处内陆地区，风沙较大、空气干燥，施工过程</w:t>
            </w:r>
            <w:r>
              <w:t>改变了原地貌、土</w:t>
            </w:r>
            <w:r>
              <w:rPr>
                <w:spacing w:val="1"/>
              </w:rPr>
              <w:t>壤结构和地面物质组成等，大大降低了用地范围内的土壤</w:t>
            </w:r>
            <w:r>
              <w:t>抗侵蚀能力。若在施工过程中不加以治理和防护，遇大风天气、雨季易产</w:t>
            </w:r>
            <w:r>
              <w:rPr>
                <w:spacing w:val="-1"/>
              </w:rPr>
              <w:t>生严重的水土流失现象。</w:t>
            </w:r>
          </w:p>
          <w:p w14:paraId="4325E1B6">
            <w:pPr>
              <w:pStyle w:val="6"/>
              <w:spacing w:before="1" w:line="359" w:lineRule="auto"/>
              <w:ind w:left="110" w:right="100" w:firstLine="476"/>
            </w:pPr>
            <w:r>
              <w:rPr>
                <w:spacing w:val="1"/>
              </w:rPr>
              <w:t>②施工期对地表结皮破坏，有可能增加空气中粉尘含量，</w:t>
            </w:r>
            <w:r>
              <w:t>严重时会形成沙</w:t>
            </w:r>
            <w:r>
              <w:rPr>
                <w:spacing w:val="1"/>
              </w:rPr>
              <w:t>尘暴，造成一定的生态环境破坏；施工车辆的反复碾</w:t>
            </w:r>
            <w:r>
              <w:t>压将会使道路周边长期处</w:t>
            </w:r>
            <w:r>
              <w:rPr>
                <w:spacing w:val="-1"/>
              </w:rPr>
              <w:t>于扬尘状况下，给施工人员、村民健康造成危害。</w:t>
            </w:r>
          </w:p>
          <w:p w14:paraId="462BDB20">
            <w:pPr>
              <w:pStyle w:val="6"/>
              <w:spacing w:line="219" w:lineRule="auto"/>
              <w:ind w:left="576"/>
              <w:outlineLvl w:val="0"/>
            </w:pPr>
            <w:r>
              <w:rPr>
                <w:spacing w:val="1"/>
              </w:rPr>
              <w:t>施工过程中严格控制和合理规划占地范围，减少对地表的扰动；对剥离的</w:t>
            </w:r>
          </w:p>
          <w:p w14:paraId="0D3FBCAD">
            <w:pPr>
              <w:pStyle w:val="6"/>
              <w:spacing w:before="181" w:line="359" w:lineRule="auto"/>
              <w:ind w:left="107" w:right="100"/>
              <w:jc w:val="both"/>
            </w:pPr>
            <w:r>
              <w:rPr>
                <w:spacing w:val="1"/>
              </w:rPr>
              <w:t>表层土使用密目网遮盖，井场定期洒水抑尘等；施工结束后</w:t>
            </w:r>
            <w:r>
              <w:t>按照复垦方案，对</w:t>
            </w:r>
            <w:r>
              <w:rPr>
                <w:spacing w:val="1"/>
              </w:rPr>
              <w:t>临时用地进行清理平整，及时恢复地貌原状，可减轻水土</w:t>
            </w:r>
            <w:r>
              <w:t>流失的影响。综上，</w:t>
            </w:r>
            <w:r>
              <w:rPr>
                <w:spacing w:val="1"/>
              </w:rPr>
              <w:t>项目施工期短，在严格落实各项管理规定和防治措施后，</w:t>
            </w:r>
            <w:r>
              <w:t>对水土流失重点治理</w:t>
            </w:r>
            <w:r>
              <w:rPr>
                <w:spacing w:val="-2"/>
              </w:rPr>
              <w:t>产生的影响较小。</w:t>
            </w:r>
          </w:p>
          <w:p w14:paraId="6A5C43F7">
            <w:pPr>
              <w:pStyle w:val="6"/>
              <w:spacing w:before="1" w:line="219" w:lineRule="auto"/>
              <w:ind w:left="591"/>
            </w:pPr>
            <w:r>
              <w:rPr>
                <w:rFonts w:ascii="Times New Roman" w:hAnsi="Times New Roman" w:eastAsia="Times New Roman" w:cs="Times New Roman"/>
                <w:spacing w:val="-5"/>
              </w:rPr>
              <w:t>5</w:t>
            </w:r>
            <w:r>
              <w:rPr>
                <w:rFonts w:ascii="Times New Roman" w:hAnsi="Times New Roman" w:eastAsia="Times New Roman" w:cs="Times New Roman"/>
                <w:spacing w:val="-33"/>
              </w:rPr>
              <w:t xml:space="preserve"> </w:t>
            </w:r>
            <w:r>
              <w:rPr>
                <w:spacing w:val="-5"/>
              </w:rPr>
              <w:t>、景观影响分析</w:t>
            </w:r>
          </w:p>
          <w:p w14:paraId="7D8FDCB9">
            <w:pPr>
              <w:pStyle w:val="6"/>
              <w:spacing w:before="183" w:line="359" w:lineRule="auto"/>
              <w:ind w:left="109" w:right="100" w:firstLine="478"/>
            </w:pPr>
            <w:r>
              <w:rPr>
                <w:spacing w:val="1"/>
              </w:rPr>
              <w:t>在勘探期各种车辆行驶所形成的通向勘探井和外围的道路，</w:t>
            </w:r>
            <w:r>
              <w:t>使景观的基本</w:t>
            </w:r>
            <w:r>
              <w:rPr>
                <w:spacing w:val="1"/>
              </w:rPr>
              <w:t>构成要素廊道的数量增加，影响生态系统中的能流、物</w:t>
            </w:r>
            <w:r>
              <w:t>流的流动，对植物物种</w:t>
            </w:r>
            <w:r>
              <w:rPr>
                <w:spacing w:val="1"/>
              </w:rPr>
              <w:t>和传播和动物的迁徙有一定的影响。架设井架、设备、</w:t>
            </w:r>
            <w:r>
              <w:t>房屋等人工建筑景观、改变原有的景观，造成视觉干扰。但这一影响</w:t>
            </w:r>
            <w:r>
              <w:rPr>
                <w:spacing w:val="-1"/>
              </w:rPr>
              <w:t>随勘探作业的完成而结束。</w:t>
            </w:r>
          </w:p>
          <w:p w14:paraId="17A8CAA6">
            <w:pPr>
              <w:pStyle w:val="6"/>
              <w:spacing w:line="219" w:lineRule="auto"/>
              <w:ind w:left="589"/>
            </w:pPr>
            <w:r>
              <w:rPr>
                <w:rFonts w:ascii="Times New Roman" w:hAnsi="Times New Roman" w:eastAsia="Times New Roman" w:cs="Times New Roman"/>
                <w:spacing w:val="-4"/>
              </w:rPr>
              <w:t>6</w:t>
            </w:r>
            <w:r>
              <w:rPr>
                <w:rFonts w:ascii="Times New Roman" w:hAnsi="Times New Roman" w:eastAsia="Times New Roman" w:cs="Times New Roman"/>
                <w:spacing w:val="-28"/>
              </w:rPr>
              <w:t xml:space="preserve"> </w:t>
            </w:r>
            <w:r>
              <w:rPr>
                <w:spacing w:val="-4"/>
              </w:rPr>
              <w:t>、生态完整性影响分析</w:t>
            </w:r>
          </w:p>
          <w:p w14:paraId="335ABB19">
            <w:pPr>
              <w:pStyle w:val="6"/>
              <w:spacing w:before="180" w:line="343" w:lineRule="auto"/>
              <w:ind w:left="110" w:right="102" w:firstLine="481"/>
            </w:pPr>
            <w:r>
              <w:rPr>
                <w:spacing w:val="1"/>
              </w:rPr>
              <w:t>项目生产建设将对区域生态完整性产生一定</w:t>
            </w:r>
            <w:r>
              <w:t>的影响。本次生态完整性评价主要从项目建设对区域生态系统生产能力以及</w:t>
            </w:r>
            <w:r>
              <w:rPr>
                <w:spacing w:val="-1"/>
              </w:rPr>
              <w:t>稳定性影响两方面进行分析。</w:t>
            </w:r>
          </w:p>
        </w:tc>
      </w:tr>
    </w:tbl>
    <w:p w14:paraId="2EF1E4B7">
      <w:pPr>
        <w:rPr>
          <w:rFonts w:ascii="Arial"/>
          <w:sz w:val="21"/>
        </w:rPr>
      </w:pPr>
    </w:p>
    <w:p w14:paraId="0D70EB33">
      <w:pPr>
        <w:rPr>
          <w:rFonts w:ascii="Arial" w:hAnsi="Arial" w:eastAsia="Arial" w:cs="Arial"/>
          <w:sz w:val="21"/>
          <w:szCs w:val="21"/>
        </w:rPr>
        <w:sectPr>
          <w:footerReference r:id="rId77" w:type="default"/>
          <w:pgSz w:w="11906" w:h="16839"/>
          <w:pgMar w:top="400" w:right="1410" w:bottom="1240" w:left="1579" w:header="0" w:footer="1078" w:gutter="0"/>
          <w:cols w:space="720" w:num="1"/>
        </w:sectPr>
      </w:pPr>
    </w:p>
    <w:p w14:paraId="7C2C281A">
      <w:pPr>
        <w:spacing w:before="56"/>
      </w:pPr>
    </w:p>
    <w:p w14:paraId="48058219">
      <w:pPr>
        <w:spacing w:before="56"/>
      </w:pPr>
    </w:p>
    <w:p w14:paraId="23010C12">
      <w:pPr>
        <w:spacing w:before="55"/>
      </w:pPr>
    </w:p>
    <w:p w14:paraId="4FC3B98E">
      <w:pPr>
        <w:spacing w:before="55"/>
      </w:pPr>
    </w:p>
    <w:tbl>
      <w:tblPr>
        <w:tblStyle w:val="5"/>
        <w:tblW w:w="890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95"/>
        <w:gridCol w:w="8406"/>
      </w:tblGrid>
      <w:tr w14:paraId="56DD4B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495" w:type="dxa"/>
            <w:tcBorders>
              <w:right w:val="single" w:color="000000" w:sz="2" w:space="0"/>
            </w:tcBorders>
            <w:vAlign w:val="top"/>
          </w:tcPr>
          <w:p w14:paraId="21BE7498">
            <w:pPr>
              <w:rPr>
                <w:rFonts w:ascii="Arial"/>
                <w:sz w:val="21"/>
              </w:rPr>
            </w:pPr>
          </w:p>
        </w:tc>
        <w:tc>
          <w:tcPr>
            <w:tcW w:w="8406" w:type="dxa"/>
            <w:tcBorders>
              <w:left w:val="single" w:color="000000" w:sz="2" w:space="0"/>
            </w:tcBorders>
            <w:vAlign w:val="top"/>
          </w:tcPr>
          <w:p w14:paraId="092BAA34">
            <w:pPr>
              <w:pStyle w:val="6"/>
              <w:spacing w:before="40" w:line="219" w:lineRule="auto"/>
              <w:ind w:left="600"/>
            </w:pPr>
            <w:bookmarkStart w:id="4" w:name="bookmark8"/>
            <w:bookmarkEnd w:id="4"/>
            <w:r>
              <w:rPr>
                <w:spacing w:val="-2"/>
              </w:rPr>
              <w:t>（</w:t>
            </w:r>
            <w:r>
              <w:rPr>
                <w:rFonts w:ascii="Times New Roman" w:hAnsi="Times New Roman" w:eastAsia="Times New Roman" w:cs="Times New Roman"/>
                <w:spacing w:val="-2"/>
              </w:rPr>
              <w:t>1</w:t>
            </w:r>
            <w:r>
              <w:rPr>
                <w:spacing w:val="-2"/>
              </w:rPr>
              <w:t>）生态系统生产能力分析</w:t>
            </w:r>
          </w:p>
          <w:p w14:paraId="387C1185">
            <w:pPr>
              <w:pStyle w:val="6"/>
              <w:spacing w:before="181" w:line="359" w:lineRule="auto"/>
              <w:ind w:left="107" w:right="100" w:firstLine="482"/>
            </w:pPr>
            <w:r>
              <w:rPr>
                <w:spacing w:val="1"/>
              </w:rPr>
              <w:t>生物与环境共同作用使生物具备了适应环境的能力，</w:t>
            </w:r>
            <w:r>
              <w:t>而且由于生物的生产</w:t>
            </w:r>
            <w:r>
              <w:rPr>
                <w:spacing w:val="1"/>
              </w:rPr>
              <w:t>能力，可以对受到干扰的自然体系发挥修复的功能，从而维</w:t>
            </w:r>
            <w:r>
              <w:t>持自然体系的生态</w:t>
            </w:r>
            <w:r>
              <w:rPr>
                <w:spacing w:val="-3"/>
              </w:rPr>
              <w:t>平衡。</w:t>
            </w:r>
          </w:p>
          <w:p w14:paraId="6B8511EC">
            <w:pPr>
              <w:pStyle w:val="6"/>
              <w:spacing w:before="2" w:line="359" w:lineRule="auto"/>
              <w:ind w:left="109" w:right="100" w:firstLine="482"/>
              <w:jc w:val="both"/>
            </w:pPr>
            <w:r>
              <w:rPr>
                <w:spacing w:val="1"/>
              </w:rPr>
              <w:t>项目实施后将对局部自然植被产生一定的影响，</w:t>
            </w:r>
            <w:r>
              <w:t>生产力有所降低，区域内</w:t>
            </w:r>
            <w:r>
              <w:rPr>
                <w:spacing w:val="1"/>
              </w:rPr>
              <w:t>以农作物为主，项目结束后将按土地复垦方案进行复垦</w:t>
            </w:r>
            <w:r>
              <w:t>，在占地范围内种植农</w:t>
            </w:r>
            <w:r>
              <w:rPr>
                <w:spacing w:val="1"/>
              </w:rPr>
              <w:t>作物，以增加植被地表覆盖度，因此项目的建设不会对</w:t>
            </w:r>
            <w:r>
              <w:t>生态系统生产能力产生</w:t>
            </w:r>
            <w:r>
              <w:rPr>
                <w:spacing w:val="-3"/>
              </w:rPr>
              <w:t>明显影响。</w:t>
            </w:r>
          </w:p>
          <w:p w14:paraId="779CC7F6">
            <w:pPr>
              <w:pStyle w:val="6"/>
              <w:spacing w:line="219" w:lineRule="auto"/>
              <w:ind w:left="588"/>
              <w:outlineLvl w:val="0"/>
            </w:pPr>
            <w:r>
              <w:rPr>
                <w:spacing w:val="-2"/>
              </w:rPr>
              <w:t>（</w:t>
            </w:r>
            <w:r>
              <w:rPr>
                <w:rFonts w:ascii="Times New Roman" w:hAnsi="Times New Roman" w:eastAsia="Times New Roman" w:cs="Times New Roman"/>
                <w:spacing w:val="-2"/>
              </w:rPr>
              <w:t>2</w:t>
            </w:r>
            <w:r>
              <w:rPr>
                <w:spacing w:val="-2"/>
              </w:rPr>
              <w:t>）生态系统稳定性影响分析</w:t>
            </w:r>
          </w:p>
          <w:p w14:paraId="31B08040">
            <w:pPr>
              <w:pStyle w:val="6"/>
              <w:spacing w:before="181" w:line="219" w:lineRule="auto"/>
              <w:ind w:left="578"/>
              <w:outlineLvl w:val="0"/>
            </w:pPr>
            <w:r>
              <w:rPr>
                <w:spacing w:val="1"/>
              </w:rPr>
              <w:t>生态系统稳定性的强弱直接关系到在多大程度上可以保证生态系统的功能</w:t>
            </w:r>
          </w:p>
          <w:p w14:paraId="3831934B">
            <w:pPr>
              <w:pStyle w:val="6"/>
              <w:spacing w:before="182" w:line="359" w:lineRule="auto"/>
              <w:ind w:left="107" w:right="41" w:firstLine="1"/>
              <w:jc w:val="both"/>
            </w:pPr>
            <w:r>
              <w:rPr>
                <w:spacing w:val="1"/>
              </w:rPr>
              <w:t>得以正常运作。稳定性受生态系统中主要生态组分的种</w:t>
            </w:r>
            <w:r>
              <w:t>类、数量、时空分布的</w:t>
            </w:r>
            <w:r>
              <w:rPr>
                <w:spacing w:val="2"/>
              </w:rPr>
              <w:t>异质性（异质化程度）所制约。景观等级以</w:t>
            </w:r>
            <w:r>
              <w:rPr>
                <w:spacing w:val="1"/>
              </w:rPr>
              <w:t>上的自然体系需要有高的异质性，因此生态系统的异质性可作为稳定性的度量。对异质性的量</w:t>
            </w:r>
            <w:r>
              <w:t>化可用多样性指标</w:t>
            </w:r>
            <w:r>
              <w:rPr>
                <w:spacing w:val="-4"/>
              </w:rPr>
              <w:t>表示，该指标既考虑了不同群落类型所占景观</w:t>
            </w:r>
            <w:r>
              <w:rPr>
                <w:spacing w:val="-5"/>
              </w:rPr>
              <w:t>总面积的大小及分布的均匀程度，</w:t>
            </w:r>
            <w:r>
              <w:rPr>
                <w:spacing w:val="-1"/>
              </w:rPr>
              <w:t>又考虑了群落类型数量。</w:t>
            </w:r>
          </w:p>
          <w:p w14:paraId="6F389757">
            <w:pPr>
              <w:pStyle w:val="6"/>
              <w:spacing w:line="219" w:lineRule="auto"/>
              <w:ind w:left="580"/>
              <w:outlineLvl w:val="0"/>
            </w:pPr>
            <w:r>
              <w:rPr>
                <w:spacing w:val="1"/>
              </w:rPr>
              <w:t>项目区域内的地表植被主要为人工经济作物，未发现原生和受保护的植物</w:t>
            </w:r>
          </w:p>
          <w:p w14:paraId="2716498C">
            <w:pPr>
              <w:pStyle w:val="6"/>
              <w:spacing w:before="184" w:line="359" w:lineRule="auto"/>
              <w:ind w:left="107" w:right="41"/>
              <w:jc w:val="both"/>
            </w:pPr>
            <w:r>
              <w:rPr>
                <w:spacing w:val="1"/>
              </w:rPr>
              <w:t>物种，项目建设涉及的植被种类均为当地常见种和广布种</w:t>
            </w:r>
            <w:r>
              <w:t>，因此项目的建设仅</w:t>
            </w:r>
            <w:r>
              <w:rPr>
                <w:spacing w:val="1"/>
              </w:rPr>
              <w:t>会对植物造成数量上的减少，并不会对区域植物的物种丰富</w:t>
            </w:r>
            <w:r>
              <w:t>度、多样性产生影</w:t>
            </w:r>
            <w:r>
              <w:rPr>
                <w:spacing w:val="-4"/>
              </w:rPr>
              <w:t>响，亦不涉及自然群落演替变化。同时项目现</w:t>
            </w:r>
            <w:r>
              <w:rPr>
                <w:spacing w:val="-5"/>
              </w:rPr>
              <w:t>状占地区域无野生动物迁移通道，</w:t>
            </w:r>
            <w:r>
              <w:rPr>
                <w:spacing w:val="-1"/>
              </w:rPr>
              <w:t>不会破坏生境连通性，不会对生态系统稳定性产生明显影响。</w:t>
            </w:r>
          </w:p>
          <w:p w14:paraId="32BCB145">
            <w:pPr>
              <w:pStyle w:val="6"/>
              <w:spacing w:line="219" w:lineRule="auto"/>
              <w:ind w:left="579"/>
              <w:outlineLvl w:val="0"/>
            </w:pPr>
            <w:r>
              <w:rPr>
                <w:spacing w:val="-1"/>
              </w:rPr>
              <w:t>综合分析，项目占地相对集中，</w:t>
            </w:r>
            <w:r>
              <w:rPr>
                <w:spacing w:val="-56"/>
              </w:rPr>
              <w:t xml:space="preserve"> </w:t>
            </w:r>
            <w:r>
              <w:rPr>
                <w:spacing w:val="-1"/>
              </w:rPr>
              <w:t>占地范围内无重点保护野生动植物、濒危</w:t>
            </w:r>
          </w:p>
          <w:p w14:paraId="4B765E3D">
            <w:pPr>
              <w:pStyle w:val="6"/>
              <w:spacing w:before="181" w:line="359" w:lineRule="auto"/>
              <w:ind w:left="112" w:right="100" w:firstLine="11"/>
              <w:jc w:val="both"/>
            </w:pPr>
            <w:r>
              <w:t>易危物种、极小种群野生植物等，涉及的植被种类均为当地常见种和广布种，</w:t>
            </w:r>
            <w:r>
              <w:rPr>
                <w:spacing w:val="1"/>
              </w:rPr>
              <w:t>不会引起区域群落组成、空间格局变化。受人类</w:t>
            </w:r>
            <w:r>
              <w:t>活动影响，现状占地区域不属</w:t>
            </w:r>
            <w:r>
              <w:rPr>
                <w:spacing w:val="1"/>
              </w:rPr>
              <w:t>于野生动植物适宜生境，亦无野生动物迁移通道</w:t>
            </w:r>
            <w:r>
              <w:t>，不会破坏生境连通性。生态</w:t>
            </w:r>
            <w:r>
              <w:rPr>
                <w:spacing w:val="-1"/>
              </w:rPr>
              <w:t>系统的结构和功能、完整性和稳定性基本维持现状。</w:t>
            </w:r>
          </w:p>
          <w:p w14:paraId="05AA89EB">
            <w:pPr>
              <w:pStyle w:val="6"/>
              <w:spacing w:line="220" w:lineRule="auto"/>
              <w:ind w:left="587"/>
            </w:pPr>
            <w:r>
              <w:rPr>
                <w:b/>
                <w:bCs/>
                <w:spacing w:val="-3"/>
              </w:rPr>
              <w:t>七、施工期环境风险分析</w:t>
            </w:r>
          </w:p>
          <w:p w14:paraId="722A2179">
            <w:pPr>
              <w:pStyle w:val="6"/>
              <w:spacing w:before="182" w:line="220" w:lineRule="auto"/>
              <w:ind w:left="607"/>
            </w:pPr>
            <w:r>
              <w:rPr>
                <w:rFonts w:ascii="Times New Roman" w:hAnsi="Times New Roman" w:eastAsia="Times New Roman" w:cs="Times New Roman"/>
                <w:spacing w:val="-7"/>
              </w:rPr>
              <w:t>1</w:t>
            </w:r>
            <w:r>
              <w:rPr>
                <w:rFonts w:ascii="Times New Roman" w:hAnsi="Times New Roman" w:eastAsia="Times New Roman" w:cs="Times New Roman"/>
                <w:spacing w:val="-34"/>
              </w:rPr>
              <w:t xml:space="preserve"> </w:t>
            </w:r>
            <w:r>
              <w:rPr>
                <w:spacing w:val="-7"/>
              </w:rPr>
              <w:t>、环境风险识别</w:t>
            </w:r>
          </w:p>
          <w:p w14:paraId="4061FDC4">
            <w:pPr>
              <w:pStyle w:val="6"/>
              <w:spacing w:before="179" w:line="343" w:lineRule="auto"/>
              <w:ind w:left="109" w:right="100" w:firstLine="497"/>
            </w:pPr>
            <w:r>
              <w:t>因项目为石油勘探工程，钻井时因事故而导致的风险源强无法量化，本评</w:t>
            </w:r>
            <w:r>
              <w:rPr>
                <w:spacing w:val="1"/>
              </w:rPr>
              <w:t>价对探井可能存在的风险因素进行定性分析，分析风险</w:t>
            </w:r>
            <w:r>
              <w:t>发生的可能性，并提出</w:t>
            </w:r>
          </w:p>
        </w:tc>
      </w:tr>
    </w:tbl>
    <w:p w14:paraId="5F0625B3">
      <w:pPr>
        <w:rPr>
          <w:rFonts w:ascii="Arial"/>
          <w:sz w:val="21"/>
        </w:rPr>
      </w:pPr>
    </w:p>
    <w:p w14:paraId="0D305550">
      <w:pPr>
        <w:rPr>
          <w:rFonts w:ascii="Arial" w:hAnsi="Arial" w:eastAsia="Arial" w:cs="Arial"/>
          <w:sz w:val="21"/>
          <w:szCs w:val="21"/>
        </w:rPr>
        <w:sectPr>
          <w:footerReference r:id="rId78" w:type="default"/>
          <w:pgSz w:w="11906" w:h="16839"/>
          <w:pgMar w:top="400" w:right="1410" w:bottom="1240" w:left="1579" w:header="0" w:footer="1078" w:gutter="0"/>
          <w:cols w:space="720" w:num="1"/>
        </w:sectPr>
      </w:pPr>
    </w:p>
    <w:p w14:paraId="4A79F46A">
      <w:pPr>
        <w:spacing w:before="56"/>
      </w:pPr>
    </w:p>
    <w:p w14:paraId="69E256F7">
      <w:pPr>
        <w:spacing w:before="56"/>
      </w:pPr>
    </w:p>
    <w:p w14:paraId="44B45824">
      <w:pPr>
        <w:spacing w:before="55"/>
      </w:pPr>
    </w:p>
    <w:p w14:paraId="3C6E40B1">
      <w:pPr>
        <w:spacing w:before="55"/>
      </w:pPr>
    </w:p>
    <w:tbl>
      <w:tblPr>
        <w:tblStyle w:val="5"/>
        <w:tblW w:w="8901"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5"/>
        <w:gridCol w:w="646"/>
        <w:gridCol w:w="141"/>
        <w:gridCol w:w="1841"/>
        <w:gridCol w:w="142"/>
        <w:gridCol w:w="1133"/>
        <w:gridCol w:w="280"/>
        <w:gridCol w:w="1514"/>
        <w:gridCol w:w="184"/>
        <w:gridCol w:w="1315"/>
        <w:gridCol w:w="1210"/>
      </w:tblGrid>
      <w:tr w14:paraId="5CE746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2" w:hRule="atLeast"/>
        </w:trPr>
        <w:tc>
          <w:tcPr>
            <w:tcW w:w="495" w:type="dxa"/>
            <w:vMerge w:val="restart"/>
            <w:tcBorders>
              <w:top w:val="single" w:color="000000" w:sz="6" w:space="0"/>
              <w:left w:val="single" w:color="000000" w:sz="6" w:space="0"/>
              <w:bottom w:val="nil"/>
              <w:right w:val="single" w:color="000000" w:sz="2" w:space="0"/>
            </w:tcBorders>
            <w:vAlign w:val="top"/>
          </w:tcPr>
          <w:p w14:paraId="69E1260E">
            <w:pPr>
              <w:rPr>
                <w:rFonts w:ascii="Arial"/>
                <w:sz w:val="21"/>
              </w:rPr>
            </w:pPr>
          </w:p>
        </w:tc>
        <w:tc>
          <w:tcPr>
            <w:tcW w:w="8406" w:type="dxa"/>
            <w:gridSpan w:val="10"/>
            <w:tcBorders>
              <w:top w:val="single" w:color="000000" w:sz="6" w:space="0"/>
              <w:left w:val="single" w:color="000000" w:sz="2" w:space="0"/>
              <w:bottom w:val="single" w:color="000000" w:sz="10" w:space="0"/>
              <w:right w:val="single" w:color="000000" w:sz="6" w:space="0"/>
            </w:tcBorders>
            <w:vAlign w:val="top"/>
          </w:tcPr>
          <w:p w14:paraId="1A6E77FC">
            <w:pPr>
              <w:pStyle w:val="6"/>
              <w:spacing w:before="39" w:line="220" w:lineRule="auto"/>
              <w:ind w:left="108"/>
            </w:pPr>
            <w:r>
              <w:rPr>
                <w:spacing w:val="-1"/>
              </w:rPr>
              <w:t>相应的事故防范措施和应急方案。</w:t>
            </w:r>
          </w:p>
          <w:p w14:paraId="542AE5C6">
            <w:pPr>
              <w:pStyle w:val="6"/>
              <w:spacing w:before="181" w:line="220" w:lineRule="auto"/>
              <w:ind w:left="600"/>
            </w:pPr>
            <w:r>
              <w:rPr>
                <w:spacing w:val="-3"/>
              </w:rPr>
              <w:t>（</w:t>
            </w:r>
            <w:r>
              <w:rPr>
                <w:rFonts w:ascii="Times New Roman" w:hAnsi="Times New Roman" w:eastAsia="Times New Roman" w:cs="Times New Roman"/>
                <w:spacing w:val="-3"/>
              </w:rPr>
              <w:t>1</w:t>
            </w:r>
            <w:r>
              <w:rPr>
                <w:spacing w:val="-3"/>
              </w:rPr>
              <w:t>）物质危险性识别</w:t>
            </w:r>
          </w:p>
          <w:p w14:paraId="24F2E89A">
            <w:pPr>
              <w:pStyle w:val="6"/>
              <w:spacing w:before="179" w:line="358" w:lineRule="auto"/>
              <w:ind w:left="107" w:right="102" w:firstLine="484"/>
            </w:pPr>
            <w:r>
              <w:rPr>
                <w:spacing w:val="-7"/>
              </w:rPr>
              <w:t>项目涉及的危险物质，包括勘探中井场储存的柴油、试油开采出的原油（以</w:t>
            </w:r>
            <w:r>
              <w:rPr>
                <w:spacing w:val="-1"/>
              </w:rPr>
              <w:t>采出液的形式，含水高）以及伴生气。其危险特性见表</w:t>
            </w:r>
            <w:r>
              <w:rPr>
                <w:spacing w:val="-57"/>
              </w:rPr>
              <w:t xml:space="preserve"> </w:t>
            </w:r>
            <w:r>
              <w:rPr>
                <w:rFonts w:ascii="Times New Roman" w:hAnsi="Times New Roman" w:eastAsia="Times New Roman" w:cs="Times New Roman"/>
                <w:spacing w:val="-1"/>
              </w:rPr>
              <w:t>4-</w:t>
            </w:r>
            <w:r>
              <w:rPr>
                <w:rFonts w:ascii="Times New Roman" w:hAnsi="Times New Roman" w:eastAsia="Times New Roman" w:cs="Times New Roman"/>
                <w:spacing w:val="-32"/>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2"/>
              </w:rPr>
              <w:t>1</w:t>
            </w:r>
            <w:r>
              <w:rPr>
                <w:rFonts w:ascii="Times New Roman" w:hAnsi="Times New Roman" w:eastAsia="Times New Roman" w:cs="Times New Roman"/>
                <w:spacing w:val="-34"/>
              </w:rPr>
              <w:t xml:space="preserve"> </w:t>
            </w:r>
            <w:r>
              <w:rPr>
                <w:spacing w:val="-2"/>
              </w:rPr>
              <w:t>，危险物质</w:t>
            </w:r>
            <w:r>
              <w:rPr>
                <w:rFonts w:ascii="Times New Roman" w:hAnsi="Times New Roman" w:eastAsia="Times New Roman" w:cs="Times New Roman"/>
                <w:spacing w:val="-2"/>
              </w:rPr>
              <w:t xml:space="preserve">Q </w:t>
            </w:r>
            <w:r>
              <w:rPr>
                <w:spacing w:val="-2"/>
              </w:rPr>
              <w:t>值确</w:t>
            </w:r>
            <w:r>
              <w:rPr>
                <w:spacing w:val="-7"/>
              </w:rPr>
              <w:t>定表</w:t>
            </w:r>
            <w:r>
              <w:rPr>
                <w:spacing w:val="-39"/>
              </w:rPr>
              <w:t xml:space="preserve"> </w:t>
            </w:r>
            <w:r>
              <w:rPr>
                <w:rFonts w:ascii="Times New Roman" w:hAnsi="Times New Roman" w:eastAsia="Times New Roman" w:cs="Times New Roman"/>
                <w:spacing w:val="-7"/>
              </w:rPr>
              <w:t>4-</w:t>
            </w:r>
            <w:r>
              <w:rPr>
                <w:rFonts w:ascii="Times New Roman" w:hAnsi="Times New Roman" w:eastAsia="Times New Roman" w:cs="Times New Roman"/>
                <w:spacing w:val="-33"/>
              </w:rPr>
              <w:t xml:space="preserve"> </w:t>
            </w:r>
            <w:r>
              <w:rPr>
                <w:rFonts w:ascii="Times New Roman" w:hAnsi="Times New Roman" w:eastAsia="Times New Roman" w:cs="Times New Roman"/>
                <w:spacing w:val="-7"/>
              </w:rPr>
              <w:t>12</w:t>
            </w:r>
            <w:r>
              <w:rPr>
                <w:rFonts w:ascii="Times New Roman" w:hAnsi="Times New Roman" w:eastAsia="Times New Roman" w:cs="Times New Roman"/>
                <w:spacing w:val="-33"/>
              </w:rPr>
              <w:t xml:space="preserve"> </w:t>
            </w:r>
            <w:r>
              <w:rPr>
                <w:spacing w:val="-7"/>
              </w:rPr>
              <w:t>，危险物质的理化性质详见表</w:t>
            </w:r>
            <w:r>
              <w:rPr>
                <w:spacing w:val="-56"/>
              </w:rPr>
              <w:t xml:space="preserve"> </w:t>
            </w:r>
            <w:r>
              <w:rPr>
                <w:rFonts w:ascii="Times New Roman" w:hAnsi="Times New Roman" w:eastAsia="Times New Roman" w:cs="Times New Roman"/>
                <w:spacing w:val="-7"/>
              </w:rPr>
              <w:t>4-</w:t>
            </w:r>
            <w:r>
              <w:rPr>
                <w:rFonts w:ascii="Times New Roman" w:hAnsi="Times New Roman" w:eastAsia="Times New Roman" w:cs="Times New Roman"/>
                <w:spacing w:val="-31"/>
              </w:rPr>
              <w:t xml:space="preserve"> </w:t>
            </w:r>
            <w:r>
              <w:rPr>
                <w:rFonts w:ascii="Times New Roman" w:hAnsi="Times New Roman" w:eastAsia="Times New Roman" w:cs="Times New Roman"/>
                <w:spacing w:val="-7"/>
              </w:rPr>
              <w:t>13</w:t>
            </w:r>
            <w:r>
              <w:rPr>
                <w:rFonts w:ascii="Times New Roman" w:hAnsi="Times New Roman" w:eastAsia="Times New Roman" w:cs="Times New Roman"/>
                <w:spacing w:val="-33"/>
              </w:rPr>
              <w:t xml:space="preserve"> </w:t>
            </w:r>
            <w:r>
              <w:rPr>
                <w:spacing w:val="-7"/>
              </w:rPr>
              <w:t>、表</w:t>
            </w:r>
            <w:r>
              <w:rPr>
                <w:spacing w:val="-57"/>
              </w:rPr>
              <w:t xml:space="preserve"> </w:t>
            </w:r>
            <w:r>
              <w:rPr>
                <w:rFonts w:ascii="Times New Roman" w:hAnsi="Times New Roman" w:eastAsia="Times New Roman" w:cs="Times New Roman"/>
                <w:spacing w:val="-7"/>
              </w:rPr>
              <w:t>4-</w:t>
            </w:r>
            <w:r>
              <w:rPr>
                <w:rFonts w:ascii="Times New Roman" w:hAnsi="Times New Roman" w:eastAsia="Times New Roman" w:cs="Times New Roman"/>
                <w:spacing w:val="-32"/>
              </w:rPr>
              <w:t xml:space="preserve"> </w:t>
            </w:r>
            <w:r>
              <w:rPr>
                <w:rFonts w:ascii="Times New Roman" w:hAnsi="Times New Roman" w:eastAsia="Times New Roman" w:cs="Times New Roman"/>
                <w:spacing w:val="-7"/>
              </w:rPr>
              <w:t>14</w:t>
            </w:r>
            <w:r>
              <w:rPr>
                <w:rFonts w:ascii="Times New Roman" w:hAnsi="Times New Roman" w:eastAsia="Times New Roman" w:cs="Times New Roman"/>
                <w:spacing w:val="-34"/>
              </w:rPr>
              <w:t xml:space="preserve"> </w:t>
            </w:r>
            <w:r>
              <w:rPr>
                <w:spacing w:val="-7"/>
              </w:rPr>
              <w:t>、表</w:t>
            </w:r>
            <w:r>
              <w:rPr>
                <w:spacing w:val="-56"/>
              </w:rPr>
              <w:t xml:space="preserve"> </w:t>
            </w:r>
            <w:r>
              <w:rPr>
                <w:rFonts w:ascii="Times New Roman" w:hAnsi="Times New Roman" w:eastAsia="Times New Roman" w:cs="Times New Roman"/>
                <w:spacing w:val="-7"/>
              </w:rPr>
              <w:t>4-</w:t>
            </w:r>
            <w:r>
              <w:rPr>
                <w:rFonts w:ascii="Times New Roman" w:hAnsi="Times New Roman" w:eastAsia="Times New Roman" w:cs="Times New Roman"/>
                <w:spacing w:val="-33"/>
              </w:rPr>
              <w:t xml:space="preserve"> </w:t>
            </w:r>
            <w:r>
              <w:rPr>
                <w:rFonts w:ascii="Times New Roman" w:hAnsi="Times New Roman" w:eastAsia="Times New Roman" w:cs="Times New Roman"/>
                <w:spacing w:val="-7"/>
              </w:rPr>
              <w:t>15</w:t>
            </w:r>
            <w:r>
              <w:rPr>
                <w:rFonts w:ascii="Times New Roman" w:hAnsi="Times New Roman" w:eastAsia="Times New Roman" w:cs="Times New Roman"/>
                <w:spacing w:val="-34"/>
              </w:rPr>
              <w:t xml:space="preserve"> </w:t>
            </w:r>
            <w:r>
              <w:rPr>
                <w:spacing w:val="-7"/>
              </w:rPr>
              <w:t>、表</w:t>
            </w:r>
            <w:r>
              <w:rPr>
                <w:spacing w:val="-56"/>
              </w:rPr>
              <w:t xml:space="preserve"> </w:t>
            </w:r>
            <w:r>
              <w:rPr>
                <w:rFonts w:ascii="Times New Roman" w:hAnsi="Times New Roman" w:eastAsia="Times New Roman" w:cs="Times New Roman"/>
                <w:spacing w:val="-7"/>
              </w:rPr>
              <w:t>4-</w:t>
            </w:r>
            <w:r>
              <w:rPr>
                <w:rFonts w:ascii="Times New Roman" w:hAnsi="Times New Roman" w:eastAsia="Times New Roman" w:cs="Times New Roman"/>
                <w:spacing w:val="-30"/>
              </w:rPr>
              <w:t xml:space="preserve"> </w:t>
            </w:r>
            <w:r>
              <w:rPr>
                <w:rFonts w:ascii="Times New Roman" w:hAnsi="Times New Roman" w:eastAsia="Times New Roman" w:cs="Times New Roman"/>
                <w:spacing w:val="-7"/>
              </w:rPr>
              <w:t>16</w:t>
            </w:r>
            <w:r>
              <w:rPr>
                <w:spacing w:val="-7"/>
              </w:rPr>
              <w:t>。</w:t>
            </w:r>
          </w:p>
          <w:p w14:paraId="2E65F89C">
            <w:pPr>
              <w:spacing w:before="5" w:line="213" w:lineRule="auto"/>
              <w:ind w:left="3088"/>
              <w:rPr>
                <w:rFonts w:ascii="黑体" w:hAnsi="黑体" w:eastAsia="黑体" w:cs="黑体"/>
                <w:sz w:val="24"/>
                <w:szCs w:val="24"/>
              </w:rPr>
            </w:pPr>
            <w:r>
              <w:rPr>
                <w:rFonts w:ascii="黑体" w:hAnsi="黑体" w:eastAsia="黑体" w:cs="黑体"/>
                <w:spacing w:val="-3"/>
                <w:sz w:val="24"/>
                <w:szCs w:val="24"/>
              </w:rPr>
              <w:t>表</w:t>
            </w:r>
            <w:r>
              <w:rPr>
                <w:rFonts w:ascii="Times New Roman" w:hAnsi="Times New Roman" w:eastAsia="Times New Roman" w:cs="Times New Roman"/>
                <w:spacing w:val="-3"/>
                <w:sz w:val="24"/>
                <w:szCs w:val="24"/>
              </w:rPr>
              <w:t>4-</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pacing w:val="-3"/>
                <w:sz w:val="24"/>
                <w:szCs w:val="24"/>
              </w:rPr>
              <w:t xml:space="preserve">11  </w:t>
            </w:r>
            <w:r>
              <w:rPr>
                <w:rFonts w:ascii="黑体" w:hAnsi="黑体" w:eastAsia="黑体" w:cs="黑体"/>
                <w:spacing w:val="-3"/>
                <w:sz w:val="24"/>
                <w:szCs w:val="24"/>
              </w:rPr>
              <w:t>危险物质危险特性</w:t>
            </w:r>
          </w:p>
        </w:tc>
      </w:tr>
      <w:tr w14:paraId="71D2FF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495" w:type="dxa"/>
            <w:vMerge w:val="continue"/>
            <w:tcBorders>
              <w:top w:val="nil"/>
              <w:left w:val="single" w:color="000000" w:sz="6" w:space="0"/>
              <w:bottom w:val="nil"/>
              <w:right w:val="single" w:color="000000" w:sz="2" w:space="0"/>
            </w:tcBorders>
            <w:vAlign w:val="top"/>
          </w:tcPr>
          <w:p w14:paraId="3082B3A7">
            <w:pPr>
              <w:rPr>
                <w:rFonts w:ascii="Arial"/>
                <w:sz w:val="21"/>
              </w:rPr>
            </w:pPr>
          </w:p>
        </w:tc>
        <w:tc>
          <w:tcPr>
            <w:tcW w:w="787" w:type="dxa"/>
            <w:gridSpan w:val="2"/>
            <w:tcBorders>
              <w:top w:val="single" w:color="000000" w:sz="10" w:space="0"/>
              <w:left w:val="single" w:color="000000" w:sz="2" w:space="0"/>
            </w:tcBorders>
            <w:vAlign w:val="top"/>
          </w:tcPr>
          <w:p w14:paraId="178C6913">
            <w:pPr>
              <w:pStyle w:val="6"/>
              <w:spacing w:before="86" w:line="229" w:lineRule="auto"/>
              <w:ind w:left="236"/>
              <w:rPr>
                <w:sz w:val="20"/>
                <w:szCs w:val="20"/>
              </w:rPr>
            </w:pPr>
            <w:r>
              <w:rPr>
                <w:spacing w:val="5"/>
                <w:sz w:val="20"/>
                <w:szCs w:val="20"/>
              </w:rPr>
              <w:t>序号</w:t>
            </w:r>
          </w:p>
        </w:tc>
        <w:tc>
          <w:tcPr>
            <w:tcW w:w="1983" w:type="dxa"/>
            <w:gridSpan w:val="2"/>
            <w:tcBorders>
              <w:top w:val="single" w:color="000000" w:sz="10" w:space="0"/>
            </w:tcBorders>
            <w:vAlign w:val="top"/>
          </w:tcPr>
          <w:p w14:paraId="16DD312D">
            <w:pPr>
              <w:pStyle w:val="6"/>
              <w:spacing w:before="87" w:line="228" w:lineRule="auto"/>
              <w:ind w:left="256"/>
              <w:rPr>
                <w:sz w:val="20"/>
                <w:szCs w:val="20"/>
              </w:rPr>
            </w:pPr>
            <w:r>
              <w:rPr>
                <w:spacing w:val="8"/>
                <w:sz w:val="20"/>
                <w:szCs w:val="20"/>
              </w:rPr>
              <w:t>危险化学品名称</w:t>
            </w:r>
          </w:p>
        </w:tc>
        <w:tc>
          <w:tcPr>
            <w:tcW w:w="1413" w:type="dxa"/>
            <w:gridSpan w:val="2"/>
            <w:tcBorders>
              <w:top w:val="single" w:color="000000" w:sz="10" w:space="0"/>
            </w:tcBorders>
            <w:vAlign w:val="top"/>
          </w:tcPr>
          <w:p w14:paraId="1BB4C78A">
            <w:pPr>
              <w:pStyle w:val="6"/>
              <w:spacing w:before="86" w:line="227" w:lineRule="auto"/>
              <w:ind w:left="80"/>
              <w:rPr>
                <w:sz w:val="20"/>
                <w:szCs w:val="20"/>
              </w:rPr>
            </w:pPr>
            <w:r>
              <w:rPr>
                <w:spacing w:val="7"/>
                <w:sz w:val="20"/>
                <w:szCs w:val="20"/>
              </w:rPr>
              <w:t>危险货物编号</w:t>
            </w:r>
          </w:p>
        </w:tc>
        <w:tc>
          <w:tcPr>
            <w:tcW w:w="1698" w:type="dxa"/>
            <w:gridSpan w:val="2"/>
            <w:tcBorders>
              <w:top w:val="single" w:color="000000" w:sz="10" w:space="0"/>
            </w:tcBorders>
            <w:vAlign w:val="top"/>
          </w:tcPr>
          <w:p w14:paraId="5DC107F8">
            <w:pPr>
              <w:pStyle w:val="6"/>
              <w:spacing w:before="87" w:line="228" w:lineRule="auto"/>
              <w:ind w:left="328"/>
              <w:rPr>
                <w:sz w:val="20"/>
                <w:szCs w:val="20"/>
              </w:rPr>
            </w:pPr>
            <w:r>
              <w:rPr>
                <w:spacing w:val="8"/>
                <w:sz w:val="20"/>
                <w:szCs w:val="20"/>
              </w:rPr>
              <w:t>物质危险性</w:t>
            </w:r>
          </w:p>
        </w:tc>
        <w:tc>
          <w:tcPr>
            <w:tcW w:w="2525" w:type="dxa"/>
            <w:gridSpan w:val="2"/>
            <w:tcBorders>
              <w:top w:val="single" w:color="000000" w:sz="10" w:space="0"/>
              <w:right w:val="single" w:color="000000" w:sz="6" w:space="0"/>
            </w:tcBorders>
            <w:vAlign w:val="top"/>
          </w:tcPr>
          <w:p w14:paraId="64D6FF8C">
            <w:pPr>
              <w:pStyle w:val="6"/>
              <w:spacing w:before="86" w:line="229" w:lineRule="auto"/>
              <w:ind w:left="1004"/>
              <w:rPr>
                <w:sz w:val="20"/>
                <w:szCs w:val="20"/>
              </w:rPr>
            </w:pPr>
            <w:r>
              <w:rPr>
                <w:spacing w:val="3"/>
                <w:sz w:val="20"/>
                <w:szCs w:val="20"/>
              </w:rPr>
              <w:t>备注</w:t>
            </w:r>
          </w:p>
        </w:tc>
      </w:tr>
      <w:tr w14:paraId="1150C4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495" w:type="dxa"/>
            <w:vMerge w:val="continue"/>
            <w:tcBorders>
              <w:top w:val="nil"/>
              <w:left w:val="single" w:color="000000" w:sz="6" w:space="0"/>
              <w:bottom w:val="nil"/>
              <w:right w:val="single" w:color="000000" w:sz="2" w:space="0"/>
            </w:tcBorders>
            <w:vAlign w:val="top"/>
          </w:tcPr>
          <w:p w14:paraId="5477EDD0">
            <w:pPr>
              <w:rPr>
                <w:rFonts w:ascii="Arial"/>
                <w:sz w:val="21"/>
              </w:rPr>
            </w:pPr>
          </w:p>
        </w:tc>
        <w:tc>
          <w:tcPr>
            <w:tcW w:w="787" w:type="dxa"/>
            <w:gridSpan w:val="2"/>
            <w:tcBorders>
              <w:left w:val="single" w:color="000000" w:sz="2" w:space="0"/>
            </w:tcBorders>
            <w:vAlign w:val="top"/>
          </w:tcPr>
          <w:p w14:paraId="6F414970">
            <w:pPr>
              <w:spacing w:before="131" w:line="195" w:lineRule="auto"/>
              <w:ind w:left="40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983" w:type="dxa"/>
            <w:gridSpan w:val="2"/>
            <w:vAlign w:val="top"/>
          </w:tcPr>
          <w:p w14:paraId="62ADFB15">
            <w:pPr>
              <w:pStyle w:val="6"/>
              <w:spacing w:before="95" w:line="228" w:lineRule="auto"/>
              <w:ind w:left="779"/>
              <w:rPr>
                <w:sz w:val="20"/>
                <w:szCs w:val="20"/>
              </w:rPr>
            </w:pPr>
            <w:r>
              <w:rPr>
                <w:spacing w:val="4"/>
                <w:sz w:val="20"/>
                <w:szCs w:val="20"/>
              </w:rPr>
              <w:t>柴油</w:t>
            </w:r>
          </w:p>
        </w:tc>
        <w:tc>
          <w:tcPr>
            <w:tcW w:w="1413" w:type="dxa"/>
            <w:gridSpan w:val="2"/>
            <w:vAlign w:val="top"/>
          </w:tcPr>
          <w:p w14:paraId="436034C1">
            <w:pPr>
              <w:spacing w:before="131" w:line="195" w:lineRule="auto"/>
              <w:ind w:left="4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33502</w:t>
            </w:r>
          </w:p>
        </w:tc>
        <w:tc>
          <w:tcPr>
            <w:tcW w:w="1698" w:type="dxa"/>
            <w:gridSpan w:val="2"/>
            <w:vAlign w:val="top"/>
          </w:tcPr>
          <w:p w14:paraId="7817A5BD">
            <w:pPr>
              <w:pStyle w:val="6"/>
              <w:spacing w:before="95" w:line="228" w:lineRule="auto"/>
              <w:ind w:left="123"/>
              <w:rPr>
                <w:sz w:val="20"/>
                <w:szCs w:val="20"/>
              </w:rPr>
            </w:pPr>
            <w:r>
              <w:rPr>
                <w:spacing w:val="7"/>
                <w:sz w:val="20"/>
                <w:szCs w:val="20"/>
              </w:rPr>
              <w:t>高闪点易燃液体</w:t>
            </w:r>
          </w:p>
        </w:tc>
        <w:tc>
          <w:tcPr>
            <w:tcW w:w="2525" w:type="dxa"/>
            <w:gridSpan w:val="2"/>
            <w:tcBorders>
              <w:right w:val="single" w:color="000000" w:sz="6" w:space="0"/>
            </w:tcBorders>
            <w:vAlign w:val="top"/>
          </w:tcPr>
          <w:p w14:paraId="0248A6A6">
            <w:pPr>
              <w:rPr>
                <w:rFonts w:ascii="Arial"/>
                <w:sz w:val="21"/>
              </w:rPr>
            </w:pPr>
          </w:p>
        </w:tc>
      </w:tr>
      <w:tr w14:paraId="6ACE13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495" w:type="dxa"/>
            <w:vMerge w:val="continue"/>
            <w:tcBorders>
              <w:top w:val="nil"/>
              <w:left w:val="single" w:color="000000" w:sz="6" w:space="0"/>
              <w:bottom w:val="nil"/>
              <w:right w:val="single" w:color="000000" w:sz="2" w:space="0"/>
            </w:tcBorders>
            <w:vAlign w:val="top"/>
          </w:tcPr>
          <w:p w14:paraId="26CF84D3">
            <w:pPr>
              <w:rPr>
                <w:rFonts w:ascii="Arial"/>
                <w:sz w:val="21"/>
              </w:rPr>
            </w:pPr>
          </w:p>
        </w:tc>
        <w:tc>
          <w:tcPr>
            <w:tcW w:w="787" w:type="dxa"/>
            <w:gridSpan w:val="2"/>
            <w:tcBorders>
              <w:left w:val="single" w:color="000000" w:sz="2" w:space="0"/>
            </w:tcBorders>
            <w:vAlign w:val="top"/>
          </w:tcPr>
          <w:p w14:paraId="2EEE00D1">
            <w:pPr>
              <w:spacing w:before="129" w:line="195" w:lineRule="auto"/>
              <w:ind w:left="38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983" w:type="dxa"/>
            <w:gridSpan w:val="2"/>
            <w:vAlign w:val="top"/>
          </w:tcPr>
          <w:p w14:paraId="1BBDDB6C">
            <w:pPr>
              <w:pStyle w:val="6"/>
              <w:spacing w:before="93" w:line="232" w:lineRule="auto"/>
              <w:ind w:left="784"/>
              <w:rPr>
                <w:sz w:val="20"/>
                <w:szCs w:val="20"/>
              </w:rPr>
            </w:pPr>
            <w:r>
              <w:rPr>
                <w:spacing w:val="2"/>
                <w:sz w:val="20"/>
                <w:szCs w:val="20"/>
              </w:rPr>
              <w:t>原油</w:t>
            </w:r>
          </w:p>
        </w:tc>
        <w:tc>
          <w:tcPr>
            <w:tcW w:w="1413" w:type="dxa"/>
            <w:gridSpan w:val="2"/>
            <w:vAlign w:val="top"/>
          </w:tcPr>
          <w:p w14:paraId="24C2233B">
            <w:pPr>
              <w:spacing w:before="129" w:line="195" w:lineRule="auto"/>
              <w:ind w:left="4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32003</w:t>
            </w:r>
          </w:p>
        </w:tc>
        <w:tc>
          <w:tcPr>
            <w:tcW w:w="1698" w:type="dxa"/>
            <w:gridSpan w:val="2"/>
            <w:vAlign w:val="top"/>
          </w:tcPr>
          <w:p w14:paraId="3159F244">
            <w:pPr>
              <w:pStyle w:val="6"/>
              <w:spacing w:before="94" w:line="228" w:lineRule="auto"/>
              <w:ind w:left="137"/>
              <w:rPr>
                <w:sz w:val="20"/>
                <w:szCs w:val="20"/>
              </w:rPr>
            </w:pPr>
            <w:r>
              <w:rPr>
                <w:spacing w:val="5"/>
                <w:sz w:val="20"/>
                <w:szCs w:val="20"/>
              </w:rPr>
              <w:t>中闪点易燃液体</w:t>
            </w:r>
          </w:p>
        </w:tc>
        <w:tc>
          <w:tcPr>
            <w:tcW w:w="2525" w:type="dxa"/>
            <w:gridSpan w:val="2"/>
            <w:tcBorders>
              <w:right w:val="single" w:color="000000" w:sz="6" w:space="0"/>
            </w:tcBorders>
            <w:vAlign w:val="top"/>
          </w:tcPr>
          <w:p w14:paraId="6929EB15">
            <w:pPr>
              <w:rPr>
                <w:rFonts w:ascii="Arial"/>
                <w:sz w:val="21"/>
              </w:rPr>
            </w:pPr>
          </w:p>
        </w:tc>
      </w:tr>
      <w:tr w14:paraId="5C79F2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495" w:type="dxa"/>
            <w:vMerge w:val="continue"/>
            <w:tcBorders>
              <w:top w:val="nil"/>
              <w:left w:val="single" w:color="000000" w:sz="6" w:space="0"/>
              <w:bottom w:val="nil"/>
              <w:right w:val="single" w:color="000000" w:sz="2" w:space="0"/>
            </w:tcBorders>
            <w:vAlign w:val="top"/>
          </w:tcPr>
          <w:p w14:paraId="391F5B15">
            <w:pPr>
              <w:rPr>
                <w:rFonts w:ascii="Arial"/>
                <w:sz w:val="21"/>
              </w:rPr>
            </w:pPr>
          </w:p>
        </w:tc>
        <w:tc>
          <w:tcPr>
            <w:tcW w:w="787" w:type="dxa"/>
            <w:gridSpan w:val="2"/>
            <w:tcBorders>
              <w:left w:val="single" w:color="000000" w:sz="2" w:space="0"/>
            </w:tcBorders>
            <w:vAlign w:val="top"/>
          </w:tcPr>
          <w:p w14:paraId="70CB922D">
            <w:pPr>
              <w:spacing w:before="130" w:line="195" w:lineRule="auto"/>
              <w:ind w:left="39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983" w:type="dxa"/>
            <w:gridSpan w:val="2"/>
            <w:vAlign w:val="top"/>
          </w:tcPr>
          <w:p w14:paraId="75BC7DEE">
            <w:pPr>
              <w:pStyle w:val="6"/>
              <w:spacing w:before="94" w:line="228" w:lineRule="auto"/>
              <w:ind w:left="287"/>
              <w:rPr>
                <w:sz w:val="20"/>
                <w:szCs w:val="20"/>
              </w:rPr>
            </w:pPr>
            <w:r>
              <w:rPr>
                <w:spacing w:val="7"/>
                <w:sz w:val="20"/>
                <w:szCs w:val="20"/>
              </w:rPr>
              <w:t>伴生气（</w:t>
            </w:r>
            <w:r>
              <w:rPr>
                <w:rFonts w:ascii="Times New Roman" w:hAnsi="Times New Roman" w:eastAsia="Times New Roman" w:cs="Times New Roman"/>
                <w:sz w:val="20"/>
                <w:szCs w:val="20"/>
              </w:rPr>
              <w:t>CH</w:t>
            </w:r>
            <w:r>
              <w:rPr>
                <w:rFonts w:ascii="Times New Roman" w:hAnsi="Times New Roman" w:eastAsia="Times New Roman" w:cs="Times New Roman"/>
                <w:spacing w:val="7"/>
                <w:sz w:val="13"/>
                <w:szCs w:val="13"/>
              </w:rPr>
              <w:t>4</w:t>
            </w:r>
            <w:r>
              <w:rPr>
                <w:spacing w:val="7"/>
                <w:sz w:val="20"/>
                <w:szCs w:val="20"/>
              </w:rPr>
              <w:t>）</w:t>
            </w:r>
          </w:p>
        </w:tc>
        <w:tc>
          <w:tcPr>
            <w:tcW w:w="1413" w:type="dxa"/>
            <w:gridSpan w:val="2"/>
            <w:vAlign w:val="top"/>
          </w:tcPr>
          <w:p w14:paraId="252846ED">
            <w:pPr>
              <w:spacing w:before="130" w:line="195" w:lineRule="auto"/>
              <w:ind w:left="44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21007</w:t>
            </w:r>
          </w:p>
        </w:tc>
        <w:tc>
          <w:tcPr>
            <w:tcW w:w="1698" w:type="dxa"/>
            <w:gridSpan w:val="2"/>
            <w:vAlign w:val="top"/>
          </w:tcPr>
          <w:p w14:paraId="09F27BE2">
            <w:pPr>
              <w:pStyle w:val="6"/>
              <w:spacing w:before="94" w:line="229" w:lineRule="auto"/>
              <w:ind w:left="448"/>
              <w:rPr>
                <w:sz w:val="20"/>
                <w:szCs w:val="20"/>
              </w:rPr>
            </w:pPr>
            <w:r>
              <w:rPr>
                <w:spacing w:val="3"/>
                <w:sz w:val="20"/>
                <w:szCs w:val="20"/>
              </w:rPr>
              <w:t>易燃气体</w:t>
            </w:r>
          </w:p>
        </w:tc>
        <w:tc>
          <w:tcPr>
            <w:tcW w:w="2525" w:type="dxa"/>
            <w:gridSpan w:val="2"/>
            <w:tcBorders>
              <w:right w:val="single" w:color="000000" w:sz="6" w:space="0"/>
            </w:tcBorders>
            <w:vAlign w:val="top"/>
          </w:tcPr>
          <w:p w14:paraId="361471F8">
            <w:pPr>
              <w:rPr>
                <w:rFonts w:ascii="Arial"/>
                <w:sz w:val="21"/>
              </w:rPr>
            </w:pPr>
          </w:p>
        </w:tc>
      </w:tr>
      <w:tr w14:paraId="0433EB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495" w:type="dxa"/>
            <w:vMerge w:val="continue"/>
            <w:tcBorders>
              <w:top w:val="nil"/>
              <w:left w:val="single" w:color="000000" w:sz="6" w:space="0"/>
              <w:bottom w:val="nil"/>
              <w:right w:val="single" w:color="000000" w:sz="2" w:space="0"/>
            </w:tcBorders>
            <w:vAlign w:val="top"/>
          </w:tcPr>
          <w:p w14:paraId="456A45A5">
            <w:pPr>
              <w:rPr>
                <w:rFonts w:ascii="Arial"/>
                <w:sz w:val="21"/>
              </w:rPr>
            </w:pPr>
          </w:p>
        </w:tc>
        <w:tc>
          <w:tcPr>
            <w:tcW w:w="787" w:type="dxa"/>
            <w:gridSpan w:val="2"/>
            <w:tcBorders>
              <w:left w:val="single" w:color="000000" w:sz="2" w:space="0"/>
            </w:tcBorders>
            <w:vAlign w:val="top"/>
          </w:tcPr>
          <w:p w14:paraId="4D8B1F9A">
            <w:pPr>
              <w:spacing w:before="131" w:line="195" w:lineRule="auto"/>
              <w:ind w:left="38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983" w:type="dxa"/>
            <w:gridSpan w:val="2"/>
            <w:vAlign w:val="top"/>
          </w:tcPr>
          <w:p w14:paraId="1FCDA582">
            <w:pPr>
              <w:pStyle w:val="6"/>
              <w:spacing w:before="95" w:line="227" w:lineRule="auto"/>
              <w:ind w:left="571"/>
              <w:rPr>
                <w:sz w:val="20"/>
                <w:szCs w:val="20"/>
              </w:rPr>
            </w:pPr>
            <w:r>
              <w:rPr>
                <w:spacing w:val="7"/>
                <w:sz w:val="20"/>
                <w:szCs w:val="20"/>
              </w:rPr>
              <w:t>氢氧化钠</w:t>
            </w:r>
          </w:p>
        </w:tc>
        <w:tc>
          <w:tcPr>
            <w:tcW w:w="1413" w:type="dxa"/>
            <w:gridSpan w:val="2"/>
            <w:vAlign w:val="top"/>
          </w:tcPr>
          <w:p w14:paraId="70DCEF60">
            <w:pPr>
              <w:spacing w:before="131" w:line="195" w:lineRule="auto"/>
              <w:ind w:left="4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82001</w:t>
            </w:r>
          </w:p>
        </w:tc>
        <w:tc>
          <w:tcPr>
            <w:tcW w:w="1698" w:type="dxa"/>
            <w:gridSpan w:val="2"/>
            <w:vAlign w:val="top"/>
          </w:tcPr>
          <w:p w14:paraId="2B90EB49">
            <w:pPr>
              <w:pStyle w:val="6"/>
              <w:spacing w:before="95" w:line="228" w:lineRule="auto"/>
              <w:ind w:left="537"/>
              <w:rPr>
                <w:sz w:val="20"/>
                <w:szCs w:val="20"/>
              </w:rPr>
            </w:pPr>
            <w:r>
              <w:rPr>
                <w:spacing w:val="6"/>
                <w:sz w:val="20"/>
                <w:szCs w:val="20"/>
              </w:rPr>
              <w:t>腐蚀品</w:t>
            </w:r>
          </w:p>
        </w:tc>
        <w:tc>
          <w:tcPr>
            <w:tcW w:w="2525" w:type="dxa"/>
            <w:gridSpan w:val="2"/>
            <w:tcBorders>
              <w:right w:val="single" w:color="000000" w:sz="6" w:space="0"/>
            </w:tcBorders>
            <w:vAlign w:val="top"/>
          </w:tcPr>
          <w:p w14:paraId="0A678C6E">
            <w:pPr>
              <w:rPr>
                <w:rFonts w:ascii="Arial"/>
                <w:sz w:val="21"/>
              </w:rPr>
            </w:pPr>
          </w:p>
        </w:tc>
      </w:tr>
      <w:tr w14:paraId="346C13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495" w:type="dxa"/>
            <w:vMerge w:val="continue"/>
            <w:tcBorders>
              <w:top w:val="nil"/>
              <w:left w:val="single" w:color="000000" w:sz="6" w:space="0"/>
              <w:bottom w:val="nil"/>
              <w:right w:val="single" w:color="000000" w:sz="2" w:space="0"/>
            </w:tcBorders>
            <w:vAlign w:val="top"/>
          </w:tcPr>
          <w:p w14:paraId="66503D07">
            <w:pPr>
              <w:rPr>
                <w:rFonts w:ascii="Arial"/>
                <w:sz w:val="21"/>
              </w:rPr>
            </w:pPr>
          </w:p>
        </w:tc>
        <w:tc>
          <w:tcPr>
            <w:tcW w:w="787" w:type="dxa"/>
            <w:gridSpan w:val="2"/>
            <w:tcBorders>
              <w:left w:val="single" w:color="000000" w:sz="2" w:space="0"/>
            </w:tcBorders>
            <w:vAlign w:val="top"/>
          </w:tcPr>
          <w:p w14:paraId="1E8DE32A">
            <w:pPr>
              <w:spacing w:before="132" w:line="192" w:lineRule="auto"/>
              <w:ind w:left="395"/>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983" w:type="dxa"/>
            <w:gridSpan w:val="2"/>
            <w:vAlign w:val="top"/>
          </w:tcPr>
          <w:p w14:paraId="1C1A7424">
            <w:pPr>
              <w:pStyle w:val="6"/>
              <w:spacing w:before="94" w:line="228" w:lineRule="auto"/>
              <w:ind w:left="570"/>
              <w:rPr>
                <w:sz w:val="20"/>
                <w:szCs w:val="20"/>
              </w:rPr>
            </w:pPr>
            <w:r>
              <w:rPr>
                <w:spacing w:val="7"/>
                <w:sz w:val="20"/>
                <w:szCs w:val="20"/>
              </w:rPr>
              <w:t>废润滑油</w:t>
            </w:r>
          </w:p>
        </w:tc>
        <w:tc>
          <w:tcPr>
            <w:tcW w:w="1413" w:type="dxa"/>
            <w:gridSpan w:val="2"/>
            <w:vAlign w:val="top"/>
          </w:tcPr>
          <w:p w14:paraId="3D38C185">
            <w:pPr>
              <w:spacing w:before="129" w:line="195" w:lineRule="auto"/>
              <w:ind w:left="4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33502</w:t>
            </w:r>
          </w:p>
        </w:tc>
        <w:tc>
          <w:tcPr>
            <w:tcW w:w="1698" w:type="dxa"/>
            <w:gridSpan w:val="2"/>
            <w:vAlign w:val="top"/>
          </w:tcPr>
          <w:p w14:paraId="32533DFD">
            <w:pPr>
              <w:pStyle w:val="6"/>
              <w:spacing w:before="93" w:line="228" w:lineRule="auto"/>
              <w:ind w:left="224"/>
              <w:rPr>
                <w:sz w:val="20"/>
                <w:szCs w:val="20"/>
              </w:rPr>
            </w:pPr>
            <w:r>
              <w:rPr>
                <w:spacing w:val="7"/>
                <w:sz w:val="20"/>
                <w:szCs w:val="20"/>
              </w:rPr>
              <w:t>毒性和易燃性</w:t>
            </w:r>
          </w:p>
        </w:tc>
        <w:tc>
          <w:tcPr>
            <w:tcW w:w="2525" w:type="dxa"/>
            <w:gridSpan w:val="2"/>
            <w:tcBorders>
              <w:right w:val="single" w:color="000000" w:sz="6" w:space="0"/>
            </w:tcBorders>
            <w:vAlign w:val="top"/>
          </w:tcPr>
          <w:p w14:paraId="61DE952A">
            <w:pPr>
              <w:pStyle w:val="6"/>
              <w:spacing w:before="93" w:line="228" w:lineRule="auto"/>
              <w:ind w:left="200"/>
              <w:rPr>
                <w:rFonts w:ascii="Times New Roman" w:hAnsi="Times New Roman" w:eastAsia="Times New Roman" w:cs="Times New Roman"/>
                <w:sz w:val="20"/>
                <w:szCs w:val="20"/>
              </w:rPr>
            </w:pPr>
            <w:r>
              <w:rPr>
                <w:spacing w:val="5"/>
                <w:sz w:val="20"/>
                <w:szCs w:val="20"/>
              </w:rPr>
              <w:t>危废代码：</w:t>
            </w:r>
            <w:r>
              <w:rPr>
                <w:rFonts w:ascii="Times New Roman" w:hAnsi="Times New Roman" w:eastAsia="Times New Roman" w:cs="Times New Roman"/>
                <w:spacing w:val="5"/>
                <w:sz w:val="20"/>
                <w:szCs w:val="20"/>
              </w:rPr>
              <w:t>900-214-08</w:t>
            </w:r>
          </w:p>
        </w:tc>
      </w:tr>
      <w:tr w14:paraId="610C24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495" w:type="dxa"/>
            <w:vMerge w:val="continue"/>
            <w:tcBorders>
              <w:top w:val="nil"/>
              <w:left w:val="single" w:color="000000" w:sz="6" w:space="0"/>
              <w:bottom w:val="nil"/>
              <w:right w:val="single" w:color="000000" w:sz="2" w:space="0"/>
            </w:tcBorders>
            <w:vAlign w:val="top"/>
          </w:tcPr>
          <w:p w14:paraId="74FA6C9A">
            <w:pPr>
              <w:rPr>
                <w:rFonts w:ascii="Arial"/>
                <w:sz w:val="21"/>
              </w:rPr>
            </w:pPr>
          </w:p>
        </w:tc>
        <w:tc>
          <w:tcPr>
            <w:tcW w:w="787" w:type="dxa"/>
            <w:gridSpan w:val="2"/>
            <w:tcBorders>
              <w:left w:val="single" w:color="000000" w:sz="2" w:space="0"/>
            </w:tcBorders>
            <w:vAlign w:val="top"/>
          </w:tcPr>
          <w:p w14:paraId="20F5EE69">
            <w:pPr>
              <w:spacing w:before="130" w:line="195" w:lineRule="auto"/>
              <w:ind w:left="394"/>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983" w:type="dxa"/>
            <w:gridSpan w:val="2"/>
            <w:vAlign w:val="top"/>
          </w:tcPr>
          <w:p w14:paraId="04F9B091">
            <w:pPr>
              <w:pStyle w:val="6"/>
              <w:spacing w:before="94" w:line="229" w:lineRule="auto"/>
              <w:ind w:left="675"/>
              <w:rPr>
                <w:sz w:val="20"/>
                <w:szCs w:val="20"/>
              </w:rPr>
            </w:pPr>
            <w:r>
              <w:rPr>
                <w:spacing w:val="6"/>
                <w:sz w:val="20"/>
                <w:szCs w:val="20"/>
              </w:rPr>
              <w:t>落地油</w:t>
            </w:r>
          </w:p>
        </w:tc>
        <w:tc>
          <w:tcPr>
            <w:tcW w:w="1413" w:type="dxa"/>
            <w:gridSpan w:val="2"/>
            <w:vAlign w:val="top"/>
          </w:tcPr>
          <w:p w14:paraId="35642340">
            <w:pPr>
              <w:spacing w:before="126" w:line="199" w:lineRule="auto"/>
              <w:ind w:left="6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8" w:type="dxa"/>
            <w:gridSpan w:val="2"/>
            <w:vAlign w:val="top"/>
          </w:tcPr>
          <w:p w14:paraId="039309F6">
            <w:pPr>
              <w:pStyle w:val="6"/>
              <w:spacing w:before="94" w:line="228" w:lineRule="auto"/>
              <w:ind w:left="224"/>
              <w:rPr>
                <w:sz w:val="20"/>
                <w:szCs w:val="20"/>
              </w:rPr>
            </w:pPr>
            <w:r>
              <w:rPr>
                <w:spacing w:val="7"/>
                <w:sz w:val="20"/>
                <w:szCs w:val="20"/>
              </w:rPr>
              <w:t>毒性和易燃性</w:t>
            </w:r>
          </w:p>
        </w:tc>
        <w:tc>
          <w:tcPr>
            <w:tcW w:w="2525" w:type="dxa"/>
            <w:gridSpan w:val="2"/>
            <w:tcBorders>
              <w:right w:val="single" w:color="000000" w:sz="6" w:space="0"/>
            </w:tcBorders>
            <w:vAlign w:val="top"/>
          </w:tcPr>
          <w:p w14:paraId="6B846574">
            <w:pPr>
              <w:pStyle w:val="6"/>
              <w:spacing w:before="94" w:line="228" w:lineRule="auto"/>
              <w:ind w:left="200"/>
              <w:rPr>
                <w:rFonts w:ascii="Times New Roman" w:hAnsi="Times New Roman" w:eastAsia="Times New Roman" w:cs="Times New Roman"/>
                <w:sz w:val="20"/>
                <w:szCs w:val="20"/>
              </w:rPr>
            </w:pPr>
            <w:r>
              <w:rPr>
                <w:spacing w:val="5"/>
                <w:sz w:val="20"/>
                <w:szCs w:val="20"/>
              </w:rPr>
              <w:t>危废代码：</w:t>
            </w:r>
            <w:r>
              <w:rPr>
                <w:rFonts w:ascii="Times New Roman" w:hAnsi="Times New Roman" w:eastAsia="Times New Roman" w:cs="Times New Roman"/>
                <w:spacing w:val="5"/>
                <w:sz w:val="20"/>
                <w:szCs w:val="20"/>
              </w:rPr>
              <w:t>071-001-08</w:t>
            </w:r>
          </w:p>
        </w:tc>
      </w:tr>
      <w:tr w14:paraId="2E0409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495" w:type="dxa"/>
            <w:vMerge w:val="continue"/>
            <w:tcBorders>
              <w:top w:val="nil"/>
              <w:left w:val="single" w:color="000000" w:sz="6" w:space="0"/>
              <w:bottom w:val="nil"/>
              <w:right w:val="single" w:color="000000" w:sz="2" w:space="0"/>
            </w:tcBorders>
            <w:vAlign w:val="top"/>
          </w:tcPr>
          <w:p w14:paraId="1BDD3091">
            <w:pPr>
              <w:rPr>
                <w:rFonts w:ascii="Arial"/>
                <w:sz w:val="21"/>
              </w:rPr>
            </w:pPr>
          </w:p>
        </w:tc>
        <w:tc>
          <w:tcPr>
            <w:tcW w:w="787" w:type="dxa"/>
            <w:gridSpan w:val="2"/>
            <w:tcBorders>
              <w:left w:val="single" w:color="000000" w:sz="2" w:space="0"/>
              <w:bottom w:val="single" w:color="000000" w:sz="10" w:space="0"/>
            </w:tcBorders>
            <w:vAlign w:val="top"/>
          </w:tcPr>
          <w:p w14:paraId="083E6926">
            <w:pPr>
              <w:spacing w:before="134" w:line="192" w:lineRule="auto"/>
              <w:ind w:left="392"/>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983" w:type="dxa"/>
            <w:gridSpan w:val="2"/>
            <w:tcBorders>
              <w:bottom w:val="single" w:color="000000" w:sz="10" w:space="0"/>
            </w:tcBorders>
            <w:vAlign w:val="top"/>
          </w:tcPr>
          <w:p w14:paraId="6382E531">
            <w:pPr>
              <w:pStyle w:val="6"/>
              <w:spacing w:before="95" w:line="227" w:lineRule="auto"/>
              <w:ind w:left="464"/>
              <w:rPr>
                <w:sz w:val="20"/>
                <w:szCs w:val="20"/>
              </w:rPr>
            </w:pPr>
            <w:r>
              <w:rPr>
                <w:spacing w:val="8"/>
                <w:sz w:val="20"/>
                <w:szCs w:val="20"/>
              </w:rPr>
              <w:t>废防渗材料</w:t>
            </w:r>
          </w:p>
        </w:tc>
        <w:tc>
          <w:tcPr>
            <w:tcW w:w="1413" w:type="dxa"/>
            <w:gridSpan w:val="2"/>
            <w:tcBorders>
              <w:bottom w:val="single" w:color="000000" w:sz="10" w:space="0"/>
            </w:tcBorders>
            <w:vAlign w:val="top"/>
          </w:tcPr>
          <w:p w14:paraId="7FB0EE58">
            <w:pPr>
              <w:spacing w:before="127" w:line="199" w:lineRule="auto"/>
              <w:ind w:left="6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8" w:type="dxa"/>
            <w:gridSpan w:val="2"/>
            <w:tcBorders>
              <w:bottom w:val="single" w:color="000000" w:sz="10" w:space="0"/>
            </w:tcBorders>
            <w:vAlign w:val="top"/>
          </w:tcPr>
          <w:p w14:paraId="4963FF0A">
            <w:pPr>
              <w:pStyle w:val="6"/>
              <w:spacing w:before="95" w:line="228" w:lineRule="auto"/>
              <w:ind w:left="224"/>
              <w:rPr>
                <w:sz w:val="20"/>
                <w:szCs w:val="20"/>
              </w:rPr>
            </w:pPr>
            <w:r>
              <w:rPr>
                <w:spacing w:val="7"/>
                <w:sz w:val="20"/>
                <w:szCs w:val="20"/>
              </w:rPr>
              <w:t>毒性和易燃性</w:t>
            </w:r>
          </w:p>
        </w:tc>
        <w:tc>
          <w:tcPr>
            <w:tcW w:w="2525" w:type="dxa"/>
            <w:gridSpan w:val="2"/>
            <w:tcBorders>
              <w:bottom w:val="single" w:color="000000" w:sz="10" w:space="0"/>
              <w:right w:val="single" w:color="000000" w:sz="6" w:space="0"/>
            </w:tcBorders>
            <w:vAlign w:val="top"/>
          </w:tcPr>
          <w:p w14:paraId="313DBEA7">
            <w:pPr>
              <w:pStyle w:val="6"/>
              <w:spacing w:before="95" w:line="228" w:lineRule="auto"/>
              <w:ind w:left="200"/>
              <w:rPr>
                <w:rFonts w:ascii="Times New Roman" w:hAnsi="Times New Roman" w:eastAsia="Times New Roman" w:cs="Times New Roman"/>
                <w:sz w:val="20"/>
                <w:szCs w:val="20"/>
              </w:rPr>
            </w:pPr>
            <w:r>
              <w:rPr>
                <w:spacing w:val="5"/>
                <w:sz w:val="20"/>
                <w:szCs w:val="20"/>
              </w:rPr>
              <w:t>危废代码：</w:t>
            </w:r>
            <w:r>
              <w:rPr>
                <w:rFonts w:ascii="Times New Roman" w:hAnsi="Times New Roman" w:eastAsia="Times New Roman" w:cs="Times New Roman"/>
                <w:spacing w:val="5"/>
                <w:sz w:val="20"/>
                <w:szCs w:val="20"/>
              </w:rPr>
              <w:t>900-249-08</w:t>
            </w:r>
          </w:p>
        </w:tc>
      </w:tr>
      <w:tr w14:paraId="26DACF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4" w:hRule="atLeast"/>
        </w:trPr>
        <w:tc>
          <w:tcPr>
            <w:tcW w:w="495" w:type="dxa"/>
            <w:vMerge w:val="continue"/>
            <w:tcBorders>
              <w:top w:val="nil"/>
              <w:left w:val="single" w:color="000000" w:sz="6" w:space="0"/>
              <w:bottom w:val="nil"/>
              <w:right w:val="single" w:color="000000" w:sz="2" w:space="0"/>
            </w:tcBorders>
            <w:vAlign w:val="top"/>
          </w:tcPr>
          <w:p w14:paraId="084721FD">
            <w:pPr>
              <w:rPr>
                <w:rFonts w:ascii="Arial"/>
                <w:sz w:val="21"/>
              </w:rPr>
            </w:pPr>
          </w:p>
        </w:tc>
        <w:tc>
          <w:tcPr>
            <w:tcW w:w="8406" w:type="dxa"/>
            <w:gridSpan w:val="10"/>
            <w:tcBorders>
              <w:top w:val="single" w:color="000000" w:sz="10" w:space="0"/>
              <w:left w:val="single" w:color="000000" w:sz="2" w:space="0"/>
              <w:bottom w:val="single" w:color="000000" w:sz="10" w:space="0"/>
              <w:right w:val="single" w:color="000000" w:sz="6" w:space="0"/>
            </w:tcBorders>
            <w:vAlign w:val="top"/>
          </w:tcPr>
          <w:p w14:paraId="6E033885">
            <w:pPr>
              <w:pStyle w:val="6"/>
              <w:spacing w:before="28" w:line="359" w:lineRule="auto"/>
              <w:ind w:left="107" w:right="101" w:firstLine="484"/>
              <w:jc w:val="both"/>
            </w:pPr>
            <w:r>
              <w:rPr>
                <w:spacing w:val="-6"/>
              </w:rPr>
              <w:t>项目施工期井场设置</w:t>
            </w:r>
            <w:r>
              <w:rPr>
                <w:spacing w:val="-32"/>
              </w:rPr>
              <w:t xml:space="preserve"> </w:t>
            </w:r>
            <w:r>
              <w:rPr>
                <w:rFonts w:ascii="Times New Roman" w:hAnsi="Times New Roman" w:eastAsia="Times New Roman" w:cs="Times New Roman"/>
                <w:spacing w:val="-6"/>
              </w:rPr>
              <w:t xml:space="preserve">1 </w:t>
            </w:r>
            <w:r>
              <w:rPr>
                <w:spacing w:val="-6"/>
              </w:rPr>
              <w:t>个柴油罐，储存柴油量为</w:t>
            </w:r>
            <w:r>
              <w:rPr>
                <w:spacing w:val="-56"/>
              </w:rPr>
              <w:t xml:space="preserve"> </w:t>
            </w:r>
            <w:r>
              <w:rPr>
                <w:rFonts w:ascii="Times New Roman" w:hAnsi="Times New Roman" w:eastAsia="Times New Roman" w:cs="Times New Roman"/>
                <w:spacing w:val="-6"/>
              </w:rPr>
              <w:t>4</w:t>
            </w:r>
            <w:r>
              <w:rPr>
                <w:rFonts w:ascii="Times New Roman" w:hAnsi="Times New Roman" w:eastAsia="Times New Roman" w:cs="Times New Roman"/>
                <w:spacing w:val="-7"/>
              </w:rPr>
              <w:t>0m</w:t>
            </w:r>
            <w:r>
              <w:rPr>
                <w:rFonts w:ascii="Times New Roman" w:hAnsi="Times New Roman" w:eastAsia="Times New Roman" w:cs="Times New Roman"/>
                <w:spacing w:val="-7"/>
                <w:position w:val="8"/>
                <w:sz w:val="15"/>
                <w:szCs w:val="15"/>
              </w:rPr>
              <w:t>3</w:t>
            </w:r>
            <w:r>
              <w:rPr>
                <w:spacing w:val="-7"/>
              </w:rPr>
              <w:t>，柴油密度按</w:t>
            </w:r>
            <w:r>
              <w:rPr>
                <w:spacing w:val="-52"/>
              </w:rPr>
              <w:t xml:space="preserve"> </w:t>
            </w:r>
            <w:r>
              <w:rPr>
                <w:rFonts w:ascii="Times New Roman" w:hAnsi="Times New Roman" w:eastAsia="Times New Roman" w:cs="Times New Roman"/>
                <w:spacing w:val="-7"/>
              </w:rPr>
              <w:t>0.85t/m</w:t>
            </w:r>
            <w:r>
              <w:rPr>
                <w:rFonts w:ascii="Times New Roman" w:hAnsi="Times New Roman" w:eastAsia="Times New Roman" w:cs="Times New Roman"/>
                <w:spacing w:val="-7"/>
                <w:position w:val="8"/>
                <w:sz w:val="15"/>
                <w:szCs w:val="15"/>
              </w:rPr>
              <w:t>3</w:t>
            </w:r>
            <w:r>
              <w:rPr>
                <w:spacing w:val="-5"/>
              </w:rPr>
              <w:t>计，充装系数</w:t>
            </w:r>
            <w:r>
              <w:rPr>
                <w:spacing w:val="-38"/>
              </w:rPr>
              <w:t xml:space="preserve"> </w:t>
            </w:r>
            <w:r>
              <w:rPr>
                <w:rFonts w:ascii="Times New Roman" w:hAnsi="Times New Roman" w:eastAsia="Times New Roman" w:cs="Times New Roman"/>
                <w:spacing w:val="-5"/>
              </w:rPr>
              <w:t>0.9</w:t>
            </w:r>
            <w:r>
              <w:rPr>
                <w:spacing w:val="-5"/>
              </w:rPr>
              <w:t>，则柴油罐最大储油量为</w:t>
            </w:r>
            <w:r>
              <w:rPr>
                <w:spacing w:val="-50"/>
              </w:rPr>
              <w:t xml:space="preserve"> </w:t>
            </w:r>
            <w:r>
              <w:rPr>
                <w:rFonts w:ascii="Times New Roman" w:hAnsi="Times New Roman" w:eastAsia="Times New Roman" w:cs="Times New Roman"/>
                <w:spacing w:val="-5"/>
              </w:rPr>
              <w:t>30.6t</w:t>
            </w:r>
            <w:r>
              <w:rPr>
                <w:spacing w:val="-5"/>
              </w:rPr>
              <w:t>；试油阶段设置</w:t>
            </w:r>
            <w:r>
              <w:rPr>
                <w:spacing w:val="-55"/>
              </w:rPr>
              <w:t xml:space="preserve"> </w:t>
            </w:r>
            <w:r>
              <w:rPr>
                <w:rFonts w:ascii="Times New Roman" w:hAnsi="Times New Roman" w:eastAsia="Times New Roman" w:cs="Times New Roman"/>
                <w:spacing w:val="-5"/>
              </w:rPr>
              <w:t xml:space="preserve">2 </w:t>
            </w:r>
            <w:r>
              <w:rPr>
                <w:spacing w:val="-5"/>
              </w:rPr>
              <w:t>个储液罐（一</w:t>
            </w:r>
            <w:r>
              <w:t>用一备</w:t>
            </w:r>
            <w:r>
              <w:rPr>
                <w:spacing w:val="19"/>
              </w:rPr>
              <w:t>），</w:t>
            </w:r>
            <w:r>
              <w:t>单个储液罐最大储存原油量为</w:t>
            </w:r>
            <w:r>
              <w:rPr>
                <w:spacing w:val="-53"/>
              </w:rPr>
              <w:t xml:space="preserve"> </w:t>
            </w:r>
            <w:r>
              <w:rPr>
                <w:rFonts w:ascii="Times New Roman" w:hAnsi="Times New Roman" w:eastAsia="Times New Roman" w:cs="Times New Roman"/>
              </w:rPr>
              <w:t>40m</w:t>
            </w:r>
            <w:r>
              <w:rPr>
                <w:rFonts w:ascii="Times New Roman" w:hAnsi="Times New Roman" w:eastAsia="Times New Roman" w:cs="Times New Roman"/>
                <w:position w:val="8"/>
                <w:sz w:val="15"/>
                <w:szCs w:val="15"/>
              </w:rPr>
              <w:t xml:space="preserve">3 </w:t>
            </w:r>
            <w:r>
              <w:t>，原油密度按</w:t>
            </w:r>
            <w:r>
              <w:rPr>
                <w:spacing w:val="-47"/>
              </w:rPr>
              <w:t xml:space="preserve"> </w:t>
            </w:r>
            <w:r>
              <w:rPr>
                <w:rFonts w:ascii="Times New Roman" w:hAnsi="Times New Roman" w:eastAsia="Times New Roman" w:cs="Times New Roman"/>
              </w:rPr>
              <w:t>0.9t/m</w:t>
            </w:r>
            <w:r>
              <w:rPr>
                <w:rFonts w:ascii="Times New Roman" w:hAnsi="Times New Roman" w:eastAsia="Times New Roman" w:cs="Times New Roman"/>
                <w:position w:val="8"/>
                <w:sz w:val="15"/>
                <w:szCs w:val="15"/>
              </w:rPr>
              <w:t>3</w:t>
            </w:r>
            <w:r>
              <w:rPr>
                <w:rFonts w:ascii="Times New Roman" w:hAnsi="Times New Roman" w:eastAsia="Times New Roman" w:cs="Times New Roman"/>
                <w:spacing w:val="14"/>
                <w:w w:val="101"/>
                <w:position w:val="8"/>
                <w:sz w:val="15"/>
                <w:szCs w:val="15"/>
              </w:rPr>
              <w:t xml:space="preserve"> </w:t>
            </w:r>
            <w:r>
              <w:t>计，则储</w:t>
            </w:r>
            <w:r>
              <w:rPr>
                <w:spacing w:val="-3"/>
              </w:rPr>
              <w:t>液罐最大储油量为</w:t>
            </w:r>
            <w:r>
              <w:rPr>
                <w:spacing w:val="-50"/>
              </w:rPr>
              <w:t xml:space="preserve"> </w:t>
            </w:r>
            <w:r>
              <w:rPr>
                <w:rFonts w:ascii="Times New Roman" w:hAnsi="Times New Roman" w:eastAsia="Times New Roman" w:cs="Times New Roman"/>
                <w:spacing w:val="-3"/>
              </w:rPr>
              <w:t>72t</w:t>
            </w:r>
            <w:r>
              <w:rPr>
                <w:spacing w:val="-3"/>
              </w:rPr>
              <w:t>（假设两个罐均储油</w:t>
            </w:r>
            <w:r>
              <w:rPr>
                <w:spacing w:val="-12"/>
              </w:rPr>
              <w:t>）；</w:t>
            </w:r>
            <w:r>
              <w:rPr>
                <w:spacing w:val="-3"/>
              </w:rPr>
              <w:t>油气比按</w:t>
            </w:r>
            <w:r>
              <w:rPr>
                <w:spacing w:val="-32"/>
              </w:rPr>
              <w:t xml:space="preserve"> </w:t>
            </w:r>
            <w:r>
              <w:rPr>
                <w:rFonts w:ascii="Times New Roman" w:hAnsi="Times New Roman" w:eastAsia="Times New Roman" w:cs="Times New Roman"/>
                <w:spacing w:val="-3"/>
              </w:rPr>
              <w:t>15m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4"/>
              </w:rPr>
              <w:t>/t</w:t>
            </w:r>
            <w:r>
              <w:rPr>
                <w:rFonts w:ascii="Times New Roman" w:hAnsi="Times New Roman" w:eastAsia="Times New Roman" w:cs="Times New Roman"/>
                <w:spacing w:val="-31"/>
              </w:rPr>
              <w:t xml:space="preserve"> </w:t>
            </w:r>
            <w:r>
              <w:rPr>
                <w:spacing w:val="-4"/>
              </w:rPr>
              <w:t>，伴生气密度按</w:t>
            </w:r>
            <w:r>
              <w:rPr>
                <w:rFonts w:ascii="Times New Roman" w:hAnsi="Times New Roman" w:eastAsia="Times New Roman" w:cs="Times New Roman"/>
              </w:rPr>
              <w:t>0.85kg/m</w:t>
            </w:r>
            <w:r>
              <w:rPr>
                <w:rFonts w:ascii="Times New Roman" w:hAnsi="Times New Roman" w:eastAsia="Times New Roman" w:cs="Times New Roman"/>
                <w:position w:val="8"/>
                <w:sz w:val="15"/>
                <w:szCs w:val="15"/>
              </w:rPr>
              <w:t>3</w:t>
            </w:r>
            <w:r>
              <w:rPr>
                <w:rFonts w:ascii="Times New Roman" w:hAnsi="Times New Roman" w:eastAsia="Times New Roman" w:cs="Times New Roman"/>
                <w:spacing w:val="17"/>
                <w:position w:val="8"/>
                <w:sz w:val="15"/>
                <w:szCs w:val="15"/>
              </w:rPr>
              <w:t xml:space="preserve"> </w:t>
            </w:r>
            <w:r>
              <w:t>计，则伴生气量为</w:t>
            </w:r>
            <w:r>
              <w:rPr>
                <w:spacing w:val="-52"/>
              </w:rPr>
              <w:t xml:space="preserve"> </w:t>
            </w:r>
            <w:r>
              <w:rPr>
                <w:rFonts w:ascii="Times New Roman" w:hAnsi="Times New Roman" w:eastAsia="Times New Roman" w:cs="Times New Roman"/>
              </w:rPr>
              <w:t>0.92t</w:t>
            </w:r>
            <w:r>
              <w:t>；废润滑油最大暂存量</w:t>
            </w:r>
            <w:r>
              <w:rPr>
                <w:spacing w:val="-49"/>
              </w:rPr>
              <w:t xml:space="preserve"> </w:t>
            </w:r>
            <w:r>
              <w:rPr>
                <w:rFonts w:ascii="Times New Roman" w:hAnsi="Times New Roman" w:eastAsia="Times New Roman" w:cs="Times New Roman"/>
              </w:rPr>
              <w:t>0.</w:t>
            </w:r>
            <w:r>
              <w:rPr>
                <w:rFonts w:ascii="Times New Roman" w:hAnsi="Times New Roman" w:eastAsia="Times New Roman" w:cs="Times New Roman"/>
                <w:spacing w:val="-32"/>
              </w:rPr>
              <w:t xml:space="preserve"> </w:t>
            </w:r>
            <w:r>
              <w:rPr>
                <w:rFonts w:ascii="Times New Roman" w:hAnsi="Times New Roman" w:eastAsia="Times New Roman" w:cs="Times New Roman"/>
              </w:rPr>
              <w:t>15t</w:t>
            </w:r>
            <w:r>
              <w:t>；落地油最大暂</w:t>
            </w:r>
            <w:r>
              <w:rPr>
                <w:spacing w:val="-3"/>
              </w:rPr>
              <w:t>存量</w:t>
            </w:r>
            <w:r>
              <w:rPr>
                <w:spacing w:val="-51"/>
              </w:rPr>
              <w:t xml:space="preserve"> </w:t>
            </w:r>
            <w:r>
              <w:rPr>
                <w:rFonts w:ascii="Times New Roman" w:hAnsi="Times New Roman" w:eastAsia="Times New Roman" w:cs="Times New Roman"/>
                <w:spacing w:val="-3"/>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15t</w:t>
            </w:r>
            <w:r>
              <w:rPr>
                <w:spacing w:val="-3"/>
              </w:rPr>
              <w:t>；废防渗材料最大暂存量</w:t>
            </w:r>
            <w:r>
              <w:rPr>
                <w:spacing w:val="-51"/>
              </w:rPr>
              <w:t xml:space="preserve"> </w:t>
            </w:r>
            <w:r>
              <w:rPr>
                <w:rFonts w:ascii="Times New Roman" w:hAnsi="Times New Roman" w:eastAsia="Times New Roman" w:cs="Times New Roman"/>
                <w:spacing w:val="-3"/>
              </w:rPr>
              <w:t>0.5t</w:t>
            </w:r>
            <w:r>
              <w:rPr>
                <w:rFonts w:ascii="Times New Roman" w:hAnsi="Times New Roman" w:eastAsia="Times New Roman" w:cs="Times New Roman"/>
                <w:spacing w:val="-31"/>
              </w:rPr>
              <w:t xml:space="preserve"> </w:t>
            </w:r>
            <w:r>
              <w:rPr>
                <w:spacing w:val="-3"/>
              </w:rPr>
              <w:t>，氢氧化</w:t>
            </w:r>
            <w:r>
              <w:rPr>
                <w:spacing w:val="-4"/>
              </w:rPr>
              <w:t>钠最大暂存量</w:t>
            </w:r>
            <w:r>
              <w:rPr>
                <w:spacing w:val="-32"/>
              </w:rPr>
              <w:t xml:space="preserve"> </w:t>
            </w:r>
            <w:r>
              <w:rPr>
                <w:rFonts w:ascii="Times New Roman" w:hAnsi="Times New Roman" w:eastAsia="Times New Roman" w:cs="Times New Roman"/>
                <w:spacing w:val="-4"/>
              </w:rPr>
              <w:t>1t</w:t>
            </w:r>
            <w:r>
              <w:rPr>
                <w:spacing w:val="-4"/>
              </w:rPr>
              <w:t>。</w:t>
            </w:r>
          </w:p>
          <w:p w14:paraId="248D1B4B">
            <w:pPr>
              <w:spacing w:before="2" w:line="210" w:lineRule="auto"/>
              <w:ind w:left="3002"/>
              <w:rPr>
                <w:rFonts w:ascii="黑体" w:hAnsi="黑体" w:eastAsia="黑体" w:cs="黑体"/>
                <w:sz w:val="24"/>
                <w:szCs w:val="24"/>
              </w:rPr>
            </w:pPr>
            <w:r>
              <w:rPr>
                <w:rFonts w:ascii="黑体" w:hAnsi="黑体" w:eastAsia="黑体" w:cs="黑体"/>
                <w:spacing w:val="-3"/>
                <w:sz w:val="24"/>
                <w:szCs w:val="24"/>
              </w:rPr>
              <w:t>表</w:t>
            </w:r>
            <w:r>
              <w:rPr>
                <w:rFonts w:ascii="Times New Roman" w:hAnsi="Times New Roman" w:eastAsia="Times New Roman" w:cs="Times New Roman"/>
                <w:spacing w:val="-3"/>
                <w:sz w:val="24"/>
                <w:szCs w:val="24"/>
              </w:rPr>
              <w:t>4-</w:t>
            </w:r>
            <w:r>
              <w:rPr>
                <w:rFonts w:ascii="Times New Roman" w:hAnsi="Times New Roman" w:eastAsia="Times New Roman" w:cs="Times New Roman"/>
                <w:spacing w:val="-26"/>
                <w:sz w:val="24"/>
                <w:szCs w:val="24"/>
              </w:rPr>
              <w:t xml:space="preserve"> </w:t>
            </w:r>
            <w:r>
              <w:rPr>
                <w:rFonts w:ascii="Times New Roman" w:hAnsi="Times New Roman" w:eastAsia="Times New Roman" w:cs="Times New Roman"/>
                <w:spacing w:val="-3"/>
                <w:sz w:val="24"/>
                <w:szCs w:val="24"/>
              </w:rPr>
              <w:t xml:space="preserve">12  </w:t>
            </w:r>
            <w:r>
              <w:rPr>
                <w:rFonts w:ascii="黑体" w:hAnsi="黑体" w:eastAsia="黑体" w:cs="黑体"/>
                <w:spacing w:val="-3"/>
                <w:sz w:val="24"/>
                <w:szCs w:val="24"/>
              </w:rPr>
              <w:t>危险物质</w:t>
            </w:r>
            <w:r>
              <w:rPr>
                <w:rFonts w:ascii="Times New Roman" w:hAnsi="Times New Roman" w:eastAsia="Times New Roman" w:cs="Times New Roman"/>
                <w:spacing w:val="-3"/>
                <w:sz w:val="24"/>
                <w:szCs w:val="24"/>
              </w:rPr>
              <w:t>Q</w:t>
            </w:r>
            <w:r>
              <w:rPr>
                <w:rFonts w:ascii="黑体" w:hAnsi="黑体" w:eastAsia="黑体" w:cs="黑体"/>
                <w:spacing w:val="-3"/>
                <w:sz w:val="24"/>
                <w:szCs w:val="24"/>
              </w:rPr>
              <w:t>值确定表</w:t>
            </w:r>
          </w:p>
        </w:tc>
      </w:tr>
      <w:tr w14:paraId="69AC6B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495" w:type="dxa"/>
            <w:vMerge w:val="continue"/>
            <w:tcBorders>
              <w:top w:val="nil"/>
              <w:left w:val="single" w:color="000000" w:sz="6" w:space="0"/>
              <w:bottom w:val="nil"/>
              <w:right w:val="single" w:color="000000" w:sz="2" w:space="0"/>
            </w:tcBorders>
            <w:vAlign w:val="top"/>
          </w:tcPr>
          <w:p w14:paraId="07503C01">
            <w:pPr>
              <w:rPr>
                <w:rFonts w:ascii="Arial"/>
                <w:sz w:val="21"/>
              </w:rPr>
            </w:pPr>
          </w:p>
        </w:tc>
        <w:tc>
          <w:tcPr>
            <w:tcW w:w="646" w:type="dxa"/>
            <w:tcBorders>
              <w:top w:val="single" w:color="000000" w:sz="10" w:space="0"/>
              <w:left w:val="single" w:color="000000" w:sz="2" w:space="0"/>
            </w:tcBorders>
            <w:vAlign w:val="top"/>
          </w:tcPr>
          <w:p w14:paraId="629758CA">
            <w:pPr>
              <w:pStyle w:val="6"/>
              <w:spacing w:before="91" w:line="229" w:lineRule="auto"/>
              <w:ind w:left="162"/>
              <w:rPr>
                <w:sz w:val="20"/>
                <w:szCs w:val="20"/>
              </w:rPr>
            </w:pPr>
            <w:r>
              <w:rPr>
                <w:spacing w:val="5"/>
                <w:sz w:val="20"/>
                <w:szCs w:val="20"/>
              </w:rPr>
              <w:t>序号</w:t>
            </w:r>
          </w:p>
        </w:tc>
        <w:tc>
          <w:tcPr>
            <w:tcW w:w="1982" w:type="dxa"/>
            <w:gridSpan w:val="2"/>
            <w:tcBorders>
              <w:top w:val="single" w:color="000000" w:sz="10" w:space="0"/>
            </w:tcBorders>
            <w:vAlign w:val="top"/>
          </w:tcPr>
          <w:p w14:paraId="54BAC011">
            <w:pPr>
              <w:pStyle w:val="6"/>
              <w:spacing w:before="91" w:line="228" w:lineRule="auto"/>
              <w:ind w:left="361"/>
              <w:rPr>
                <w:sz w:val="20"/>
                <w:szCs w:val="20"/>
              </w:rPr>
            </w:pPr>
            <w:r>
              <w:rPr>
                <w:spacing w:val="7"/>
                <w:sz w:val="20"/>
                <w:szCs w:val="20"/>
              </w:rPr>
              <w:t>危险物质名称</w:t>
            </w:r>
          </w:p>
        </w:tc>
        <w:tc>
          <w:tcPr>
            <w:tcW w:w="1275" w:type="dxa"/>
            <w:gridSpan w:val="2"/>
            <w:tcBorders>
              <w:top w:val="single" w:color="000000" w:sz="10" w:space="0"/>
            </w:tcBorders>
            <w:vAlign w:val="top"/>
          </w:tcPr>
          <w:p w14:paraId="3A884759">
            <w:pPr>
              <w:pStyle w:val="6"/>
              <w:spacing w:before="91" w:line="229" w:lineRule="auto"/>
              <w:ind w:left="301"/>
              <w:rPr>
                <w:sz w:val="20"/>
                <w:szCs w:val="20"/>
              </w:rPr>
            </w:pPr>
            <w:r>
              <w:rPr>
                <w:rFonts w:ascii="Times New Roman" w:hAnsi="Times New Roman" w:eastAsia="Times New Roman" w:cs="Times New Roman"/>
                <w:sz w:val="20"/>
                <w:szCs w:val="20"/>
              </w:rPr>
              <w:t>CAS</w:t>
            </w:r>
            <w:r>
              <w:rPr>
                <w:rFonts w:ascii="Times New Roman" w:hAnsi="Times New Roman" w:eastAsia="Times New Roman" w:cs="Times New Roman"/>
                <w:spacing w:val="19"/>
                <w:w w:val="101"/>
                <w:sz w:val="20"/>
                <w:szCs w:val="20"/>
              </w:rPr>
              <w:t xml:space="preserve"> </w:t>
            </w:r>
            <w:r>
              <w:rPr>
                <w:spacing w:val="9"/>
                <w:sz w:val="20"/>
                <w:szCs w:val="20"/>
              </w:rPr>
              <w:t>号</w:t>
            </w:r>
          </w:p>
        </w:tc>
        <w:tc>
          <w:tcPr>
            <w:tcW w:w="1794" w:type="dxa"/>
            <w:gridSpan w:val="2"/>
            <w:tcBorders>
              <w:top w:val="single" w:color="000000" w:sz="10" w:space="0"/>
            </w:tcBorders>
            <w:vAlign w:val="top"/>
          </w:tcPr>
          <w:p w14:paraId="4D672BF6">
            <w:pPr>
              <w:pStyle w:val="6"/>
              <w:spacing w:before="91" w:line="221" w:lineRule="auto"/>
              <w:ind w:left="83"/>
              <w:rPr>
                <w:rFonts w:ascii="Times New Roman" w:hAnsi="Times New Roman" w:eastAsia="Times New Roman" w:cs="Times New Roman"/>
                <w:sz w:val="20"/>
                <w:szCs w:val="20"/>
              </w:rPr>
            </w:pPr>
            <w:r>
              <w:rPr>
                <w:spacing w:val="7"/>
                <w:sz w:val="20"/>
                <w:szCs w:val="20"/>
              </w:rPr>
              <w:t>最大存在总量</w:t>
            </w:r>
            <w:r>
              <w:rPr>
                <w:spacing w:val="-39"/>
                <w:sz w:val="20"/>
                <w:szCs w:val="20"/>
              </w:rPr>
              <w:t xml:space="preserve"> </w:t>
            </w:r>
            <w:r>
              <w:rPr>
                <w:rFonts w:ascii="Times New Roman" w:hAnsi="Times New Roman" w:eastAsia="Times New Roman" w:cs="Times New Roman"/>
                <w:sz w:val="20"/>
                <w:szCs w:val="20"/>
              </w:rPr>
              <w:t>qn</w:t>
            </w:r>
            <w:r>
              <w:rPr>
                <w:rFonts w:ascii="Times New Roman" w:hAnsi="Times New Roman" w:eastAsia="Times New Roman" w:cs="Times New Roman"/>
                <w:spacing w:val="7"/>
                <w:sz w:val="20"/>
                <w:szCs w:val="20"/>
              </w:rPr>
              <w:t>/t</w:t>
            </w:r>
          </w:p>
        </w:tc>
        <w:tc>
          <w:tcPr>
            <w:tcW w:w="1499" w:type="dxa"/>
            <w:gridSpan w:val="2"/>
            <w:tcBorders>
              <w:top w:val="single" w:color="000000" w:sz="10" w:space="0"/>
            </w:tcBorders>
            <w:vAlign w:val="top"/>
          </w:tcPr>
          <w:p w14:paraId="630E9AC4">
            <w:pPr>
              <w:pStyle w:val="6"/>
              <w:spacing w:before="91" w:line="221" w:lineRule="auto"/>
              <w:ind w:left="239"/>
              <w:rPr>
                <w:rFonts w:ascii="Times New Roman" w:hAnsi="Times New Roman" w:eastAsia="Times New Roman" w:cs="Times New Roman"/>
                <w:sz w:val="20"/>
                <w:szCs w:val="20"/>
              </w:rPr>
            </w:pPr>
            <w:r>
              <w:rPr>
                <w:spacing w:val="3"/>
                <w:sz w:val="20"/>
                <w:szCs w:val="20"/>
              </w:rPr>
              <w:t>临界量</w:t>
            </w:r>
            <w:r>
              <w:rPr>
                <w:spacing w:val="-37"/>
                <w:sz w:val="20"/>
                <w:szCs w:val="20"/>
              </w:rPr>
              <w:t xml:space="preserve"> </w:t>
            </w:r>
            <w:r>
              <w:rPr>
                <w:rFonts w:ascii="Times New Roman" w:hAnsi="Times New Roman" w:eastAsia="Times New Roman" w:cs="Times New Roman"/>
                <w:sz w:val="20"/>
                <w:szCs w:val="20"/>
              </w:rPr>
              <w:t>Qn</w:t>
            </w:r>
            <w:r>
              <w:rPr>
                <w:rFonts w:ascii="Times New Roman" w:hAnsi="Times New Roman" w:eastAsia="Times New Roman" w:cs="Times New Roman"/>
                <w:spacing w:val="3"/>
                <w:sz w:val="20"/>
                <w:szCs w:val="20"/>
              </w:rPr>
              <w:t>/t</w:t>
            </w:r>
          </w:p>
        </w:tc>
        <w:tc>
          <w:tcPr>
            <w:tcW w:w="1210" w:type="dxa"/>
            <w:tcBorders>
              <w:top w:val="single" w:color="000000" w:sz="10" w:space="0"/>
              <w:right w:val="single" w:color="000000" w:sz="6" w:space="0"/>
            </w:tcBorders>
            <w:vAlign w:val="top"/>
          </w:tcPr>
          <w:p w14:paraId="41471457">
            <w:pPr>
              <w:pStyle w:val="6"/>
              <w:spacing w:before="91" w:line="221" w:lineRule="auto"/>
              <w:ind w:left="350"/>
              <w:rPr>
                <w:sz w:val="20"/>
                <w:szCs w:val="20"/>
              </w:rPr>
            </w:pPr>
            <w:r>
              <w:rPr>
                <w:rFonts w:ascii="Times New Roman" w:hAnsi="Times New Roman" w:eastAsia="Times New Roman" w:cs="Times New Roman"/>
                <w:spacing w:val="-1"/>
                <w:sz w:val="20"/>
                <w:szCs w:val="20"/>
              </w:rPr>
              <w:t>Q</w:t>
            </w:r>
            <w:r>
              <w:rPr>
                <w:rFonts w:ascii="Times New Roman" w:hAnsi="Times New Roman" w:eastAsia="Times New Roman" w:cs="Times New Roman"/>
                <w:spacing w:val="12"/>
                <w:sz w:val="20"/>
                <w:szCs w:val="20"/>
              </w:rPr>
              <w:t xml:space="preserve"> </w:t>
            </w:r>
            <w:r>
              <w:rPr>
                <w:spacing w:val="-1"/>
                <w:sz w:val="20"/>
                <w:szCs w:val="20"/>
              </w:rPr>
              <w:t>值</w:t>
            </w:r>
          </w:p>
        </w:tc>
      </w:tr>
      <w:tr w14:paraId="742C23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495" w:type="dxa"/>
            <w:vMerge w:val="continue"/>
            <w:tcBorders>
              <w:top w:val="nil"/>
              <w:left w:val="single" w:color="000000" w:sz="6" w:space="0"/>
              <w:bottom w:val="nil"/>
              <w:right w:val="single" w:color="000000" w:sz="2" w:space="0"/>
            </w:tcBorders>
            <w:vAlign w:val="top"/>
          </w:tcPr>
          <w:p w14:paraId="555B23E6">
            <w:pPr>
              <w:rPr>
                <w:rFonts w:ascii="Arial"/>
                <w:sz w:val="21"/>
              </w:rPr>
            </w:pPr>
          </w:p>
        </w:tc>
        <w:tc>
          <w:tcPr>
            <w:tcW w:w="646" w:type="dxa"/>
            <w:tcBorders>
              <w:left w:val="single" w:color="000000" w:sz="2" w:space="0"/>
            </w:tcBorders>
            <w:vAlign w:val="top"/>
          </w:tcPr>
          <w:p w14:paraId="79B95B49">
            <w:pPr>
              <w:spacing w:before="150" w:line="195" w:lineRule="auto"/>
              <w:ind w:left="33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982" w:type="dxa"/>
            <w:gridSpan w:val="2"/>
            <w:vAlign w:val="top"/>
          </w:tcPr>
          <w:p w14:paraId="1AC33EC4">
            <w:pPr>
              <w:pStyle w:val="6"/>
              <w:spacing w:before="114" w:line="228" w:lineRule="auto"/>
              <w:ind w:left="779"/>
              <w:rPr>
                <w:sz w:val="20"/>
                <w:szCs w:val="20"/>
              </w:rPr>
            </w:pPr>
            <w:r>
              <w:rPr>
                <w:spacing w:val="4"/>
                <w:sz w:val="20"/>
                <w:szCs w:val="20"/>
              </w:rPr>
              <w:t>柴油</w:t>
            </w:r>
          </w:p>
        </w:tc>
        <w:tc>
          <w:tcPr>
            <w:tcW w:w="1275" w:type="dxa"/>
            <w:gridSpan w:val="2"/>
            <w:vAlign w:val="top"/>
          </w:tcPr>
          <w:p w14:paraId="4EF17C2D">
            <w:pPr>
              <w:spacing w:before="150"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68334-30-5</w:t>
            </w:r>
          </w:p>
        </w:tc>
        <w:tc>
          <w:tcPr>
            <w:tcW w:w="1794" w:type="dxa"/>
            <w:gridSpan w:val="2"/>
            <w:vAlign w:val="top"/>
          </w:tcPr>
          <w:p w14:paraId="6CAACDCC">
            <w:pPr>
              <w:spacing w:before="150"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30.6</w:t>
            </w:r>
          </w:p>
        </w:tc>
        <w:tc>
          <w:tcPr>
            <w:tcW w:w="1499" w:type="dxa"/>
            <w:gridSpan w:val="2"/>
            <w:vAlign w:val="top"/>
          </w:tcPr>
          <w:p w14:paraId="1C32016E">
            <w:pPr>
              <w:spacing w:before="150" w:line="195" w:lineRule="auto"/>
              <w:ind w:left="54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2500</w:t>
            </w:r>
          </w:p>
        </w:tc>
        <w:tc>
          <w:tcPr>
            <w:tcW w:w="1210" w:type="dxa"/>
            <w:tcBorders>
              <w:right w:val="single" w:color="000000" w:sz="6" w:space="0"/>
            </w:tcBorders>
            <w:vAlign w:val="top"/>
          </w:tcPr>
          <w:p w14:paraId="3F08561E">
            <w:pPr>
              <w:spacing w:before="150"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0.0122</w:t>
            </w:r>
          </w:p>
        </w:tc>
      </w:tr>
      <w:tr w14:paraId="3B07E9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495" w:type="dxa"/>
            <w:vMerge w:val="continue"/>
            <w:tcBorders>
              <w:top w:val="nil"/>
              <w:left w:val="single" w:color="000000" w:sz="6" w:space="0"/>
              <w:bottom w:val="nil"/>
              <w:right w:val="single" w:color="000000" w:sz="2" w:space="0"/>
            </w:tcBorders>
            <w:vAlign w:val="top"/>
          </w:tcPr>
          <w:p w14:paraId="160D780A">
            <w:pPr>
              <w:rPr>
                <w:rFonts w:ascii="Arial"/>
                <w:sz w:val="21"/>
              </w:rPr>
            </w:pPr>
          </w:p>
        </w:tc>
        <w:tc>
          <w:tcPr>
            <w:tcW w:w="646" w:type="dxa"/>
            <w:tcBorders>
              <w:left w:val="single" w:color="000000" w:sz="2" w:space="0"/>
            </w:tcBorders>
            <w:vAlign w:val="top"/>
          </w:tcPr>
          <w:p w14:paraId="175C48CE">
            <w:pPr>
              <w:spacing w:before="150" w:line="195" w:lineRule="auto"/>
              <w:ind w:left="31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982" w:type="dxa"/>
            <w:gridSpan w:val="2"/>
            <w:vAlign w:val="top"/>
          </w:tcPr>
          <w:p w14:paraId="36FE65D8">
            <w:pPr>
              <w:pStyle w:val="6"/>
              <w:spacing w:before="114" w:line="227" w:lineRule="auto"/>
              <w:ind w:left="252"/>
              <w:rPr>
                <w:sz w:val="20"/>
                <w:szCs w:val="20"/>
              </w:rPr>
            </w:pPr>
            <w:r>
              <w:rPr>
                <w:spacing w:val="7"/>
                <w:sz w:val="20"/>
                <w:szCs w:val="20"/>
              </w:rPr>
              <w:t>采出液（原油）</w:t>
            </w:r>
          </w:p>
        </w:tc>
        <w:tc>
          <w:tcPr>
            <w:tcW w:w="1275" w:type="dxa"/>
            <w:gridSpan w:val="2"/>
            <w:vAlign w:val="top"/>
          </w:tcPr>
          <w:p w14:paraId="7312D03D">
            <w:pPr>
              <w:spacing w:before="146" w:line="199" w:lineRule="auto"/>
              <w:ind w:left="6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94" w:type="dxa"/>
            <w:gridSpan w:val="2"/>
            <w:vAlign w:val="top"/>
          </w:tcPr>
          <w:p w14:paraId="2D2B9DE2">
            <w:pPr>
              <w:spacing w:before="150" w:line="195" w:lineRule="auto"/>
              <w:ind w:left="79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72</w:t>
            </w:r>
          </w:p>
        </w:tc>
        <w:tc>
          <w:tcPr>
            <w:tcW w:w="1499" w:type="dxa"/>
            <w:gridSpan w:val="2"/>
            <w:vAlign w:val="top"/>
          </w:tcPr>
          <w:p w14:paraId="6C542F05">
            <w:pPr>
              <w:spacing w:before="150" w:line="195" w:lineRule="auto"/>
              <w:ind w:left="54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2500</w:t>
            </w:r>
          </w:p>
        </w:tc>
        <w:tc>
          <w:tcPr>
            <w:tcW w:w="1210" w:type="dxa"/>
            <w:tcBorders>
              <w:right w:val="single" w:color="000000" w:sz="6" w:space="0"/>
            </w:tcBorders>
            <w:vAlign w:val="top"/>
          </w:tcPr>
          <w:p w14:paraId="51C0D515">
            <w:pPr>
              <w:spacing w:before="150"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0.0288</w:t>
            </w:r>
          </w:p>
        </w:tc>
      </w:tr>
      <w:tr w14:paraId="04EFE2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495" w:type="dxa"/>
            <w:vMerge w:val="continue"/>
            <w:tcBorders>
              <w:top w:val="nil"/>
              <w:left w:val="single" w:color="000000" w:sz="6" w:space="0"/>
              <w:bottom w:val="nil"/>
              <w:right w:val="single" w:color="000000" w:sz="2" w:space="0"/>
            </w:tcBorders>
            <w:vAlign w:val="top"/>
          </w:tcPr>
          <w:p w14:paraId="6BB1E490">
            <w:pPr>
              <w:rPr>
                <w:rFonts w:ascii="Arial"/>
                <w:sz w:val="21"/>
              </w:rPr>
            </w:pPr>
          </w:p>
        </w:tc>
        <w:tc>
          <w:tcPr>
            <w:tcW w:w="646" w:type="dxa"/>
            <w:tcBorders>
              <w:left w:val="single" w:color="000000" w:sz="2" w:space="0"/>
            </w:tcBorders>
            <w:vAlign w:val="top"/>
          </w:tcPr>
          <w:p w14:paraId="657A6871">
            <w:pPr>
              <w:spacing w:before="150" w:line="195" w:lineRule="auto"/>
              <w:ind w:left="31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982" w:type="dxa"/>
            <w:gridSpan w:val="2"/>
            <w:vAlign w:val="top"/>
          </w:tcPr>
          <w:p w14:paraId="3CC3E6EE">
            <w:pPr>
              <w:pStyle w:val="6"/>
              <w:spacing w:before="114" w:line="228" w:lineRule="auto"/>
              <w:ind w:left="286"/>
              <w:rPr>
                <w:sz w:val="20"/>
                <w:szCs w:val="20"/>
              </w:rPr>
            </w:pPr>
            <w:r>
              <w:rPr>
                <w:spacing w:val="7"/>
                <w:sz w:val="20"/>
                <w:szCs w:val="20"/>
              </w:rPr>
              <w:t>伴生气（</w:t>
            </w:r>
            <w:r>
              <w:rPr>
                <w:rFonts w:ascii="Times New Roman" w:hAnsi="Times New Roman" w:eastAsia="Times New Roman" w:cs="Times New Roman"/>
                <w:sz w:val="20"/>
                <w:szCs w:val="20"/>
              </w:rPr>
              <w:t>CH</w:t>
            </w:r>
            <w:r>
              <w:rPr>
                <w:rFonts w:ascii="Times New Roman" w:hAnsi="Times New Roman" w:eastAsia="Times New Roman" w:cs="Times New Roman"/>
                <w:spacing w:val="7"/>
                <w:sz w:val="13"/>
                <w:szCs w:val="13"/>
              </w:rPr>
              <w:t>4</w:t>
            </w:r>
            <w:r>
              <w:rPr>
                <w:spacing w:val="7"/>
                <w:sz w:val="20"/>
                <w:szCs w:val="20"/>
              </w:rPr>
              <w:t>）</w:t>
            </w:r>
          </w:p>
        </w:tc>
        <w:tc>
          <w:tcPr>
            <w:tcW w:w="1275" w:type="dxa"/>
            <w:gridSpan w:val="2"/>
            <w:vAlign w:val="top"/>
          </w:tcPr>
          <w:p w14:paraId="2CCAB356">
            <w:pPr>
              <w:spacing w:before="150" w:line="195" w:lineRule="auto"/>
              <w:ind w:left="30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74-82-8</w:t>
            </w:r>
          </w:p>
        </w:tc>
        <w:tc>
          <w:tcPr>
            <w:tcW w:w="1794" w:type="dxa"/>
            <w:gridSpan w:val="2"/>
            <w:vAlign w:val="top"/>
          </w:tcPr>
          <w:p w14:paraId="4A3192BA">
            <w:pPr>
              <w:spacing w:before="150" w:line="195" w:lineRule="auto"/>
              <w:ind w:left="7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0.92</w:t>
            </w:r>
          </w:p>
        </w:tc>
        <w:tc>
          <w:tcPr>
            <w:tcW w:w="1499" w:type="dxa"/>
            <w:gridSpan w:val="2"/>
            <w:vAlign w:val="top"/>
          </w:tcPr>
          <w:p w14:paraId="7B055A3B">
            <w:pPr>
              <w:spacing w:before="150" w:line="195" w:lineRule="auto"/>
              <w:ind w:left="66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210" w:type="dxa"/>
            <w:tcBorders>
              <w:right w:val="single" w:color="000000" w:sz="6" w:space="0"/>
            </w:tcBorders>
            <w:vAlign w:val="top"/>
          </w:tcPr>
          <w:p w14:paraId="63935E2F">
            <w:pPr>
              <w:spacing w:before="150"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0.0920</w:t>
            </w:r>
          </w:p>
        </w:tc>
      </w:tr>
      <w:tr w14:paraId="0F72EF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495" w:type="dxa"/>
            <w:vMerge w:val="continue"/>
            <w:tcBorders>
              <w:top w:val="nil"/>
              <w:left w:val="single" w:color="000000" w:sz="6" w:space="0"/>
              <w:bottom w:val="nil"/>
              <w:right w:val="single" w:color="000000" w:sz="2" w:space="0"/>
            </w:tcBorders>
            <w:vAlign w:val="top"/>
          </w:tcPr>
          <w:p w14:paraId="3E18A89A">
            <w:pPr>
              <w:rPr>
                <w:rFonts w:ascii="Arial"/>
                <w:sz w:val="21"/>
              </w:rPr>
            </w:pPr>
          </w:p>
        </w:tc>
        <w:tc>
          <w:tcPr>
            <w:tcW w:w="646" w:type="dxa"/>
            <w:tcBorders>
              <w:left w:val="single" w:color="000000" w:sz="2" w:space="0"/>
            </w:tcBorders>
            <w:vAlign w:val="top"/>
          </w:tcPr>
          <w:p w14:paraId="37892094">
            <w:pPr>
              <w:spacing w:before="153"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982" w:type="dxa"/>
            <w:gridSpan w:val="2"/>
            <w:vAlign w:val="top"/>
          </w:tcPr>
          <w:p w14:paraId="7B27916E">
            <w:pPr>
              <w:pStyle w:val="6"/>
              <w:spacing w:before="117" w:line="227" w:lineRule="auto"/>
              <w:ind w:left="568"/>
              <w:rPr>
                <w:sz w:val="20"/>
                <w:szCs w:val="20"/>
              </w:rPr>
            </w:pPr>
            <w:r>
              <w:rPr>
                <w:spacing w:val="7"/>
                <w:sz w:val="20"/>
                <w:szCs w:val="20"/>
              </w:rPr>
              <w:t>氢氧化钠</w:t>
            </w:r>
          </w:p>
        </w:tc>
        <w:tc>
          <w:tcPr>
            <w:tcW w:w="1275" w:type="dxa"/>
            <w:gridSpan w:val="2"/>
            <w:vAlign w:val="top"/>
          </w:tcPr>
          <w:p w14:paraId="7046C7C8">
            <w:pPr>
              <w:spacing w:before="153"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1310-73-2</w:t>
            </w:r>
          </w:p>
        </w:tc>
        <w:tc>
          <w:tcPr>
            <w:tcW w:w="1794" w:type="dxa"/>
            <w:gridSpan w:val="2"/>
            <w:vAlign w:val="top"/>
          </w:tcPr>
          <w:p w14:paraId="2773EA23">
            <w:pPr>
              <w:spacing w:before="153" w:line="195" w:lineRule="auto"/>
              <w:ind w:left="86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499" w:type="dxa"/>
            <w:gridSpan w:val="2"/>
            <w:vAlign w:val="top"/>
          </w:tcPr>
          <w:p w14:paraId="2F19B94F">
            <w:pPr>
              <w:spacing w:before="149" w:line="199" w:lineRule="auto"/>
              <w:ind w:left="7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10" w:type="dxa"/>
            <w:tcBorders>
              <w:right w:val="single" w:color="000000" w:sz="6" w:space="0"/>
            </w:tcBorders>
            <w:vAlign w:val="top"/>
          </w:tcPr>
          <w:p w14:paraId="12C95DC0">
            <w:pPr>
              <w:spacing w:before="149" w:line="199" w:lineRule="auto"/>
              <w:ind w:left="5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767A80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495" w:type="dxa"/>
            <w:vMerge w:val="continue"/>
            <w:tcBorders>
              <w:top w:val="nil"/>
              <w:left w:val="single" w:color="000000" w:sz="6" w:space="0"/>
              <w:bottom w:val="nil"/>
              <w:right w:val="single" w:color="000000" w:sz="2" w:space="0"/>
            </w:tcBorders>
            <w:vAlign w:val="top"/>
          </w:tcPr>
          <w:p w14:paraId="796E5094">
            <w:pPr>
              <w:rPr>
                <w:rFonts w:ascii="Arial"/>
                <w:sz w:val="21"/>
              </w:rPr>
            </w:pPr>
          </w:p>
        </w:tc>
        <w:tc>
          <w:tcPr>
            <w:tcW w:w="646" w:type="dxa"/>
            <w:tcBorders>
              <w:left w:val="single" w:color="000000" w:sz="2" w:space="0"/>
            </w:tcBorders>
            <w:vAlign w:val="top"/>
          </w:tcPr>
          <w:p w14:paraId="2010EC2C">
            <w:pPr>
              <w:spacing w:before="156" w:line="192" w:lineRule="auto"/>
              <w:ind w:left="32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982" w:type="dxa"/>
            <w:gridSpan w:val="2"/>
            <w:vAlign w:val="top"/>
          </w:tcPr>
          <w:p w14:paraId="4DAE1777">
            <w:pPr>
              <w:pStyle w:val="6"/>
              <w:spacing w:before="118" w:line="228" w:lineRule="auto"/>
              <w:ind w:left="567"/>
              <w:rPr>
                <w:sz w:val="20"/>
                <w:szCs w:val="20"/>
              </w:rPr>
            </w:pPr>
            <w:r>
              <w:rPr>
                <w:spacing w:val="7"/>
                <w:sz w:val="20"/>
                <w:szCs w:val="20"/>
              </w:rPr>
              <w:t>废润滑油</w:t>
            </w:r>
          </w:p>
        </w:tc>
        <w:tc>
          <w:tcPr>
            <w:tcW w:w="1275" w:type="dxa"/>
            <w:gridSpan w:val="2"/>
            <w:vAlign w:val="top"/>
          </w:tcPr>
          <w:p w14:paraId="7F503DA5">
            <w:pPr>
              <w:spacing w:before="149" w:line="199" w:lineRule="auto"/>
              <w:ind w:left="6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94" w:type="dxa"/>
            <w:gridSpan w:val="2"/>
            <w:vAlign w:val="top"/>
          </w:tcPr>
          <w:p w14:paraId="1EF8D302">
            <w:pPr>
              <w:spacing w:before="153" w:line="195" w:lineRule="auto"/>
              <w:ind w:left="7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0.15</w:t>
            </w:r>
          </w:p>
        </w:tc>
        <w:tc>
          <w:tcPr>
            <w:tcW w:w="1499" w:type="dxa"/>
            <w:gridSpan w:val="2"/>
            <w:vAlign w:val="top"/>
          </w:tcPr>
          <w:p w14:paraId="496D550D">
            <w:pPr>
              <w:spacing w:before="153" w:line="195" w:lineRule="auto"/>
              <w:ind w:left="652"/>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210" w:type="dxa"/>
            <w:tcBorders>
              <w:right w:val="single" w:color="000000" w:sz="6" w:space="0"/>
            </w:tcBorders>
            <w:vAlign w:val="top"/>
          </w:tcPr>
          <w:p w14:paraId="743313F1">
            <w:pPr>
              <w:spacing w:before="153"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0.0030</w:t>
            </w:r>
          </w:p>
        </w:tc>
      </w:tr>
      <w:tr w14:paraId="024C23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495" w:type="dxa"/>
            <w:vMerge w:val="continue"/>
            <w:tcBorders>
              <w:top w:val="nil"/>
              <w:left w:val="single" w:color="000000" w:sz="6" w:space="0"/>
              <w:bottom w:val="nil"/>
              <w:right w:val="single" w:color="000000" w:sz="2" w:space="0"/>
            </w:tcBorders>
            <w:vAlign w:val="top"/>
          </w:tcPr>
          <w:p w14:paraId="3F4289D1">
            <w:pPr>
              <w:rPr>
                <w:rFonts w:ascii="Arial"/>
                <w:sz w:val="21"/>
              </w:rPr>
            </w:pPr>
          </w:p>
        </w:tc>
        <w:tc>
          <w:tcPr>
            <w:tcW w:w="646" w:type="dxa"/>
            <w:tcBorders>
              <w:left w:val="single" w:color="000000" w:sz="2" w:space="0"/>
            </w:tcBorders>
            <w:vAlign w:val="top"/>
          </w:tcPr>
          <w:p w14:paraId="3A151E4C">
            <w:pPr>
              <w:spacing w:before="153" w:line="195" w:lineRule="auto"/>
              <w:ind w:left="319"/>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982" w:type="dxa"/>
            <w:gridSpan w:val="2"/>
            <w:vAlign w:val="top"/>
          </w:tcPr>
          <w:p w14:paraId="25CD751D">
            <w:pPr>
              <w:pStyle w:val="6"/>
              <w:spacing w:before="117" w:line="229" w:lineRule="auto"/>
              <w:ind w:left="675"/>
              <w:rPr>
                <w:sz w:val="20"/>
                <w:szCs w:val="20"/>
              </w:rPr>
            </w:pPr>
            <w:r>
              <w:rPr>
                <w:spacing w:val="6"/>
                <w:sz w:val="20"/>
                <w:szCs w:val="20"/>
              </w:rPr>
              <w:t>落地油</w:t>
            </w:r>
          </w:p>
        </w:tc>
        <w:tc>
          <w:tcPr>
            <w:tcW w:w="1275" w:type="dxa"/>
            <w:gridSpan w:val="2"/>
            <w:vAlign w:val="top"/>
          </w:tcPr>
          <w:p w14:paraId="3250D5CB">
            <w:pPr>
              <w:spacing w:before="149" w:line="199" w:lineRule="auto"/>
              <w:ind w:left="6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94" w:type="dxa"/>
            <w:gridSpan w:val="2"/>
            <w:vAlign w:val="top"/>
          </w:tcPr>
          <w:p w14:paraId="56CBE177">
            <w:pPr>
              <w:spacing w:before="153" w:line="195" w:lineRule="auto"/>
              <w:ind w:left="7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0.15</w:t>
            </w:r>
          </w:p>
        </w:tc>
        <w:tc>
          <w:tcPr>
            <w:tcW w:w="1499" w:type="dxa"/>
            <w:gridSpan w:val="2"/>
            <w:vAlign w:val="top"/>
          </w:tcPr>
          <w:p w14:paraId="32AB48F5">
            <w:pPr>
              <w:spacing w:before="153" w:line="195" w:lineRule="auto"/>
              <w:ind w:left="652"/>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210" w:type="dxa"/>
            <w:tcBorders>
              <w:right w:val="single" w:color="000000" w:sz="6" w:space="0"/>
            </w:tcBorders>
            <w:vAlign w:val="top"/>
          </w:tcPr>
          <w:p w14:paraId="5CA28014">
            <w:pPr>
              <w:spacing w:before="153"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0.0030</w:t>
            </w:r>
          </w:p>
        </w:tc>
      </w:tr>
      <w:tr w14:paraId="3C174D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495" w:type="dxa"/>
            <w:vMerge w:val="continue"/>
            <w:tcBorders>
              <w:top w:val="nil"/>
              <w:left w:val="single" w:color="000000" w:sz="6" w:space="0"/>
              <w:bottom w:val="nil"/>
              <w:right w:val="single" w:color="000000" w:sz="2" w:space="0"/>
            </w:tcBorders>
            <w:vAlign w:val="top"/>
          </w:tcPr>
          <w:p w14:paraId="5E8974C7">
            <w:pPr>
              <w:rPr>
                <w:rFonts w:ascii="Arial"/>
                <w:sz w:val="21"/>
              </w:rPr>
            </w:pPr>
          </w:p>
        </w:tc>
        <w:tc>
          <w:tcPr>
            <w:tcW w:w="646" w:type="dxa"/>
            <w:tcBorders>
              <w:left w:val="single" w:color="000000" w:sz="2" w:space="0"/>
            </w:tcBorders>
            <w:vAlign w:val="top"/>
          </w:tcPr>
          <w:p w14:paraId="392B1DFB">
            <w:pPr>
              <w:spacing w:before="159" w:line="192" w:lineRule="auto"/>
              <w:ind w:left="318"/>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982" w:type="dxa"/>
            <w:gridSpan w:val="2"/>
            <w:vAlign w:val="top"/>
          </w:tcPr>
          <w:p w14:paraId="704CC752">
            <w:pPr>
              <w:pStyle w:val="6"/>
              <w:spacing w:before="120" w:line="227" w:lineRule="auto"/>
              <w:ind w:left="464"/>
              <w:rPr>
                <w:sz w:val="20"/>
                <w:szCs w:val="20"/>
              </w:rPr>
            </w:pPr>
            <w:r>
              <w:rPr>
                <w:spacing w:val="8"/>
                <w:sz w:val="20"/>
                <w:szCs w:val="20"/>
              </w:rPr>
              <w:t>废防渗材料</w:t>
            </w:r>
          </w:p>
        </w:tc>
        <w:tc>
          <w:tcPr>
            <w:tcW w:w="1275" w:type="dxa"/>
            <w:gridSpan w:val="2"/>
            <w:vAlign w:val="top"/>
          </w:tcPr>
          <w:p w14:paraId="3CFCEA41">
            <w:pPr>
              <w:spacing w:before="152" w:line="199" w:lineRule="auto"/>
              <w:ind w:left="6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94" w:type="dxa"/>
            <w:gridSpan w:val="2"/>
            <w:vAlign w:val="top"/>
          </w:tcPr>
          <w:p w14:paraId="27FF60CB">
            <w:pPr>
              <w:spacing w:before="156" w:line="195" w:lineRule="auto"/>
              <w:ind w:left="7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499" w:type="dxa"/>
            <w:gridSpan w:val="2"/>
            <w:vAlign w:val="top"/>
          </w:tcPr>
          <w:p w14:paraId="7EBDC8BF">
            <w:pPr>
              <w:spacing w:before="156" w:line="195" w:lineRule="auto"/>
              <w:ind w:left="652"/>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210" w:type="dxa"/>
            <w:tcBorders>
              <w:right w:val="single" w:color="000000" w:sz="6" w:space="0"/>
            </w:tcBorders>
            <w:vAlign w:val="top"/>
          </w:tcPr>
          <w:p w14:paraId="1EF593F5">
            <w:pPr>
              <w:spacing w:before="156"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0.0100</w:t>
            </w:r>
          </w:p>
        </w:tc>
      </w:tr>
      <w:tr w14:paraId="3C1084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trPr>
        <w:tc>
          <w:tcPr>
            <w:tcW w:w="495" w:type="dxa"/>
            <w:vMerge w:val="continue"/>
            <w:tcBorders>
              <w:top w:val="nil"/>
              <w:left w:val="single" w:color="000000" w:sz="6" w:space="0"/>
              <w:bottom w:val="nil"/>
              <w:right w:val="single" w:color="000000" w:sz="2" w:space="0"/>
            </w:tcBorders>
            <w:vAlign w:val="top"/>
          </w:tcPr>
          <w:p w14:paraId="38231E4D">
            <w:pPr>
              <w:rPr>
                <w:rFonts w:ascii="Arial"/>
                <w:sz w:val="21"/>
              </w:rPr>
            </w:pPr>
          </w:p>
        </w:tc>
        <w:tc>
          <w:tcPr>
            <w:tcW w:w="7196" w:type="dxa"/>
            <w:gridSpan w:val="9"/>
            <w:tcBorders>
              <w:left w:val="single" w:color="000000" w:sz="2" w:space="0"/>
              <w:bottom w:val="single" w:color="000000" w:sz="10" w:space="0"/>
            </w:tcBorders>
            <w:vAlign w:val="top"/>
          </w:tcPr>
          <w:p w14:paraId="385E7E42">
            <w:pPr>
              <w:pStyle w:val="6"/>
              <w:spacing w:before="119" w:line="221" w:lineRule="auto"/>
              <w:ind w:left="3137"/>
              <w:rPr>
                <w:rFonts w:ascii="Times New Roman" w:hAnsi="Times New Roman" w:eastAsia="Times New Roman" w:cs="Times New Roman"/>
                <w:sz w:val="20"/>
                <w:szCs w:val="20"/>
              </w:rPr>
            </w:pPr>
            <w:r>
              <w:rPr>
                <w:spacing w:val="14"/>
                <w:sz w:val="20"/>
                <w:szCs w:val="20"/>
              </w:rPr>
              <w:t>项目</w:t>
            </w:r>
            <w:r>
              <w:rPr>
                <w:rFonts w:ascii="Times New Roman" w:hAnsi="Times New Roman" w:eastAsia="Times New Roman" w:cs="Times New Roman"/>
                <w:spacing w:val="14"/>
                <w:sz w:val="20"/>
                <w:szCs w:val="20"/>
              </w:rPr>
              <w:t xml:space="preserve">Q </w:t>
            </w:r>
            <w:r>
              <w:rPr>
                <w:spacing w:val="14"/>
                <w:sz w:val="20"/>
                <w:szCs w:val="20"/>
              </w:rPr>
              <w:t>值</w:t>
            </w:r>
            <w:r>
              <w:rPr>
                <w:rFonts w:ascii="Times New Roman" w:hAnsi="Times New Roman" w:eastAsia="Times New Roman" w:cs="Times New Roman"/>
                <w:spacing w:val="14"/>
                <w:sz w:val="20"/>
                <w:szCs w:val="20"/>
              </w:rPr>
              <w:t>∑</w:t>
            </w:r>
          </w:p>
        </w:tc>
        <w:tc>
          <w:tcPr>
            <w:tcW w:w="1210" w:type="dxa"/>
            <w:tcBorders>
              <w:bottom w:val="single" w:color="000000" w:sz="10" w:space="0"/>
              <w:right w:val="single" w:color="000000" w:sz="6" w:space="0"/>
            </w:tcBorders>
            <w:vAlign w:val="top"/>
          </w:tcPr>
          <w:p w14:paraId="54FBCC98">
            <w:pPr>
              <w:spacing w:before="155"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0.1490</w:t>
            </w:r>
          </w:p>
        </w:tc>
      </w:tr>
      <w:tr w14:paraId="2A32E6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495" w:type="dxa"/>
            <w:vMerge w:val="continue"/>
            <w:tcBorders>
              <w:top w:val="nil"/>
              <w:left w:val="single" w:color="000000" w:sz="6" w:space="0"/>
              <w:bottom w:val="single" w:color="000000" w:sz="6" w:space="0"/>
              <w:right w:val="single" w:color="000000" w:sz="2" w:space="0"/>
            </w:tcBorders>
            <w:vAlign w:val="top"/>
          </w:tcPr>
          <w:p w14:paraId="482156F4">
            <w:pPr>
              <w:rPr>
                <w:rFonts w:ascii="Arial"/>
                <w:sz w:val="21"/>
              </w:rPr>
            </w:pPr>
          </w:p>
        </w:tc>
        <w:tc>
          <w:tcPr>
            <w:tcW w:w="8406" w:type="dxa"/>
            <w:gridSpan w:val="10"/>
            <w:tcBorders>
              <w:top w:val="single" w:color="000000" w:sz="10" w:space="0"/>
              <w:left w:val="single" w:color="000000" w:sz="2" w:space="0"/>
              <w:bottom w:val="single" w:color="000000" w:sz="6" w:space="0"/>
              <w:right w:val="single" w:color="000000" w:sz="6" w:space="0"/>
            </w:tcBorders>
            <w:vAlign w:val="top"/>
          </w:tcPr>
          <w:p w14:paraId="7EF1A225">
            <w:pPr>
              <w:pStyle w:val="6"/>
              <w:spacing w:before="41" w:line="210" w:lineRule="auto"/>
              <w:ind w:left="617"/>
            </w:pPr>
            <w:r>
              <w:t>由上表</w:t>
            </w:r>
            <w:r>
              <w:rPr>
                <w:spacing w:val="-52"/>
              </w:rPr>
              <w:t xml:space="preserve"> </w:t>
            </w:r>
            <w:r>
              <w:rPr>
                <w:rFonts w:ascii="Times New Roman" w:hAnsi="Times New Roman" w:eastAsia="Times New Roman" w:cs="Times New Roman"/>
              </w:rPr>
              <w:t xml:space="preserve">Q </w:t>
            </w:r>
            <w:r>
              <w:t>值结果可得出，项目环境风险潜势为</w:t>
            </w:r>
            <w:r>
              <w:rPr>
                <w:spacing w:val="-51"/>
              </w:rPr>
              <w:t xml:space="preserve"> </w:t>
            </w:r>
            <w:r>
              <w:rPr>
                <w:rFonts w:ascii="Times New Roman" w:hAnsi="Times New Roman" w:eastAsia="Times New Roman" w:cs="Times New Roman"/>
              </w:rPr>
              <w:t>I</w:t>
            </w:r>
            <w:r>
              <w:rPr>
                <w:rFonts w:ascii="Times New Roman" w:hAnsi="Times New Roman" w:eastAsia="Times New Roman" w:cs="Times New Roman"/>
                <w:spacing w:val="-30"/>
              </w:rPr>
              <w:t xml:space="preserve"> </w:t>
            </w:r>
            <w:r>
              <w:t>，环境风</w:t>
            </w:r>
            <w:r>
              <w:rPr>
                <w:spacing w:val="-1"/>
              </w:rPr>
              <w:t>险评价工作等级</w:t>
            </w:r>
          </w:p>
        </w:tc>
      </w:tr>
    </w:tbl>
    <w:p w14:paraId="31807840">
      <w:pPr>
        <w:rPr>
          <w:rFonts w:ascii="Arial"/>
          <w:sz w:val="21"/>
        </w:rPr>
      </w:pPr>
    </w:p>
    <w:p w14:paraId="74463C13">
      <w:pPr>
        <w:rPr>
          <w:rFonts w:ascii="Arial" w:hAnsi="Arial" w:eastAsia="Arial" w:cs="Arial"/>
          <w:sz w:val="21"/>
          <w:szCs w:val="21"/>
        </w:rPr>
        <w:sectPr>
          <w:footerReference r:id="rId79" w:type="default"/>
          <w:pgSz w:w="11906" w:h="16839"/>
          <w:pgMar w:top="400" w:right="1410" w:bottom="1240" w:left="1579" w:header="0" w:footer="1078" w:gutter="0"/>
          <w:cols w:space="720" w:num="1"/>
        </w:sectPr>
      </w:pPr>
    </w:p>
    <w:p w14:paraId="6462B4BF">
      <w:pPr>
        <w:spacing w:before="56"/>
      </w:pPr>
    </w:p>
    <w:p w14:paraId="26B1F86F">
      <w:pPr>
        <w:spacing w:before="56"/>
      </w:pPr>
    </w:p>
    <w:p w14:paraId="2348DCA3">
      <w:pPr>
        <w:spacing w:before="55"/>
      </w:pPr>
    </w:p>
    <w:p w14:paraId="12391BC7">
      <w:pPr>
        <w:spacing w:before="55"/>
      </w:pPr>
    </w:p>
    <w:tbl>
      <w:tblPr>
        <w:tblStyle w:val="5"/>
        <w:tblW w:w="8901"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5"/>
        <w:gridCol w:w="754"/>
        <w:gridCol w:w="1808"/>
        <w:gridCol w:w="1969"/>
        <w:gridCol w:w="111"/>
        <w:gridCol w:w="1423"/>
        <w:gridCol w:w="46"/>
        <w:gridCol w:w="2295"/>
      </w:tblGrid>
      <w:tr w14:paraId="3F5B9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6" w:hRule="atLeast"/>
        </w:trPr>
        <w:tc>
          <w:tcPr>
            <w:tcW w:w="495" w:type="dxa"/>
            <w:vMerge w:val="restart"/>
            <w:tcBorders>
              <w:top w:val="single" w:color="000000" w:sz="6" w:space="0"/>
              <w:left w:val="single" w:color="000000" w:sz="6" w:space="0"/>
              <w:bottom w:val="nil"/>
              <w:right w:val="single" w:color="000000" w:sz="2" w:space="0"/>
            </w:tcBorders>
            <w:vAlign w:val="top"/>
          </w:tcPr>
          <w:p w14:paraId="066C93B4">
            <w:pPr>
              <w:rPr>
                <w:rFonts w:ascii="Arial"/>
                <w:sz w:val="21"/>
              </w:rPr>
            </w:pPr>
          </w:p>
        </w:tc>
        <w:tc>
          <w:tcPr>
            <w:tcW w:w="8406" w:type="dxa"/>
            <w:gridSpan w:val="7"/>
            <w:tcBorders>
              <w:top w:val="single" w:color="000000" w:sz="6" w:space="0"/>
              <w:left w:val="single" w:color="000000" w:sz="2" w:space="0"/>
              <w:bottom w:val="single" w:color="000000" w:sz="10" w:space="0"/>
              <w:right w:val="single" w:color="000000" w:sz="6" w:space="0"/>
            </w:tcBorders>
            <w:vAlign w:val="top"/>
          </w:tcPr>
          <w:p w14:paraId="255117EC">
            <w:pPr>
              <w:pStyle w:val="6"/>
              <w:spacing w:before="39" w:line="219" w:lineRule="auto"/>
              <w:ind w:left="107"/>
            </w:pPr>
            <w:r>
              <w:rPr>
                <w:spacing w:val="-2"/>
              </w:rPr>
              <w:t>划分为简单分析。</w:t>
            </w:r>
          </w:p>
          <w:p w14:paraId="20F1696F">
            <w:pPr>
              <w:spacing w:before="183" w:line="214" w:lineRule="auto"/>
              <w:ind w:left="2968"/>
              <w:rPr>
                <w:rFonts w:ascii="黑体" w:hAnsi="黑体" w:eastAsia="黑体" w:cs="黑体"/>
                <w:sz w:val="24"/>
                <w:szCs w:val="24"/>
              </w:rPr>
            </w:pPr>
            <w:r>
              <w:rPr>
                <w:rFonts w:ascii="黑体" w:hAnsi="黑体" w:eastAsia="黑体" w:cs="黑体"/>
                <w:spacing w:val="-3"/>
                <w:sz w:val="24"/>
                <w:szCs w:val="24"/>
              </w:rPr>
              <w:t>表</w:t>
            </w:r>
            <w:r>
              <w:rPr>
                <w:rFonts w:ascii="Times New Roman" w:hAnsi="Times New Roman" w:eastAsia="Times New Roman" w:cs="Times New Roman"/>
                <w:spacing w:val="-3"/>
                <w:sz w:val="24"/>
                <w:szCs w:val="24"/>
              </w:rPr>
              <w:t>4-</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3"/>
                <w:sz w:val="24"/>
                <w:szCs w:val="24"/>
              </w:rPr>
              <w:t xml:space="preserve">13  </w:t>
            </w:r>
            <w:r>
              <w:rPr>
                <w:rFonts w:ascii="黑体" w:hAnsi="黑体" w:eastAsia="黑体" w:cs="黑体"/>
                <w:spacing w:val="-3"/>
                <w:sz w:val="24"/>
                <w:szCs w:val="24"/>
              </w:rPr>
              <w:t>原油的理化性质</w:t>
            </w:r>
          </w:p>
        </w:tc>
      </w:tr>
      <w:tr w14:paraId="1EBE04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495" w:type="dxa"/>
            <w:vMerge w:val="continue"/>
            <w:tcBorders>
              <w:top w:val="nil"/>
              <w:left w:val="single" w:color="000000" w:sz="6" w:space="0"/>
              <w:bottom w:val="nil"/>
              <w:right w:val="single" w:color="000000" w:sz="2" w:space="0"/>
            </w:tcBorders>
            <w:vAlign w:val="top"/>
          </w:tcPr>
          <w:p w14:paraId="506F58D2">
            <w:pPr>
              <w:rPr>
                <w:rFonts w:ascii="Arial"/>
                <w:sz w:val="21"/>
              </w:rPr>
            </w:pPr>
          </w:p>
        </w:tc>
        <w:tc>
          <w:tcPr>
            <w:tcW w:w="754" w:type="dxa"/>
            <w:vMerge w:val="restart"/>
            <w:tcBorders>
              <w:top w:val="single" w:color="000000" w:sz="10" w:space="0"/>
              <w:left w:val="single" w:color="000000" w:sz="2" w:space="0"/>
              <w:bottom w:val="nil"/>
            </w:tcBorders>
            <w:vAlign w:val="top"/>
          </w:tcPr>
          <w:p w14:paraId="5CAA8893">
            <w:pPr>
              <w:spacing w:line="306" w:lineRule="auto"/>
              <w:rPr>
                <w:rFonts w:ascii="Arial"/>
                <w:sz w:val="21"/>
              </w:rPr>
            </w:pPr>
          </w:p>
          <w:p w14:paraId="566A514D">
            <w:pPr>
              <w:pStyle w:val="6"/>
              <w:spacing w:before="65" w:line="228" w:lineRule="auto"/>
              <w:ind w:left="221"/>
              <w:rPr>
                <w:sz w:val="20"/>
                <w:szCs w:val="20"/>
              </w:rPr>
            </w:pPr>
            <w:r>
              <w:rPr>
                <w:spacing w:val="4"/>
                <w:sz w:val="20"/>
                <w:szCs w:val="20"/>
              </w:rPr>
              <w:t>标识</w:t>
            </w:r>
          </w:p>
        </w:tc>
        <w:tc>
          <w:tcPr>
            <w:tcW w:w="1808" w:type="dxa"/>
            <w:tcBorders>
              <w:top w:val="single" w:color="000000" w:sz="10" w:space="0"/>
            </w:tcBorders>
            <w:vAlign w:val="top"/>
          </w:tcPr>
          <w:p w14:paraId="2B1F175D">
            <w:pPr>
              <w:pStyle w:val="6"/>
              <w:spacing w:before="47" w:line="228" w:lineRule="auto"/>
              <w:ind w:left="606"/>
              <w:rPr>
                <w:sz w:val="20"/>
                <w:szCs w:val="20"/>
              </w:rPr>
            </w:pPr>
            <w:r>
              <w:rPr>
                <w:sz w:val="20"/>
                <w:szCs w:val="20"/>
              </w:rPr>
              <w:t>中文名</w:t>
            </w:r>
          </w:p>
        </w:tc>
        <w:tc>
          <w:tcPr>
            <w:tcW w:w="1969" w:type="dxa"/>
            <w:tcBorders>
              <w:top w:val="single" w:color="000000" w:sz="10" w:space="0"/>
            </w:tcBorders>
            <w:vAlign w:val="top"/>
          </w:tcPr>
          <w:p w14:paraId="2833E264">
            <w:pPr>
              <w:pStyle w:val="6"/>
              <w:spacing w:before="47" w:line="232" w:lineRule="auto"/>
              <w:ind w:left="781"/>
              <w:rPr>
                <w:sz w:val="20"/>
                <w:szCs w:val="20"/>
              </w:rPr>
            </w:pPr>
            <w:r>
              <w:rPr>
                <w:spacing w:val="2"/>
                <w:sz w:val="20"/>
                <w:szCs w:val="20"/>
              </w:rPr>
              <w:t>原油</w:t>
            </w:r>
          </w:p>
        </w:tc>
        <w:tc>
          <w:tcPr>
            <w:tcW w:w="1534" w:type="dxa"/>
            <w:gridSpan w:val="2"/>
            <w:tcBorders>
              <w:top w:val="single" w:color="000000" w:sz="10" w:space="0"/>
            </w:tcBorders>
            <w:vAlign w:val="top"/>
          </w:tcPr>
          <w:p w14:paraId="5118A1A9">
            <w:pPr>
              <w:pStyle w:val="6"/>
              <w:spacing w:before="47" w:line="228" w:lineRule="auto"/>
              <w:ind w:left="459"/>
              <w:rPr>
                <w:sz w:val="20"/>
                <w:szCs w:val="20"/>
              </w:rPr>
            </w:pPr>
            <w:r>
              <w:rPr>
                <w:spacing w:val="6"/>
                <w:sz w:val="20"/>
                <w:szCs w:val="20"/>
              </w:rPr>
              <w:t>英文名</w:t>
            </w:r>
          </w:p>
        </w:tc>
        <w:tc>
          <w:tcPr>
            <w:tcW w:w="2341" w:type="dxa"/>
            <w:gridSpan w:val="2"/>
            <w:tcBorders>
              <w:top w:val="single" w:color="000000" w:sz="10" w:space="0"/>
              <w:right w:val="single" w:color="000000" w:sz="6" w:space="0"/>
            </w:tcBorders>
            <w:vAlign w:val="top"/>
          </w:tcPr>
          <w:p w14:paraId="4113F5BE">
            <w:pPr>
              <w:pStyle w:val="6"/>
              <w:spacing w:before="46" w:line="230" w:lineRule="auto"/>
              <w:ind w:left="18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Petroleum</w:t>
            </w:r>
            <w:r>
              <w:rPr>
                <w:spacing w:val="4"/>
                <w:sz w:val="20"/>
                <w:szCs w:val="20"/>
              </w:rPr>
              <w:t>；</w:t>
            </w:r>
            <w:r>
              <w:rPr>
                <w:rFonts w:ascii="Times New Roman" w:hAnsi="Times New Roman" w:eastAsia="Times New Roman" w:cs="Times New Roman"/>
                <w:spacing w:val="4"/>
                <w:sz w:val="20"/>
                <w:szCs w:val="20"/>
              </w:rPr>
              <w:t>Crude oil</w:t>
            </w:r>
          </w:p>
        </w:tc>
      </w:tr>
      <w:tr w14:paraId="584F01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495" w:type="dxa"/>
            <w:vMerge w:val="continue"/>
            <w:tcBorders>
              <w:top w:val="nil"/>
              <w:left w:val="single" w:color="000000" w:sz="6" w:space="0"/>
              <w:bottom w:val="nil"/>
              <w:right w:val="single" w:color="000000" w:sz="2" w:space="0"/>
            </w:tcBorders>
            <w:vAlign w:val="top"/>
          </w:tcPr>
          <w:p w14:paraId="4A3E6F49">
            <w:pPr>
              <w:rPr>
                <w:rFonts w:ascii="Arial"/>
                <w:sz w:val="21"/>
              </w:rPr>
            </w:pPr>
          </w:p>
        </w:tc>
        <w:tc>
          <w:tcPr>
            <w:tcW w:w="754" w:type="dxa"/>
            <w:vMerge w:val="continue"/>
            <w:tcBorders>
              <w:top w:val="nil"/>
              <w:left w:val="single" w:color="000000" w:sz="2" w:space="0"/>
              <w:bottom w:val="nil"/>
            </w:tcBorders>
            <w:vAlign w:val="top"/>
          </w:tcPr>
          <w:p w14:paraId="121CB424">
            <w:pPr>
              <w:rPr>
                <w:rFonts w:ascii="Arial"/>
                <w:sz w:val="21"/>
              </w:rPr>
            </w:pPr>
          </w:p>
        </w:tc>
        <w:tc>
          <w:tcPr>
            <w:tcW w:w="1808" w:type="dxa"/>
            <w:vAlign w:val="top"/>
          </w:tcPr>
          <w:p w14:paraId="57892B3B">
            <w:pPr>
              <w:pStyle w:val="6"/>
              <w:spacing w:before="54" w:line="227" w:lineRule="auto"/>
              <w:ind w:left="275"/>
              <w:rPr>
                <w:sz w:val="20"/>
                <w:szCs w:val="20"/>
              </w:rPr>
            </w:pPr>
            <w:r>
              <w:rPr>
                <w:spacing w:val="7"/>
                <w:sz w:val="20"/>
                <w:szCs w:val="20"/>
              </w:rPr>
              <w:t>危险货物编号</w:t>
            </w:r>
          </w:p>
        </w:tc>
        <w:tc>
          <w:tcPr>
            <w:tcW w:w="1969" w:type="dxa"/>
            <w:vAlign w:val="top"/>
          </w:tcPr>
          <w:p w14:paraId="2B2C4DC6">
            <w:pPr>
              <w:spacing w:before="90" w:line="195" w:lineRule="auto"/>
              <w:ind w:left="72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32003</w:t>
            </w:r>
          </w:p>
        </w:tc>
        <w:tc>
          <w:tcPr>
            <w:tcW w:w="1534" w:type="dxa"/>
            <w:gridSpan w:val="2"/>
            <w:vAlign w:val="top"/>
          </w:tcPr>
          <w:p w14:paraId="4AD368AA">
            <w:pPr>
              <w:pStyle w:val="6"/>
              <w:spacing w:before="54" w:line="228" w:lineRule="auto"/>
              <w:ind w:left="376"/>
              <w:rPr>
                <w:sz w:val="20"/>
                <w:szCs w:val="20"/>
              </w:rPr>
            </w:pPr>
            <w:r>
              <w:rPr>
                <w:rFonts w:ascii="Times New Roman" w:hAnsi="Times New Roman" w:eastAsia="Times New Roman" w:cs="Times New Roman"/>
                <w:sz w:val="20"/>
                <w:szCs w:val="20"/>
              </w:rPr>
              <w:t>UN</w:t>
            </w:r>
            <w:r>
              <w:rPr>
                <w:rFonts w:ascii="Times New Roman" w:hAnsi="Times New Roman" w:eastAsia="Times New Roman" w:cs="Times New Roman"/>
                <w:spacing w:val="12"/>
                <w:w w:val="101"/>
                <w:sz w:val="20"/>
                <w:szCs w:val="20"/>
              </w:rPr>
              <w:t xml:space="preserve"> </w:t>
            </w:r>
            <w:r>
              <w:rPr>
                <w:spacing w:val="10"/>
                <w:sz w:val="20"/>
                <w:szCs w:val="20"/>
              </w:rPr>
              <w:t>编号</w:t>
            </w:r>
          </w:p>
        </w:tc>
        <w:tc>
          <w:tcPr>
            <w:tcW w:w="2341" w:type="dxa"/>
            <w:gridSpan w:val="2"/>
            <w:tcBorders>
              <w:right w:val="single" w:color="000000" w:sz="6" w:space="0"/>
            </w:tcBorders>
            <w:vAlign w:val="top"/>
          </w:tcPr>
          <w:p w14:paraId="5FFC1CDD">
            <w:pPr>
              <w:pStyle w:val="6"/>
              <w:spacing w:before="54" w:line="230" w:lineRule="auto"/>
              <w:ind w:left="6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1267</w:t>
            </w:r>
            <w:r>
              <w:rPr>
                <w:spacing w:val="2"/>
                <w:sz w:val="20"/>
                <w:szCs w:val="20"/>
              </w:rPr>
              <w:t>；</w:t>
            </w:r>
            <w:r>
              <w:rPr>
                <w:rFonts w:ascii="Times New Roman" w:hAnsi="Times New Roman" w:eastAsia="Times New Roman" w:cs="Times New Roman"/>
                <w:spacing w:val="2"/>
                <w:sz w:val="20"/>
                <w:szCs w:val="20"/>
              </w:rPr>
              <w:t>1255</w:t>
            </w:r>
          </w:p>
        </w:tc>
      </w:tr>
      <w:tr w14:paraId="72B8A8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495" w:type="dxa"/>
            <w:vMerge w:val="continue"/>
            <w:tcBorders>
              <w:top w:val="nil"/>
              <w:left w:val="single" w:color="000000" w:sz="6" w:space="0"/>
              <w:bottom w:val="nil"/>
              <w:right w:val="single" w:color="000000" w:sz="2" w:space="0"/>
            </w:tcBorders>
            <w:vAlign w:val="top"/>
          </w:tcPr>
          <w:p w14:paraId="319CA3B8">
            <w:pPr>
              <w:rPr>
                <w:rFonts w:ascii="Arial"/>
                <w:sz w:val="21"/>
              </w:rPr>
            </w:pPr>
          </w:p>
        </w:tc>
        <w:tc>
          <w:tcPr>
            <w:tcW w:w="754" w:type="dxa"/>
            <w:vMerge w:val="continue"/>
            <w:tcBorders>
              <w:top w:val="nil"/>
              <w:left w:val="single" w:color="000000" w:sz="2" w:space="0"/>
            </w:tcBorders>
            <w:vAlign w:val="top"/>
          </w:tcPr>
          <w:p w14:paraId="3CE86100">
            <w:pPr>
              <w:rPr>
                <w:rFonts w:ascii="Arial"/>
                <w:sz w:val="21"/>
              </w:rPr>
            </w:pPr>
          </w:p>
        </w:tc>
        <w:tc>
          <w:tcPr>
            <w:tcW w:w="1808" w:type="dxa"/>
            <w:vAlign w:val="top"/>
          </w:tcPr>
          <w:p w14:paraId="7EEA8D57">
            <w:pPr>
              <w:pStyle w:val="6"/>
              <w:spacing w:before="54" w:line="229" w:lineRule="auto"/>
              <w:ind w:left="567"/>
              <w:rPr>
                <w:sz w:val="20"/>
                <w:szCs w:val="20"/>
              </w:rPr>
            </w:pPr>
            <w:r>
              <w:rPr>
                <w:rFonts w:ascii="Times New Roman" w:hAnsi="Times New Roman" w:eastAsia="Times New Roman" w:cs="Times New Roman"/>
                <w:sz w:val="20"/>
                <w:szCs w:val="20"/>
              </w:rPr>
              <w:t>CAS</w:t>
            </w:r>
            <w:r>
              <w:rPr>
                <w:rFonts w:ascii="Times New Roman" w:hAnsi="Times New Roman" w:eastAsia="Times New Roman" w:cs="Times New Roman"/>
                <w:spacing w:val="17"/>
                <w:sz w:val="20"/>
                <w:szCs w:val="20"/>
              </w:rPr>
              <w:t xml:space="preserve"> </w:t>
            </w:r>
            <w:r>
              <w:rPr>
                <w:spacing w:val="9"/>
                <w:sz w:val="20"/>
                <w:szCs w:val="20"/>
              </w:rPr>
              <w:t>号</w:t>
            </w:r>
          </w:p>
        </w:tc>
        <w:tc>
          <w:tcPr>
            <w:tcW w:w="1969" w:type="dxa"/>
            <w:vAlign w:val="top"/>
          </w:tcPr>
          <w:p w14:paraId="4A469035">
            <w:pPr>
              <w:spacing w:before="90" w:line="195" w:lineRule="auto"/>
              <w:ind w:left="5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8002-05-9</w:t>
            </w:r>
          </w:p>
        </w:tc>
        <w:tc>
          <w:tcPr>
            <w:tcW w:w="1534" w:type="dxa"/>
            <w:gridSpan w:val="2"/>
            <w:vAlign w:val="top"/>
          </w:tcPr>
          <w:p w14:paraId="0C9665C0">
            <w:pPr>
              <w:pStyle w:val="6"/>
              <w:spacing w:before="55" w:line="228" w:lineRule="auto"/>
              <w:ind w:left="460"/>
              <w:rPr>
                <w:sz w:val="20"/>
                <w:szCs w:val="20"/>
              </w:rPr>
            </w:pPr>
            <w:r>
              <w:rPr>
                <w:spacing w:val="6"/>
                <w:sz w:val="20"/>
                <w:szCs w:val="20"/>
              </w:rPr>
              <w:t>分子量</w:t>
            </w:r>
          </w:p>
        </w:tc>
        <w:tc>
          <w:tcPr>
            <w:tcW w:w="2341" w:type="dxa"/>
            <w:gridSpan w:val="2"/>
            <w:tcBorders>
              <w:right w:val="single" w:color="000000" w:sz="6" w:space="0"/>
            </w:tcBorders>
            <w:vAlign w:val="top"/>
          </w:tcPr>
          <w:p w14:paraId="6E6FEA4E">
            <w:pPr>
              <w:spacing w:before="86" w:line="199" w:lineRule="auto"/>
              <w:ind w:left="108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34817F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495" w:type="dxa"/>
            <w:vMerge w:val="continue"/>
            <w:tcBorders>
              <w:top w:val="nil"/>
              <w:left w:val="single" w:color="000000" w:sz="6" w:space="0"/>
              <w:bottom w:val="nil"/>
              <w:right w:val="single" w:color="000000" w:sz="2" w:space="0"/>
            </w:tcBorders>
            <w:vAlign w:val="top"/>
          </w:tcPr>
          <w:p w14:paraId="072AD41E">
            <w:pPr>
              <w:rPr>
                <w:rFonts w:ascii="Arial"/>
                <w:sz w:val="21"/>
              </w:rPr>
            </w:pPr>
          </w:p>
        </w:tc>
        <w:tc>
          <w:tcPr>
            <w:tcW w:w="754" w:type="dxa"/>
            <w:vMerge w:val="restart"/>
            <w:tcBorders>
              <w:left w:val="single" w:color="000000" w:sz="2" w:space="0"/>
              <w:bottom w:val="nil"/>
            </w:tcBorders>
            <w:vAlign w:val="top"/>
          </w:tcPr>
          <w:p w14:paraId="40E63509">
            <w:pPr>
              <w:spacing w:line="348" w:lineRule="auto"/>
              <w:rPr>
                <w:rFonts w:ascii="Arial"/>
                <w:sz w:val="21"/>
              </w:rPr>
            </w:pPr>
          </w:p>
          <w:p w14:paraId="7B1FB439">
            <w:pPr>
              <w:pStyle w:val="6"/>
              <w:spacing w:before="65" w:line="243" w:lineRule="auto"/>
              <w:ind w:left="223" w:right="116"/>
              <w:rPr>
                <w:sz w:val="20"/>
                <w:szCs w:val="20"/>
              </w:rPr>
            </w:pPr>
            <w:r>
              <w:rPr>
                <w:spacing w:val="3"/>
                <w:sz w:val="20"/>
                <w:szCs w:val="20"/>
              </w:rPr>
              <w:t>理化性质</w:t>
            </w:r>
          </w:p>
        </w:tc>
        <w:tc>
          <w:tcPr>
            <w:tcW w:w="1808" w:type="dxa"/>
            <w:vAlign w:val="top"/>
          </w:tcPr>
          <w:p w14:paraId="2A2C3AEE">
            <w:pPr>
              <w:pStyle w:val="6"/>
              <w:spacing w:before="54" w:line="228" w:lineRule="auto"/>
              <w:ind w:left="380"/>
              <w:rPr>
                <w:sz w:val="20"/>
                <w:szCs w:val="20"/>
              </w:rPr>
            </w:pPr>
            <w:r>
              <w:rPr>
                <w:spacing w:val="7"/>
                <w:sz w:val="20"/>
                <w:szCs w:val="20"/>
              </w:rPr>
              <w:t>外观与形状</w:t>
            </w:r>
          </w:p>
        </w:tc>
        <w:tc>
          <w:tcPr>
            <w:tcW w:w="5844" w:type="dxa"/>
            <w:gridSpan w:val="5"/>
            <w:tcBorders>
              <w:right w:val="single" w:color="000000" w:sz="6" w:space="0"/>
            </w:tcBorders>
            <w:vAlign w:val="top"/>
          </w:tcPr>
          <w:p w14:paraId="2377CD1D">
            <w:pPr>
              <w:pStyle w:val="6"/>
              <w:spacing w:before="54" w:line="228" w:lineRule="auto"/>
              <w:ind w:left="772"/>
              <w:rPr>
                <w:sz w:val="20"/>
                <w:szCs w:val="20"/>
              </w:rPr>
            </w:pPr>
            <w:r>
              <w:rPr>
                <w:spacing w:val="9"/>
                <w:sz w:val="20"/>
                <w:szCs w:val="20"/>
              </w:rPr>
              <w:t>浅黄色至黄色，有绿色荧光的稠厚性油状液体</w:t>
            </w:r>
          </w:p>
        </w:tc>
      </w:tr>
      <w:tr w14:paraId="714B9E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495" w:type="dxa"/>
            <w:vMerge w:val="continue"/>
            <w:tcBorders>
              <w:top w:val="nil"/>
              <w:left w:val="single" w:color="000000" w:sz="6" w:space="0"/>
              <w:bottom w:val="nil"/>
              <w:right w:val="single" w:color="000000" w:sz="2" w:space="0"/>
            </w:tcBorders>
            <w:vAlign w:val="top"/>
          </w:tcPr>
          <w:p w14:paraId="3BA11DCD">
            <w:pPr>
              <w:rPr>
                <w:rFonts w:ascii="Arial"/>
                <w:sz w:val="21"/>
              </w:rPr>
            </w:pPr>
          </w:p>
        </w:tc>
        <w:tc>
          <w:tcPr>
            <w:tcW w:w="754" w:type="dxa"/>
            <w:vMerge w:val="continue"/>
            <w:tcBorders>
              <w:top w:val="nil"/>
              <w:left w:val="single" w:color="000000" w:sz="2" w:space="0"/>
              <w:bottom w:val="nil"/>
            </w:tcBorders>
            <w:vAlign w:val="top"/>
          </w:tcPr>
          <w:p w14:paraId="65A942F6">
            <w:pPr>
              <w:rPr>
                <w:rFonts w:ascii="Arial"/>
                <w:sz w:val="21"/>
              </w:rPr>
            </w:pPr>
          </w:p>
        </w:tc>
        <w:tc>
          <w:tcPr>
            <w:tcW w:w="1808" w:type="dxa"/>
            <w:vAlign w:val="top"/>
          </w:tcPr>
          <w:p w14:paraId="384044BC">
            <w:pPr>
              <w:pStyle w:val="6"/>
              <w:spacing w:before="57" w:line="228" w:lineRule="auto"/>
              <w:ind w:left="481"/>
              <w:rPr>
                <w:sz w:val="20"/>
                <w:szCs w:val="20"/>
              </w:rPr>
            </w:pPr>
            <w:r>
              <w:rPr>
                <w:spacing w:val="7"/>
                <w:sz w:val="20"/>
                <w:szCs w:val="20"/>
              </w:rPr>
              <w:t>相对密度</w:t>
            </w:r>
          </w:p>
        </w:tc>
        <w:tc>
          <w:tcPr>
            <w:tcW w:w="5844" w:type="dxa"/>
            <w:gridSpan w:val="5"/>
            <w:tcBorders>
              <w:right w:val="single" w:color="000000" w:sz="6" w:space="0"/>
            </w:tcBorders>
            <w:vAlign w:val="top"/>
          </w:tcPr>
          <w:p w14:paraId="6B1621C2">
            <w:pPr>
              <w:pStyle w:val="6"/>
              <w:spacing w:before="19" w:line="281" w:lineRule="exact"/>
              <w:ind w:left="1222"/>
              <w:rPr>
                <w:rFonts w:ascii="Times New Roman" w:hAnsi="Times New Roman" w:eastAsia="Times New Roman" w:cs="Times New Roman"/>
                <w:sz w:val="20"/>
                <w:szCs w:val="20"/>
              </w:rPr>
            </w:pPr>
            <w:r>
              <w:rPr>
                <w:spacing w:val="4"/>
                <w:position w:val="1"/>
                <w:sz w:val="20"/>
                <w:szCs w:val="20"/>
              </w:rPr>
              <w:t>（水</w:t>
            </w:r>
            <w:r>
              <w:rPr>
                <w:rFonts w:ascii="Times New Roman" w:hAnsi="Times New Roman" w:eastAsia="Times New Roman" w:cs="Times New Roman"/>
                <w:spacing w:val="4"/>
                <w:position w:val="1"/>
                <w:sz w:val="20"/>
                <w:szCs w:val="20"/>
              </w:rPr>
              <w:t>=1</w:t>
            </w:r>
            <w:r>
              <w:rPr>
                <w:spacing w:val="4"/>
                <w:position w:val="1"/>
                <w:sz w:val="20"/>
                <w:szCs w:val="20"/>
              </w:rPr>
              <w:t>）</w:t>
            </w:r>
            <w:r>
              <w:rPr>
                <w:rFonts w:ascii="Times New Roman" w:hAnsi="Times New Roman" w:eastAsia="Times New Roman" w:cs="Times New Roman"/>
                <w:spacing w:val="4"/>
                <w:position w:val="1"/>
                <w:sz w:val="20"/>
                <w:szCs w:val="20"/>
              </w:rPr>
              <w:t>0.780-0.970</w:t>
            </w:r>
            <w:r>
              <w:rPr>
                <w:spacing w:val="4"/>
                <w:position w:val="1"/>
                <w:sz w:val="20"/>
                <w:szCs w:val="20"/>
              </w:rPr>
              <w:t>（空气</w:t>
            </w:r>
            <w:r>
              <w:rPr>
                <w:rFonts w:ascii="Times New Roman" w:hAnsi="Times New Roman" w:eastAsia="Times New Roman" w:cs="Times New Roman"/>
                <w:spacing w:val="4"/>
                <w:position w:val="1"/>
                <w:sz w:val="20"/>
                <w:szCs w:val="20"/>
              </w:rPr>
              <w:t>=1</w:t>
            </w:r>
            <w:r>
              <w:rPr>
                <w:spacing w:val="4"/>
                <w:position w:val="1"/>
                <w:sz w:val="20"/>
                <w:szCs w:val="20"/>
              </w:rPr>
              <w:t>）</w:t>
            </w:r>
            <w:r>
              <w:rPr>
                <w:rFonts w:ascii="Times New Roman" w:hAnsi="Times New Roman" w:eastAsia="Times New Roman" w:cs="Times New Roman"/>
                <w:spacing w:val="4"/>
                <w:position w:val="1"/>
                <w:sz w:val="20"/>
                <w:szCs w:val="20"/>
              </w:rPr>
              <w:t>&gt;</w:t>
            </w:r>
            <w:r>
              <w:rPr>
                <w:rFonts w:ascii="Times New Roman" w:hAnsi="Times New Roman" w:eastAsia="Times New Roman" w:cs="Times New Roman"/>
                <w:spacing w:val="-18"/>
                <w:position w:val="1"/>
                <w:sz w:val="20"/>
                <w:szCs w:val="20"/>
              </w:rPr>
              <w:t xml:space="preserve"> </w:t>
            </w:r>
            <w:r>
              <w:rPr>
                <w:rFonts w:ascii="Times New Roman" w:hAnsi="Times New Roman" w:eastAsia="Times New Roman" w:cs="Times New Roman"/>
                <w:spacing w:val="4"/>
                <w:position w:val="1"/>
                <w:sz w:val="20"/>
                <w:szCs w:val="20"/>
              </w:rPr>
              <w:t>1.0</w:t>
            </w:r>
          </w:p>
        </w:tc>
      </w:tr>
      <w:tr w14:paraId="5E856E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495" w:type="dxa"/>
            <w:vMerge w:val="continue"/>
            <w:tcBorders>
              <w:top w:val="nil"/>
              <w:left w:val="single" w:color="000000" w:sz="6" w:space="0"/>
              <w:bottom w:val="nil"/>
              <w:right w:val="single" w:color="000000" w:sz="2" w:space="0"/>
            </w:tcBorders>
            <w:vAlign w:val="top"/>
          </w:tcPr>
          <w:p w14:paraId="7C91D36F">
            <w:pPr>
              <w:rPr>
                <w:rFonts w:ascii="Arial"/>
                <w:sz w:val="21"/>
              </w:rPr>
            </w:pPr>
          </w:p>
        </w:tc>
        <w:tc>
          <w:tcPr>
            <w:tcW w:w="754" w:type="dxa"/>
            <w:vMerge w:val="continue"/>
            <w:tcBorders>
              <w:top w:val="nil"/>
              <w:left w:val="single" w:color="000000" w:sz="2" w:space="0"/>
              <w:bottom w:val="nil"/>
            </w:tcBorders>
            <w:vAlign w:val="top"/>
          </w:tcPr>
          <w:p w14:paraId="61F0508F">
            <w:pPr>
              <w:rPr>
                <w:rFonts w:ascii="Arial"/>
                <w:sz w:val="21"/>
              </w:rPr>
            </w:pPr>
          </w:p>
        </w:tc>
        <w:tc>
          <w:tcPr>
            <w:tcW w:w="1808" w:type="dxa"/>
            <w:vAlign w:val="top"/>
          </w:tcPr>
          <w:p w14:paraId="360A0B78">
            <w:pPr>
              <w:pStyle w:val="6"/>
              <w:spacing w:before="56" w:line="228" w:lineRule="auto"/>
              <w:ind w:left="105"/>
              <w:rPr>
                <w:rFonts w:ascii="Times New Roman" w:hAnsi="Times New Roman" w:eastAsia="Times New Roman" w:cs="Times New Roman"/>
                <w:sz w:val="20"/>
                <w:szCs w:val="20"/>
              </w:rPr>
            </w:pPr>
            <w:r>
              <w:rPr>
                <w:spacing w:val="-3"/>
                <w:sz w:val="20"/>
                <w:szCs w:val="20"/>
              </w:rPr>
              <w:t>熔（凝固）点：</w:t>
            </w:r>
            <w:r>
              <w:rPr>
                <w:rFonts w:ascii="Times New Roman" w:hAnsi="Times New Roman" w:eastAsia="Times New Roman" w:cs="Times New Roman"/>
                <w:spacing w:val="-3"/>
                <w:sz w:val="20"/>
                <w:szCs w:val="20"/>
              </w:rPr>
              <w:t>℃</w:t>
            </w:r>
          </w:p>
        </w:tc>
        <w:tc>
          <w:tcPr>
            <w:tcW w:w="1969" w:type="dxa"/>
            <w:vAlign w:val="top"/>
          </w:tcPr>
          <w:p w14:paraId="3D51D11E">
            <w:pPr>
              <w:spacing w:before="92" w:line="195" w:lineRule="auto"/>
              <w:ind w:left="7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-60℃</w:t>
            </w:r>
          </w:p>
        </w:tc>
        <w:tc>
          <w:tcPr>
            <w:tcW w:w="1534" w:type="dxa"/>
            <w:gridSpan w:val="2"/>
            <w:vAlign w:val="top"/>
          </w:tcPr>
          <w:p w14:paraId="2431BFF4">
            <w:pPr>
              <w:pStyle w:val="6"/>
              <w:spacing w:before="56" w:line="229" w:lineRule="auto"/>
              <w:ind w:left="351"/>
              <w:rPr>
                <w:rFonts w:ascii="Times New Roman" w:hAnsi="Times New Roman" w:eastAsia="Times New Roman" w:cs="Times New Roman"/>
                <w:sz w:val="20"/>
                <w:szCs w:val="20"/>
              </w:rPr>
            </w:pPr>
            <w:r>
              <w:rPr>
                <w:spacing w:val="7"/>
                <w:sz w:val="20"/>
                <w:szCs w:val="20"/>
              </w:rPr>
              <w:t>沸点：</w:t>
            </w:r>
            <w:r>
              <w:rPr>
                <w:rFonts w:ascii="Times New Roman" w:hAnsi="Times New Roman" w:eastAsia="Times New Roman" w:cs="Times New Roman"/>
                <w:spacing w:val="7"/>
                <w:sz w:val="20"/>
                <w:szCs w:val="20"/>
              </w:rPr>
              <w:t>℃</w:t>
            </w:r>
          </w:p>
        </w:tc>
        <w:tc>
          <w:tcPr>
            <w:tcW w:w="2341" w:type="dxa"/>
            <w:gridSpan w:val="2"/>
            <w:tcBorders>
              <w:right w:val="single" w:color="000000" w:sz="6" w:space="0"/>
            </w:tcBorders>
            <w:vAlign w:val="top"/>
          </w:tcPr>
          <w:p w14:paraId="14E0A751">
            <w:pPr>
              <w:pStyle w:val="6"/>
              <w:spacing w:before="56" w:line="228" w:lineRule="auto"/>
              <w:ind w:left="232"/>
              <w:rPr>
                <w:sz w:val="20"/>
                <w:szCs w:val="20"/>
              </w:rPr>
            </w:pPr>
            <w:r>
              <w:rPr>
                <w:spacing w:val="2"/>
                <w:sz w:val="20"/>
                <w:szCs w:val="20"/>
              </w:rPr>
              <w:t>自常温至</w:t>
            </w:r>
            <w:r>
              <w:rPr>
                <w:spacing w:val="-28"/>
                <w:sz w:val="20"/>
                <w:szCs w:val="20"/>
              </w:rPr>
              <w:t xml:space="preserve"> </w:t>
            </w:r>
            <w:r>
              <w:rPr>
                <w:rFonts w:ascii="Times New Roman" w:hAnsi="Times New Roman" w:eastAsia="Times New Roman" w:cs="Times New Roman"/>
                <w:spacing w:val="2"/>
                <w:sz w:val="20"/>
                <w:szCs w:val="20"/>
              </w:rPr>
              <w:t>500℃</w:t>
            </w:r>
            <w:r>
              <w:rPr>
                <w:spacing w:val="2"/>
                <w:sz w:val="20"/>
                <w:szCs w:val="20"/>
              </w:rPr>
              <w:t>以上</w:t>
            </w:r>
          </w:p>
        </w:tc>
      </w:tr>
      <w:tr w14:paraId="5F2624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495" w:type="dxa"/>
            <w:vMerge w:val="continue"/>
            <w:tcBorders>
              <w:top w:val="nil"/>
              <w:left w:val="single" w:color="000000" w:sz="6" w:space="0"/>
              <w:bottom w:val="nil"/>
              <w:right w:val="single" w:color="000000" w:sz="2" w:space="0"/>
            </w:tcBorders>
            <w:vAlign w:val="top"/>
          </w:tcPr>
          <w:p w14:paraId="45BF9357">
            <w:pPr>
              <w:rPr>
                <w:rFonts w:ascii="Arial"/>
                <w:sz w:val="21"/>
              </w:rPr>
            </w:pPr>
          </w:p>
        </w:tc>
        <w:tc>
          <w:tcPr>
            <w:tcW w:w="754" w:type="dxa"/>
            <w:vMerge w:val="continue"/>
            <w:tcBorders>
              <w:top w:val="nil"/>
              <w:left w:val="single" w:color="000000" w:sz="2" w:space="0"/>
            </w:tcBorders>
            <w:vAlign w:val="top"/>
          </w:tcPr>
          <w:p w14:paraId="63936F77">
            <w:pPr>
              <w:rPr>
                <w:rFonts w:ascii="Arial"/>
                <w:sz w:val="21"/>
              </w:rPr>
            </w:pPr>
          </w:p>
        </w:tc>
        <w:tc>
          <w:tcPr>
            <w:tcW w:w="1808" w:type="dxa"/>
            <w:vAlign w:val="top"/>
          </w:tcPr>
          <w:p w14:paraId="5FBA0D65">
            <w:pPr>
              <w:pStyle w:val="6"/>
              <w:spacing w:before="57" w:line="228" w:lineRule="auto"/>
              <w:ind w:left="589"/>
              <w:rPr>
                <w:sz w:val="20"/>
                <w:szCs w:val="20"/>
              </w:rPr>
            </w:pPr>
            <w:r>
              <w:rPr>
                <w:spacing w:val="6"/>
                <w:sz w:val="20"/>
                <w:szCs w:val="20"/>
              </w:rPr>
              <w:t>溶解性</w:t>
            </w:r>
          </w:p>
        </w:tc>
        <w:tc>
          <w:tcPr>
            <w:tcW w:w="5844" w:type="dxa"/>
            <w:gridSpan w:val="5"/>
            <w:tcBorders>
              <w:right w:val="single" w:color="000000" w:sz="6" w:space="0"/>
            </w:tcBorders>
            <w:vAlign w:val="top"/>
          </w:tcPr>
          <w:p w14:paraId="6B424812">
            <w:pPr>
              <w:pStyle w:val="6"/>
              <w:spacing w:before="56" w:line="227" w:lineRule="auto"/>
              <w:ind w:left="1506"/>
              <w:rPr>
                <w:sz w:val="20"/>
                <w:szCs w:val="20"/>
              </w:rPr>
            </w:pPr>
            <w:r>
              <w:rPr>
                <w:spacing w:val="9"/>
                <w:sz w:val="20"/>
                <w:szCs w:val="20"/>
              </w:rPr>
              <w:t>不溶于水，溶于多数有机溶剂</w:t>
            </w:r>
          </w:p>
        </w:tc>
      </w:tr>
      <w:tr w14:paraId="180257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495" w:type="dxa"/>
            <w:vMerge w:val="continue"/>
            <w:tcBorders>
              <w:top w:val="nil"/>
              <w:left w:val="single" w:color="000000" w:sz="6" w:space="0"/>
              <w:bottom w:val="nil"/>
              <w:right w:val="single" w:color="000000" w:sz="2" w:space="0"/>
            </w:tcBorders>
            <w:vAlign w:val="top"/>
          </w:tcPr>
          <w:p w14:paraId="223BBA01">
            <w:pPr>
              <w:rPr>
                <w:rFonts w:ascii="Arial"/>
                <w:sz w:val="21"/>
              </w:rPr>
            </w:pPr>
          </w:p>
        </w:tc>
        <w:tc>
          <w:tcPr>
            <w:tcW w:w="754" w:type="dxa"/>
            <w:vMerge w:val="restart"/>
            <w:tcBorders>
              <w:left w:val="single" w:color="000000" w:sz="2" w:space="0"/>
              <w:bottom w:val="nil"/>
            </w:tcBorders>
            <w:vAlign w:val="top"/>
          </w:tcPr>
          <w:p w14:paraId="0CC3B365">
            <w:pPr>
              <w:spacing w:line="243" w:lineRule="auto"/>
              <w:rPr>
                <w:rFonts w:ascii="Arial"/>
                <w:sz w:val="21"/>
              </w:rPr>
            </w:pPr>
          </w:p>
          <w:p w14:paraId="5E3D3416">
            <w:pPr>
              <w:spacing w:line="243" w:lineRule="auto"/>
              <w:rPr>
                <w:rFonts w:ascii="Arial"/>
                <w:sz w:val="21"/>
              </w:rPr>
            </w:pPr>
          </w:p>
          <w:p w14:paraId="76316137">
            <w:pPr>
              <w:spacing w:line="244" w:lineRule="auto"/>
              <w:rPr>
                <w:rFonts w:ascii="Arial"/>
                <w:sz w:val="21"/>
              </w:rPr>
            </w:pPr>
          </w:p>
          <w:p w14:paraId="334BA3C5">
            <w:pPr>
              <w:spacing w:line="244" w:lineRule="auto"/>
              <w:rPr>
                <w:rFonts w:ascii="Arial"/>
                <w:sz w:val="21"/>
              </w:rPr>
            </w:pPr>
          </w:p>
          <w:p w14:paraId="07905A5E">
            <w:pPr>
              <w:pStyle w:val="6"/>
              <w:spacing w:before="65" w:line="241" w:lineRule="auto"/>
              <w:ind w:left="220" w:right="116"/>
              <w:jc w:val="both"/>
              <w:rPr>
                <w:sz w:val="20"/>
                <w:szCs w:val="20"/>
              </w:rPr>
            </w:pPr>
            <w:r>
              <w:rPr>
                <w:spacing w:val="4"/>
                <w:sz w:val="20"/>
                <w:szCs w:val="20"/>
              </w:rPr>
              <w:t>燃烧爆炸危险</w:t>
            </w:r>
            <w:r>
              <w:rPr>
                <w:spacing w:val="30"/>
                <w:w w:val="137"/>
                <w:sz w:val="20"/>
                <w:szCs w:val="20"/>
              </w:rPr>
              <w:t>性</w:t>
            </w:r>
          </w:p>
        </w:tc>
        <w:tc>
          <w:tcPr>
            <w:tcW w:w="1808" w:type="dxa"/>
            <w:vAlign w:val="top"/>
          </w:tcPr>
          <w:p w14:paraId="3E5E8747">
            <w:pPr>
              <w:pStyle w:val="6"/>
              <w:spacing w:before="56" w:line="227" w:lineRule="auto"/>
              <w:ind w:left="588"/>
              <w:rPr>
                <w:sz w:val="20"/>
                <w:szCs w:val="20"/>
              </w:rPr>
            </w:pPr>
            <w:r>
              <w:rPr>
                <w:spacing w:val="6"/>
                <w:sz w:val="20"/>
                <w:szCs w:val="20"/>
              </w:rPr>
              <w:t>燃烧性</w:t>
            </w:r>
          </w:p>
        </w:tc>
        <w:tc>
          <w:tcPr>
            <w:tcW w:w="1969" w:type="dxa"/>
            <w:vAlign w:val="top"/>
          </w:tcPr>
          <w:p w14:paraId="3836C3C1">
            <w:pPr>
              <w:pStyle w:val="6"/>
              <w:spacing w:before="56" w:line="229" w:lineRule="auto"/>
              <w:ind w:left="789"/>
              <w:rPr>
                <w:sz w:val="20"/>
                <w:szCs w:val="20"/>
              </w:rPr>
            </w:pPr>
            <w:r>
              <w:rPr>
                <w:spacing w:val="-3"/>
                <w:sz w:val="20"/>
                <w:szCs w:val="20"/>
              </w:rPr>
              <w:t>易燃</w:t>
            </w:r>
          </w:p>
        </w:tc>
        <w:tc>
          <w:tcPr>
            <w:tcW w:w="1580" w:type="dxa"/>
            <w:gridSpan w:val="3"/>
            <w:vAlign w:val="top"/>
          </w:tcPr>
          <w:p w14:paraId="1FEB0F6B">
            <w:pPr>
              <w:pStyle w:val="6"/>
              <w:spacing w:before="56" w:line="228" w:lineRule="auto"/>
              <w:ind w:left="287"/>
              <w:rPr>
                <w:sz w:val="20"/>
                <w:szCs w:val="20"/>
              </w:rPr>
            </w:pPr>
            <w:r>
              <w:rPr>
                <w:spacing w:val="-2"/>
                <w:sz w:val="20"/>
                <w:szCs w:val="20"/>
              </w:rPr>
              <w:t>闪点</w:t>
            </w:r>
            <w:r>
              <w:rPr>
                <w:spacing w:val="20"/>
                <w:sz w:val="20"/>
                <w:szCs w:val="20"/>
              </w:rPr>
              <w:t xml:space="preserve"> </w:t>
            </w:r>
            <w:r>
              <w:rPr>
                <w:spacing w:val="-2"/>
                <w:sz w:val="20"/>
                <w:szCs w:val="20"/>
              </w:rPr>
              <w:t>(</w:t>
            </w:r>
            <w:r>
              <w:rPr>
                <w:rFonts w:ascii="Times New Roman" w:hAnsi="Times New Roman" w:eastAsia="Times New Roman" w:cs="Times New Roman"/>
                <w:spacing w:val="-2"/>
                <w:sz w:val="20"/>
                <w:szCs w:val="20"/>
              </w:rPr>
              <w:t>℃</w:t>
            </w:r>
            <w:r>
              <w:rPr>
                <w:spacing w:val="-2"/>
                <w:sz w:val="20"/>
                <w:szCs w:val="20"/>
              </w:rPr>
              <w:t>)</w:t>
            </w:r>
          </w:p>
        </w:tc>
        <w:tc>
          <w:tcPr>
            <w:tcW w:w="2295" w:type="dxa"/>
            <w:tcBorders>
              <w:right w:val="single" w:color="000000" w:sz="6" w:space="0"/>
            </w:tcBorders>
            <w:vAlign w:val="top"/>
          </w:tcPr>
          <w:p w14:paraId="3AA9E262">
            <w:pPr>
              <w:pStyle w:val="6"/>
              <w:spacing w:before="56" w:line="231" w:lineRule="auto"/>
              <w:ind w:left="53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-6.7</w:t>
            </w:r>
            <w:r>
              <w:rPr>
                <w:spacing w:val="4"/>
                <w:sz w:val="20"/>
                <w:szCs w:val="20"/>
              </w:rPr>
              <w:t>～</w:t>
            </w:r>
            <w:r>
              <w:rPr>
                <w:rFonts w:ascii="Times New Roman" w:hAnsi="Times New Roman" w:eastAsia="Times New Roman" w:cs="Times New Roman"/>
                <w:spacing w:val="4"/>
                <w:sz w:val="20"/>
                <w:szCs w:val="20"/>
              </w:rPr>
              <w:t>32.2℃</w:t>
            </w:r>
          </w:p>
        </w:tc>
      </w:tr>
      <w:tr w14:paraId="2C8F4D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495" w:type="dxa"/>
            <w:vMerge w:val="continue"/>
            <w:tcBorders>
              <w:top w:val="nil"/>
              <w:left w:val="single" w:color="000000" w:sz="6" w:space="0"/>
              <w:bottom w:val="nil"/>
              <w:right w:val="single" w:color="000000" w:sz="2" w:space="0"/>
            </w:tcBorders>
            <w:vAlign w:val="top"/>
          </w:tcPr>
          <w:p w14:paraId="62EC7405">
            <w:pPr>
              <w:rPr>
                <w:rFonts w:ascii="Arial"/>
                <w:sz w:val="21"/>
              </w:rPr>
            </w:pPr>
          </w:p>
        </w:tc>
        <w:tc>
          <w:tcPr>
            <w:tcW w:w="754" w:type="dxa"/>
            <w:vMerge w:val="continue"/>
            <w:tcBorders>
              <w:top w:val="nil"/>
              <w:left w:val="single" w:color="000000" w:sz="2" w:space="0"/>
              <w:bottom w:val="nil"/>
            </w:tcBorders>
            <w:vAlign w:val="top"/>
          </w:tcPr>
          <w:p w14:paraId="0E31A98B">
            <w:pPr>
              <w:rPr>
                <w:rFonts w:ascii="Arial"/>
                <w:sz w:val="21"/>
              </w:rPr>
            </w:pPr>
          </w:p>
        </w:tc>
        <w:tc>
          <w:tcPr>
            <w:tcW w:w="1808" w:type="dxa"/>
            <w:vAlign w:val="top"/>
          </w:tcPr>
          <w:p w14:paraId="74BD5648">
            <w:pPr>
              <w:pStyle w:val="6"/>
              <w:spacing w:before="57" w:line="228" w:lineRule="auto"/>
              <w:ind w:left="274"/>
              <w:rPr>
                <w:sz w:val="20"/>
                <w:szCs w:val="20"/>
              </w:rPr>
            </w:pPr>
            <w:r>
              <w:rPr>
                <w:spacing w:val="7"/>
                <w:sz w:val="20"/>
                <w:szCs w:val="20"/>
              </w:rPr>
              <w:t>火灾危险类别</w:t>
            </w:r>
          </w:p>
        </w:tc>
        <w:tc>
          <w:tcPr>
            <w:tcW w:w="1969" w:type="dxa"/>
            <w:vAlign w:val="top"/>
          </w:tcPr>
          <w:p w14:paraId="6BE824A0">
            <w:pPr>
              <w:pStyle w:val="6"/>
              <w:spacing w:before="57" w:line="230" w:lineRule="auto"/>
              <w:ind w:left="812"/>
              <w:rPr>
                <w:rFonts w:ascii="Times New Roman" w:hAnsi="Times New Roman" w:eastAsia="Times New Roman" w:cs="Times New Roman"/>
                <w:sz w:val="20"/>
                <w:szCs w:val="20"/>
              </w:rPr>
            </w:pPr>
            <w:r>
              <w:rPr>
                <w:spacing w:val="-12"/>
                <w:sz w:val="20"/>
                <w:szCs w:val="20"/>
              </w:rPr>
              <w:t>甲</w:t>
            </w:r>
            <w:r>
              <w:rPr>
                <w:spacing w:val="-44"/>
                <w:sz w:val="20"/>
                <w:szCs w:val="20"/>
              </w:rPr>
              <w:t xml:space="preserve"> </w:t>
            </w:r>
            <w:r>
              <w:rPr>
                <w:rFonts w:ascii="Times New Roman" w:hAnsi="Times New Roman" w:eastAsia="Times New Roman" w:cs="Times New Roman"/>
                <w:spacing w:val="-12"/>
                <w:sz w:val="20"/>
                <w:szCs w:val="20"/>
              </w:rPr>
              <w:t>B</w:t>
            </w:r>
          </w:p>
        </w:tc>
        <w:tc>
          <w:tcPr>
            <w:tcW w:w="1580" w:type="dxa"/>
            <w:gridSpan w:val="3"/>
            <w:vAlign w:val="top"/>
          </w:tcPr>
          <w:p w14:paraId="4ABF7796">
            <w:pPr>
              <w:pStyle w:val="6"/>
              <w:spacing w:before="58" w:line="228" w:lineRule="auto"/>
              <w:ind w:left="146"/>
              <w:rPr>
                <w:sz w:val="20"/>
                <w:szCs w:val="20"/>
              </w:rPr>
            </w:pPr>
            <w:r>
              <w:rPr>
                <w:spacing w:val="-1"/>
                <w:sz w:val="20"/>
                <w:szCs w:val="20"/>
              </w:rPr>
              <w:t>自燃温度</w:t>
            </w:r>
            <w:r>
              <w:rPr>
                <w:spacing w:val="18"/>
                <w:sz w:val="20"/>
                <w:szCs w:val="20"/>
              </w:rPr>
              <w:t xml:space="preserve"> </w:t>
            </w:r>
            <w:r>
              <w:rPr>
                <w:spacing w:val="-1"/>
                <w:sz w:val="20"/>
                <w:szCs w:val="20"/>
              </w:rPr>
              <w:t>(</w:t>
            </w:r>
            <w:r>
              <w:rPr>
                <w:rFonts w:ascii="Times New Roman" w:hAnsi="Times New Roman" w:eastAsia="Times New Roman" w:cs="Times New Roman"/>
                <w:spacing w:val="-1"/>
                <w:sz w:val="20"/>
                <w:szCs w:val="20"/>
              </w:rPr>
              <w:t>℃</w:t>
            </w:r>
            <w:r>
              <w:rPr>
                <w:spacing w:val="-1"/>
                <w:sz w:val="20"/>
                <w:szCs w:val="20"/>
              </w:rPr>
              <w:t>)</w:t>
            </w:r>
          </w:p>
        </w:tc>
        <w:tc>
          <w:tcPr>
            <w:tcW w:w="2295" w:type="dxa"/>
            <w:tcBorders>
              <w:right w:val="single" w:color="000000" w:sz="6" w:space="0"/>
            </w:tcBorders>
            <w:vAlign w:val="top"/>
          </w:tcPr>
          <w:p w14:paraId="0DF95C5B">
            <w:pPr>
              <w:pStyle w:val="6"/>
              <w:spacing w:before="57" w:line="230" w:lineRule="auto"/>
              <w:ind w:left="812"/>
              <w:rPr>
                <w:rFonts w:ascii="Times New Roman" w:hAnsi="Times New Roman" w:eastAsia="Times New Roman" w:cs="Times New Roman"/>
                <w:sz w:val="20"/>
                <w:szCs w:val="20"/>
              </w:rPr>
            </w:pPr>
            <w:r>
              <w:rPr>
                <w:sz w:val="20"/>
                <w:szCs w:val="20"/>
              </w:rPr>
              <w:t>约</w:t>
            </w:r>
            <w:r>
              <w:rPr>
                <w:spacing w:val="-37"/>
                <w:sz w:val="20"/>
                <w:szCs w:val="20"/>
              </w:rPr>
              <w:t xml:space="preserve"> </w:t>
            </w:r>
            <w:r>
              <w:rPr>
                <w:rFonts w:ascii="Times New Roman" w:hAnsi="Times New Roman" w:eastAsia="Times New Roman" w:cs="Times New Roman"/>
                <w:sz w:val="20"/>
                <w:szCs w:val="20"/>
              </w:rPr>
              <w:t>350</w:t>
            </w:r>
          </w:p>
        </w:tc>
      </w:tr>
      <w:tr w14:paraId="3FFD65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495" w:type="dxa"/>
            <w:vMerge w:val="continue"/>
            <w:tcBorders>
              <w:top w:val="nil"/>
              <w:left w:val="single" w:color="000000" w:sz="6" w:space="0"/>
              <w:bottom w:val="nil"/>
              <w:right w:val="single" w:color="000000" w:sz="2" w:space="0"/>
            </w:tcBorders>
            <w:vAlign w:val="top"/>
          </w:tcPr>
          <w:p w14:paraId="339A578F">
            <w:pPr>
              <w:rPr>
                <w:rFonts w:ascii="Arial"/>
                <w:sz w:val="21"/>
              </w:rPr>
            </w:pPr>
          </w:p>
        </w:tc>
        <w:tc>
          <w:tcPr>
            <w:tcW w:w="754" w:type="dxa"/>
            <w:vMerge w:val="continue"/>
            <w:tcBorders>
              <w:top w:val="nil"/>
              <w:left w:val="single" w:color="000000" w:sz="2" w:space="0"/>
              <w:bottom w:val="nil"/>
            </w:tcBorders>
            <w:vAlign w:val="top"/>
          </w:tcPr>
          <w:p w14:paraId="67D1E1A9">
            <w:pPr>
              <w:rPr>
                <w:rFonts w:ascii="Arial"/>
                <w:sz w:val="21"/>
              </w:rPr>
            </w:pPr>
          </w:p>
        </w:tc>
        <w:tc>
          <w:tcPr>
            <w:tcW w:w="1808" w:type="dxa"/>
            <w:vAlign w:val="top"/>
          </w:tcPr>
          <w:p w14:paraId="1D7823D8">
            <w:pPr>
              <w:pStyle w:val="6"/>
              <w:spacing w:before="57" w:line="226" w:lineRule="auto"/>
              <w:ind w:left="109"/>
              <w:rPr>
                <w:sz w:val="20"/>
                <w:szCs w:val="20"/>
              </w:rPr>
            </w:pPr>
            <w:r>
              <w:rPr>
                <w:spacing w:val="6"/>
                <w:sz w:val="20"/>
                <w:szCs w:val="20"/>
              </w:rPr>
              <w:t>爆炸下限（</w:t>
            </w:r>
            <w:r>
              <w:rPr>
                <w:rFonts w:ascii="Times New Roman" w:hAnsi="Times New Roman" w:eastAsia="Times New Roman" w:cs="Times New Roman"/>
                <w:spacing w:val="6"/>
                <w:sz w:val="20"/>
                <w:szCs w:val="20"/>
              </w:rPr>
              <w:t>V%</w:t>
            </w:r>
            <w:r>
              <w:rPr>
                <w:spacing w:val="6"/>
                <w:sz w:val="20"/>
                <w:szCs w:val="20"/>
              </w:rPr>
              <w:t>）</w:t>
            </w:r>
          </w:p>
        </w:tc>
        <w:tc>
          <w:tcPr>
            <w:tcW w:w="1969" w:type="dxa"/>
            <w:vAlign w:val="top"/>
          </w:tcPr>
          <w:p w14:paraId="78AA0939">
            <w:pPr>
              <w:spacing w:before="93" w:line="195" w:lineRule="auto"/>
              <w:ind w:left="871"/>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6"/>
                <w:sz w:val="20"/>
                <w:szCs w:val="20"/>
              </w:rPr>
              <w:t>1</w:t>
            </w:r>
          </w:p>
        </w:tc>
        <w:tc>
          <w:tcPr>
            <w:tcW w:w="1580" w:type="dxa"/>
            <w:gridSpan w:val="3"/>
            <w:vAlign w:val="top"/>
          </w:tcPr>
          <w:p w14:paraId="43157F97">
            <w:pPr>
              <w:pStyle w:val="6"/>
              <w:spacing w:before="57" w:line="226" w:lineRule="auto"/>
              <w:jc w:val="right"/>
              <w:rPr>
                <w:sz w:val="20"/>
                <w:szCs w:val="20"/>
              </w:rPr>
            </w:pPr>
            <w:r>
              <w:rPr>
                <w:spacing w:val="5"/>
                <w:sz w:val="20"/>
                <w:szCs w:val="20"/>
              </w:rPr>
              <w:t>爆炸上限（</w:t>
            </w:r>
            <w:r>
              <w:rPr>
                <w:rFonts w:ascii="Times New Roman" w:hAnsi="Times New Roman" w:eastAsia="Times New Roman" w:cs="Times New Roman"/>
                <w:spacing w:val="5"/>
                <w:sz w:val="20"/>
                <w:szCs w:val="20"/>
              </w:rPr>
              <w:t>V%</w:t>
            </w:r>
            <w:r>
              <w:rPr>
                <w:spacing w:val="5"/>
                <w:sz w:val="20"/>
                <w:szCs w:val="20"/>
              </w:rPr>
              <w:t>）</w:t>
            </w:r>
          </w:p>
        </w:tc>
        <w:tc>
          <w:tcPr>
            <w:tcW w:w="2295" w:type="dxa"/>
            <w:tcBorders>
              <w:right w:val="single" w:color="000000" w:sz="6" w:space="0"/>
            </w:tcBorders>
            <w:vAlign w:val="top"/>
          </w:tcPr>
          <w:p w14:paraId="6C980B26">
            <w:pPr>
              <w:spacing w:before="93" w:line="195" w:lineRule="auto"/>
              <w:ind w:left="970"/>
              <w:rPr>
                <w:rFonts w:ascii="Times New Roman" w:hAnsi="Times New Roman" w:eastAsia="Times New Roman" w:cs="Times New Roman"/>
                <w:sz w:val="20"/>
                <w:szCs w:val="20"/>
              </w:rPr>
            </w:pPr>
            <w:r>
              <w:rPr>
                <w:rFonts w:ascii="Times New Roman" w:hAnsi="Times New Roman" w:eastAsia="Times New Roman" w:cs="Times New Roman"/>
                <w:sz w:val="20"/>
                <w:szCs w:val="20"/>
              </w:rPr>
              <w:t>8.7</w:t>
            </w:r>
          </w:p>
        </w:tc>
      </w:tr>
      <w:tr w14:paraId="332509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495" w:type="dxa"/>
            <w:vMerge w:val="continue"/>
            <w:tcBorders>
              <w:top w:val="nil"/>
              <w:left w:val="single" w:color="000000" w:sz="6" w:space="0"/>
              <w:bottom w:val="nil"/>
              <w:right w:val="single" w:color="000000" w:sz="2" w:space="0"/>
            </w:tcBorders>
            <w:vAlign w:val="top"/>
          </w:tcPr>
          <w:p w14:paraId="6F0480ED">
            <w:pPr>
              <w:rPr>
                <w:rFonts w:ascii="Arial"/>
                <w:sz w:val="21"/>
              </w:rPr>
            </w:pPr>
          </w:p>
        </w:tc>
        <w:tc>
          <w:tcPr>
            <w:tcW w:w="754" w:type="dxa"/>
            <w:vMerge w:val="continue"/>
            <w:tcBorders>
              <w:top w:val="nil"/>
              <w:left w:val="single" w:color="000000" w:sz="2" w:space="0"/>
              <w:bottom w:val="nil"/>
            </w:tcBorders>
            <w:vAlign w:val="top"/>
          </w:tcPr>
          <w:p w14:paraId="00A6C482">
            <w:pPr>
              <w:rPr>
                <w:rFonts w:ascii="Arial"/>
                <w:sz w:val="21"/>
              </w:rPr>
            </w:pPr>
          </w:p>
        </w:tc>
        <w:tc>
          <w:tcPr>
            <w:tcW w:w="1808" w:type="dxa"/>
            <w:vAlign w:val="top"/>
          </w:tcPr>
          <w:p w14:paraId="78847E3A">
            <w:pPr>
              <w:pStyle w:val="6"/>
              <w:spacing w:before="56" w:line="228" w:lineRule="auto"/>
              <w:ind w:left="274"/>
              <w:rPr>
                <w:sz w:val="20"/>
                <w:szCs w:val="20"/>
              </w:rPr>
            </w:pPr>
            <w:r>
              <w:rPr>
                <w:spacing w:val="7"/>
                <w:sz w:val="20"/>
                <w:szCs w:val="20"/>
              </w:rPr>
              <w:t>火灾危险类别</w:t>
            </w:r>
          </w:p>
        </w:tc>
        <w:tc>
          <w:tcPr>
            <w:tcW w:w="1969" w:type="dxa"/>
            <w:vAlign w:val="top"/>
          </w:tcPr>
          <w:p w14:paraId="1A15825F">
            <w:pPr>
              <w:pStyle w:val="6"/>
              <w:spacing w:before="56" w:line="231" w:lineRule="auto"/>
              <w:ind w:left="812"/>
              <w:rPr>
                <w:rFonts w:ascii="Times New Roman" w:hAnsi="Times New Roman" w:eastAsia="Times New Roman" w:cs="Times New Roman"/>
                <w:sz w:val="20"/>
                <w:szCs w:val="20"/>
              </w:rPr>
            </w:pPr>
            <w:r>
              <w:rPr>
                <w:spacing w:val="-12"/>
                <w:sz w:val="20"/>
                <w:szCs w:val="20"/>
              </w:rPr>
              <w:t>甲</w:t>
            </w:r>
            <w:r>
              <w:rPr>
                <w:spacing w:val="-44"/>
                <w:sz w:val="20"/>
                <w:szCs w:val="20"/>
              </w:rPr>
              <w:t xml:space="preserve"> </w:t>
            </w:r>
            <w:r>
              <w:rPr>
                <w:rFonts w:ascii="Times New Roman" w:hAnsi="Times New Roman" w:eastAsia="Times New Roman" w:cs="Times New Roman"/>
                <w:spacing w:val="-12"/>
                <w:sz w:val="20"/>
                <w:szCs w:val="20"/>
              </w:rPr>
              <w:t>B</w:t>
            </w:r>
          </w:p>
        </w:tc>
        <w:tc>
          <w:tcPr>
            <w:tcW w:w="1580" w:type="dxa"/>
            <w:gridSpan w:val="3"/>
            <w:vAlign w:val="top"/>
          </w:tcPr>
          <w:p w14:paraId="73D56851">
            <w:pPr>
              <w:pStyle w:val="6"/>
              <w:spacing w:before="56" w:line="228" w:lineRule="auto"/>
              <w:ind w:left="480"/>
              <w:rPr>
                <w:sz w:val="20"/>
                <w:szCs w:val="20"/>
              </w:rPr>
            </w:pPr>
            <w:r>
              <w:rPr>
                <w:spacing w:val="6"/>
                <w:sz w:val="20"/>
                <w:szCs w:val="20"/>
              </w:rPr>
              <w:t>稳定性</w:t>
            </w:r>
          </w:p>
        </w:tc>
        <w:tc>
          <w:tcPr>
            <w:tcW w:w="2295" w:type="dxa"/>
            <w:tcBorders>
              <w:right w:val="single" w:color="000000" w:sz="6" w:space="0"/>
            </w:tcBorders>
            <w:vAlign w:val="top"/>
          </w:tcPr>
          <w:p w14:paraId="1F8CB7CF">
            <w:pPr>
              <w:pStyle w:val="6"/>
              <w:spacing w:before="56" w:line="228" w:lineRule="auto"/>
              <w:ind w:left="887"/>
              <w:rPr>
                <w:sz w:val="20"/>
                <w:szCs w:val="20"/>
              </w:rPr>
            </w:pPr>
            <w:r>
              <w:rPr>
                <w:spacing w:val="4"/>
                <w:sz w:val="20"/>
                <w:szCs w:val="20"/>
              </w:rPr>
              <w:t>稳定</w:t>
            </w:r>
          </w:p>
        </w:tc>
      </w:tr>
      <w:tr w14:paraId="36E8D3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495" w:type="dxa"/>
            <w:vMerge w:val="continue"/>
            <w:tcBorders>
              <w:top w:val="nil"/>
              <w:left w:val="single" w:color="000000" w:sz="6" w:space="0"/>
              <w:bottom w:val="nil"/>
              <w:right w:val="single" w:color="000000" w:sz="2" w:space="0"/>
            </w:tcBorders>
            <w:vAlign w:val="top"/>
          </w:tcPr>
          <w:p w14:paraId="6C9E7C80">
            <w:pPr>
              <w:rPr>
                <w:rFonts w:ascii="Arial"/>
                <w:sz w:val="21"/>
              </w:rPr>
            </w:pPr>
          </w:p>
        </w:tc>
        <w:tc>
          <w:tcPr>
            <w:tcW w:w="754" w:type="dxa"/>
            <w:vMerge w:val="continue"/>
            <w:tcBorders>
              <w:top w:val="nil"/>
              <w:left w:val="single" w:color="000000" w:sz="2" w:space="0"/>
              <w:bottom w:val="nil"/>
            </w:tcBorders>
            <w:vAlign w:val="top"/>
          </w:tcPr>
          <w:p w14:paraId="0D367EF2">
            <w:pPr>
              <w:rPr>
                <w:rFonts w:ascii="Arial"/>
                <w:sz w:val="21"/>
              </w:rPr>
            </w:pPr>
          </w:p>
        </w:tc>
        <w:tc>
          <w:tcPr>
            <w:tcW w:w="1808" w:type="dxa"/>
            <w:vAlign w:val="top"/>
          </w:tcPr>
          <w:p w14:paraId="46912B93">
            <w:pPr>
              <w:pStyle w:val="6"/>
              <w:spacing w:before="55" w:line="228" w:lineRule="auto"/>
              <w:ind w:left="587"/>
              <w:rPr>
                <w:sz w:val="20"/>
                <w:szCs w:val="20"/>
              </w:rPr>
            </w:pPr>
            <w:r>
              <w:rPr>
                <w:spacing w:val="6"/>
                <w:sz w:val="20"/>
                <w:szCs w:val="20"/>
              </w:rPr>
              <w:t>禁忌物</w:t>
            </w:r>
          </w:p>
        </w:tc>
        <w:tc>
          <w:tcPr>
            <w:tcW w:w="1969" w:type="dxa"/>
            <w:vAlign w:val="top"/>
          </w:tcPr>
          <w:p w14:paraId="5F5214C9">
            <w:pPr>
              <w:pStyle w:val="6"/>
              <w:spacing w:before="56" w:line="227" w:lineRule="auto"/>
              <w:ind w:left="61"/>
              <w:rPr>
                <w:sz w:val="20"/>
                <w:szCs w:val="20"/>
              </w:rPr>
            </w:pPr>
            <w:r>
              <w:rPr>
                <w:spacing w:val="6"/>
                <w:sz w:val="20"/>
                <w:szCs w:val="20"/>
              </w:rPr>
              <w:t>四氧化氮、强氧化剂</w:t>
            </w:r>
          </w:p>
        </w:tc>
        <w:tc>
          <w:tcPr>
            <w:tcW w:w="1580" w:type="dxa"/>
            <w:gridSpan w:val="3"/>
            <w:vAlign w:val="top"/>
          </w:tcPr>
          <w:p w14:paraId="726014C6">
            <w:pPr>
              <w:pStyle w:val="6"/>
              <w:spacing w:before="56" w:line="228" w:lineRule="auto"/>
              <w:ind w:left="382"/>
              <w:rPr>
                <w:sz w:val="20"/>
                <w:szCs w:val="20"/>
              </w:rPr>
            </w:pPr>
            <w:r>
              <w:rPr>
                <w:spacing w:val="5"/>
                <w:sz w:val="20"/>
                <w:szCs w:val="20"/>
              </w:rPr>
              <w:t>聚合危害</w:t>
            </w:r>
          </w:p>
        </w:tc>
        <w:tc>
          <w:tcPr>
            <w:tcW w:w="2295" w:type="dxa"/>
            <w:tcBorders>
              <w:right w:val="single" w:color="000000" w:sz="6" w:space="0"/>
            </w:tcBorders>
            <w:vAlign w:val="top"/>
          </w:tcPr>
          <w:p w14:paraId="2F445E45">
            <w:pPr>
              <w:pStyle w:val="6"/>
              <w:spacing w:before="56" w:line="228" w:lineRule="auto"/>
              <w:ind w:left="681"/>
              <w:rPr>
                <w:sz w:val="20"/>
                <w:szCs w:val="20"/>
              </w:rPr>
            </w:pPr>
            <w:r>
              <w:rPr>
                <w:spacing w:val="6"/>
                <w:sz w:val="20"/>
                <w:szCs w:val="20"/>
              </w:rPr>
              <w:t>不能出现</w:t>
            </w:r>
          </w:p>
        </w:tc>
      </w:tr>
      <w:tr w14:paraId="12BFBF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495" w:type="dxa"/>
            <w:vMerge w:val="continue"/>
            <w:tcBorders>
              <w:top w:val="nil"/>
              <w:left w:val="single" w:color="000000" w:sz="6" w:space="0"/>
              <w:bottom w:val="nil"/>
              <w:right w:val="single" w:color="000000" w:sz="2" w:space="0"/>
            </w:tcBorders>
            <w:vAlign w:val="top"/>
          </w:tcPr>
          <w:p w14:paraId="4222805B">
            <w:pPr>
              <w:rPr>
                <w:rFonts w:ascii="Arial"/>
                <w:sz w:val="21"/>
              </w:rPr>
            </w:pPr>
          </w:p>
        </w:tc>
        <w:tc>
          <w:tcPr>
            <w:tcW w:w="754" w:type="dxa"/>
            <w:vMerge w:val="continue"/>
            <w:tcBorders>
              <w:top w:val="nil"/>
              <w:left w:val="single" w:color="000000" w:sz="2" w:space="0"/>
              <w:bottom w:val="nil"/>
            </w:tcBorders>
            <w:vAlign w:val="top"/>
          </w:tcPr>
          <w:p w14:paraId="32FF8E6D">
            <w:pPr>
              <w:rPr>
                <w:rFonts w:ascii="Arial"/>
                <w:sz w:val="21"/>
              </w:rPr>
            </w:pPr>
          </w:p>
        </w:tc>
        <w:tc>
          <w:tcPr>
            <w:tcW w:w="1808" w:type="dxa"/>
            <w:vAlign w:val="top"/>
          </w:tcPr>
          <w:p w14:paraId="70965A78">
            <w:pPr>
              <w:pStyle w:val="6"/>
              <w:spacing w:before="57" w:line="228" w:lineRule="auto"/>
              <w:ind w:left="378"/>
              <w:rPr>
                <w:sz w:val="20"/>
                <w:szCs w:val="20"/>
              </w:rPr>
            </w:pPr>
            <w:r>
              <w:rPr>
                <w:spacing w:val="7"/>
                <w:sz w:val="20"/>
                <w:szCs w:val="20"/>
              </w:rPr>
              <w:t>危险性类别</w:t>
            </w:r>
          </w:p>
        </w:tc>
        <w:tc>
          <w:tcPr>
            <w:tcW w:w="5844" w:type="dxa"/>
            <w:gridSpan w:val="5"/>
            <w:tcBorders>
              <w:right w:val="single" w:color="000000" w:sz="6" w:space="0"/>
            </w:tcBorders>
            <w:vAlign w:val="top"/>
          </w:tcPr>
          <w:p w14:paraId="5E18892E">
            <w:pPr>
              <w:pStyle w:val="6"/>
              <w:spacing w:before="57" w:line="228" w:lineRule="auto"/>
              <w:ind w:left="1688"/>
              <w:rPr>
                <w:sz w:val="20"/>
                <w:szCs w:val="20"/>
              </w:rPr>
            </w:pPr>
            <w:r>
              <w:rPr>
                <w:spacing w:val="4"/>
                <w:sz w:val="20"/>
                <w:szCs w:val="20"/>
              </w:rPr>
              <w:t>第</w:t>
            </w:r>
            <w:r>
              <w:rPr>
                <w:spacing w:val="-35"/>
                <w:sz w:val="20"/>
                <w:szCs w:val="20"/>
              </w:rPr>
              <w:t xml:space="preserve"> </w:t>
            </w:r>
            <w:r>
              <w:rPr>
                <w:rFonts w:ascii="Times New Roman" w:hAnsi="Times New Roman" w:eastAsia="Times New Roman" w:cs="Times New Roman"/>
                <w:spacing w:val="4"/>
                <w:sz w:val="20"/>
                <w:szCs w:val="20"/>
              </w:rPr>
              <w:t xml:space="preserve">3.2 </w:t>
            </w:r>
            <w:r>
              <w:rPr>
                <w:spacing w:val="4"/>
                <w:sz w:val="20"/>
                <w:szCs w:val="20"/>
              </w:rPr>
              <w:t>类</w:t>
            </w:r>
            <w:r>
              <w:rPr>
                <w:spacing w:val="33"/>
                <w:sz w:val="20"/>
                <w:szCs w:val="20"/>
              </w:rPr>
              <w:t xml:space="preserve"> </w:t>
            </w:r>
            <w:r>
              <w:rPr>
                <w:spacing w:val="4"/>
                <w:sz w:val="20"/>
                <w:szCs w:val="20"/>
              </w:rPr>
              <w:t>中闪点易燃液体</w:t>
            </w:r>
          </w:p>
        </w:tc>
      </w:tr>
      <w:tr w14:paraId="65BAA8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trPr>
        <w:tc>
          <w:tcPr>
            <w:tcW w:w="495" w:type="dxa"/>
            <w:vMerge w:val="continue"/>
            <w:tcBorders>
              <w:top w:val="nil"/>
              <w:left w:val="single" w:color="000000" w:sz="6" w:space="0"/>
              <w:bottom w:val="nil"/>
              <w:right w:val="single" w:color="000000" w:sz="2" w:space="0"/>
            </w:tcBorders>
            <w:vAlign w:val="top"/>
          </w:tcPr>
          <w:p w14:paraId="32D2C583">
            <w:pPr>
              <w:rPr>
                <w:rFonts w:ascii="Arial"/>
                <w:sz w:val="21"/>
              </w:rPr>
            </w:pPr>
          </w:p>
        </w:tc>
        <w:tc>
          <w:tcPr>
            <w:tcW w:w="754" w:type="dxa"/>
            <w:vMerge w:val="continue"/>
            <w:tcBorders>
              <w:top w:val="nil"/>
              <w:left w:val="single" w:color="000000" w:sz="2" w:space="0"/>
              <w:bottom w:val="nil"/>
            </w:tcBorders>
            <w:vAlign w:val="top"/>
          </w:tcPr>
          <w:p w14:paraId="5F1BE80C">
            <w:pPr>
              <w:rPr>
                <w:rFonts w:ascii="Arial"/>
                <w:sz w:val="21"/>
              </w:rPr>
            </w:pPr>
          </w:p>
        </w:tc>
        <w:tc>
          <w:tcPr>
            <w:tcW w:w="1808" w:type="dxa"/>
            <w:vAlign w:val="top"/>
          </w:tcPr>
          <w:p w14:paraId="537FA19D">
            <w:pPr>
              <w:pStyle w:val="6"/>
              <w:spacing w:before="289" w:line="228" w:lineRule="auto"/>
              <w:ind w:left="484"/>
              <w:rPr>
                <w:sz w:val="20"/>
                <w:szCs w:val="20"/>
              </w:rPr>
            </w:pPr>
            <w:r>
              <w:rPr>
                <w:spacing w:val="6"/>
                <w:sz w:val="20"/>
                <w:szCs w:val="20"/>
              </w:rPr>
              <w:t>危险特性</w:t>
            </w:r>
          </w:p>
        </w:tc>
        <w:tc>
          <w:tcPr>
            <w:tcW w:w="5844" w:type="dxa"/>
            <w:gridSpan w:val="5"/>
            <w:tcBorders>
              <w:right w:val="single" w:color="000000" w:sz="6" w:space="0"/>
            </w:tcBorders>
            <w:vAlign w:val="top"/>
          </w:tcPr>
          <w:p w14:paraId="1307EA5E">
            <w:pPr>
              <w:pStyle w:val="6"/>
              <w:spacing w:before="29" w:line="229" w:lineRule="auto"/>
              <w:ind w:left="108" w:right="142"/>
              <w:jc w:val="both"/>
              <w:rPr>
                <w:sz w:val="20"/>
                <w:szCs w:val="20"/>
              </w:rPr>
            </w:pPr>
            <w:r>
              <w:rPr>
                <w:spacing w:val="12"/>
                <w:sz w:val="20"/>
                <w:szCs w:val="20"/>
              </w:rPr>
              <w:t>其蒸气与空气形成爆炸性混合物，遇明火、高热能引</w:t>
            </w:r>
            <w:r>
              <w:rPr>
                <w:spacing w:val="11"/>
                <w:sz w:val="20"/>
                <w:szCs w:val="20"/>
              </w:rPr>
              <w:t>起燃烧</w:t>
            </w:r>
            <w:r>
              <w:rPr>
                <w:spacing w:val="6"/>
                <w:sz w:val="20"/>
                <w:szCs w:val="20"/>
              </w:rPr>
              <w:t>爆炸。与氧化剂能发生强烈反应。遇高热分解出有毒的烟雾。</w:t>
            </w:r>
            <w:r>
              <w:rPr>
                <w:spacing w:val="8"/>
                <w:sz w:val="20"/>
                <w:szCs w:val="20"/>
              </w:rPr>
              <w:t>其燃烧、爆炸危险性与轻汽油相似。</w:t>
            </w:r>
          </w:p>
        </w:tc>
      </w:tr>
      <w:tr w14:paraId="05AFED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495" w:type="dxa"/>
            <w:vMerge w:val="continue"/>
            <w:tcBorders>
              <w:top w:val="nil"/>
              <w:left w:val="single" w:color="000000" w:sz="6" w:space="0"/>
              <w:bottom w:val="nil"/>
              <w:right w:val="single" w:color="000000" w:sz="2" w:space="0"/>
            </w:tcBorders>
            <w:vAlign w:val="top"/>
          </w:tcPr>
          <w:p w14:paraId="38885EE5">
            <w:pPr>
              <w:rPr>
                <w:rFonts w:ascii="Arial"/>
                <w:sz w:val="21"/>
              </w:rPr>
            </w:pPr>
          </w:p>
        </w:tc>
        <w:tc>
          <w:tcPr>
            <w:tcW w:w="754" w:type="dxa"/>
            <w:vMerge w:val="continue"/>
            <w:tcBorders>
              <w:top w:val="nil"/>
              <w:left w:val="single" w:color="000000" w:sz="2" w:space="0"/>
            </w:tcBorders>
            <w:vAlign w:val="top"/>
          </w:tcPr>
          <w:p w14:paraId="2093C7CC">
            <w:pPr>
              <w:rPr>
                <w:rFonts w:ascii="Arial"/>
                <w:sz w:val="21"/>
              </w:rPr>
            </w:pPr>
          </w:p>
        </w:tc>
        <w:tc>
          <w:tcPr>
            <w:tcW w:w="1808" w:type="dxa"/>
            <w:vAlign w:val="top"/>
          </w:tcPr>
          <w:p w14:paraId="27C11309">
            <w:pPr>
              <w:pStyle w:val="6"/>
              <w:spacing w:before="57" w:line="228" w:lineRule="auto"/>
              <w:ind w:left="484"/>
              <w:rPr>
                <w:sz w:val="20"/>
                <w:szCs w:val="20"/>
              </w:rPr>
            </w:pPr>
            <w:r>
              <w:rPr>
                <w:spacing w:val="6"/>
                <w:sz w:val="20"/>
                <w:szCs w:val="20"/>
              </w:rPr>
              <w:t>灭火方法</w:t>
            </w:r>
          </w:p>
        </w:tc>
        <w:tc>
          <w:tcPr>
            <w:tcW w:w="5844" w:type="dxa"/>
            <w:gridSpan w:val="5"/>
            <w:tcBorders>
              <w:right w:val="single" w:color="000000" w:sz="6" w:space="0"/>
            </w:tcBorders>
            <w:vAlign w:val="top"/>
          </w:tcPr>
          <w:p w14:paraId="6AF45CAF">
            <w:pPr>
              <w:pStyle w:val="6"/>
              <w:spacing w:before="57" w:line="227" w:lineRule="auto"/>
              <w:ind w:left="1295"/>
              <w:rPr>
                <w:sz w:val="20"/>
                <w:szCs w:val="20"/>
              </w:rPr>
            </w:pPr>
            <w:r>
              <w:rPr>
                <w:spacing w:val="9"/>
                <w:sz w:val="20"/>
                <w:szCs w:val="20"/>
              </w:rPr>
              <w:t>二氧化碳、干粉、泡沫。用水无效</w:t>
            </w:r>
          </w:p>
        </w:tc>
      </w:tr>
      <w:tr w14:paraId="49762B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495" w:type="dxa"/>
            <w:vMerge w:val="continue"/>
            <w:tcBorders>
              <w:top w:val="nil"/>
              <w:left w:val="single" w:color="000000" w:sz="6" w:space="0"/>
              <w:bottom w:val="nil"/>
              <w:right w:val="single" w:color="000000" w:sz="2" w:space="0"/>
            </w:tcBorders>
            <w:vAlign w:val="top"/>
          </w:tcPr>
          <w:p w14:paraId="522DD17A">
            <w:pPr>
              <w:rPr>
                <w:rFonts w:ascii="Arial"/>
                <w:sz w:val="21"/>
              </w:rPr>
            </w:pPr>
          </w:p>
        </w:tc>
        <w:tc>
          <w:tcPr>
            <w:tcW w:w="754" w:type="dxa"/>
            <w:vMerge w:val="restart"/>
            <w:tcBorders>
              <w:left w:val="single" w:color="000000" w:sz="2" w:space="0"/>
              <w:bottom w:val="nil"/>
            </w:tcBorders>
            <w:vAlign w:val="top"/>
          </w:tcPr>
          <w:p w14:paraId="2274854C">
            <w:pPr>
              <w:spacing w:line="291" w:lineRule="auto"/>
              <w:rPr>
                <w:rFonts w:ascii="Arial"/>
                <w:sz w:val="21"/>
              </w:rPr>
            </w:pPr>
          </w:p>
          <w:p w14:paraId="54C1EDDE">
            <w:pPr>
              <w:spacing w:line="291" w:lineRule="auto"/>
              <w:rPr>
                <w:rFonts w:ascii="Arial"/>
                <w:sz w:val="21"/>
              </w:rPr>
            </w:pPr>
          </w:p>
          <w:p w14:paraId="3193E5E4">
            <w:pPr>
              <w:spacing w:line="292" w:lineRule="auto"/>
              <w:rPr>
                <w:rFonts w:ascii="Arial"/>
                <w:sz w:val="21"/>
              </w:rPr>
            </w:pPr>
          </w:p>
          <w:p w14:paraId="2E46DF6C">
            <w:pPr>
              <w:pStyle w:val="6"/>
              <w:spacing w:before="65" w:line="241" w:lineRule="auto"/>
              <w:ind w:left="219" w:right="116" w:firstLine="2"/>
              <w:jc w:val="both"/>
              <w:rPr>
                <w:sz w:val="20"/>
                <w:szCs w:val="20"/>
              </w:rPr>
            </w:pPr>
            <w:r>
              <w:rPr>
                <w:spacing w:val="3"/>
                <w:sz w:val="20"/>
                <w:szCs w:val="20"/>
              </w:rPr>
              <w:t>毒性</w:t>
            </w:r>
            <w:r>
              <w:rPr>
                <w:spacing w:val="5"/>
                <w:sz w:val="20"/>
                <w:szCs w:val="20"/>
              </w:rPr>
              <w:t>及健康危</w:t>
            </w:r>
            <w:r>
              <w:rPr>
                <w:spacing w:val="46"/>
                <w:w w:val="129"/>
                <w:sz w:val="20"/>
                <w:szCs w:val="20"/>
              </w:rPr>
              <w:t>害</w:t>
            </w:r>
          </w:p>
        </w:tc>
        <w:tc>
          <w:tcPr>
            <w:tcW w:w="3888" w:type="dxa"/>
            <w:gridSpan w:val="3"/>
            <w:vAlign w:val="top"/>
          </w:tcPr>
          <w:p w14:paraId="47301428">
            <w:pPr>
              <w:pStyle w:val="6"/>
              <w:spacing w:before="56" w:line="231" w:lineRule="auto"/>
              <w:ind w:left="1560"/>
              <w:rPr>
                <w:rFonts w:ascii="Times New Roman" w:hAnsi="Times New Roman" w:eastAsia="Times New Roman" w:cs="Times New Roman"/>
                <w:sz w:val="20"/>
                <w:szCs w:val="20"/>
              </w:rPr>
            </w:pPr>
            <w:r>
              <w:rPr>
                <w:rFonts w:ascii="Times New Roman" w:hAnsi="Times New Roman" w:eastAsia="Times New Roman" w:cs="Times New Roman"/>
                <w:sz w:val="20"/>
                <w:szCs w:val="20"/>
              </w:rPr>
              <w:t>LC</w:t>
            </w:r>
            <w:r>
              <w:rPr>
                <w:rFonts w:ascii="Times New Roman" w:hAnsi="Times New Roman" w:eastAsia="Times New Roman" w:cs="Times New Roman"/>
                <w:spacing w:val="9"/>
                <w:sz w:val="20"/>
                <w:szCs w:val="20"/>
              </w:rPr>
              <w:t>50</w:t>
            </w:r>
            <w:r>
              <w:rPr>
                <w:spacing w:val="9"/>
                <w:sz w:val="20"/>
                <w:szCs w:val="20"/>
              </w:rPr>
              <w:t>：</w:t>
            </w:r>
            <w:r>
              <w:rPr>
                <w:rFonts w:ascii="Times New Roman" w:hAnsi="Times New Roman" w:eastAsia="Times New Roman" w:cs="Times New Roman"/>
                <w:spacing w:val="9"/>
                <w:sz w:val="20"/>
                <w:szCs w:val="20"/>
              </w:rPr>
              <w:t>-</w:t>
            </w:r>
          </w:p>
        </w:tc>
        <w:tc>
          <w:tcPr>
            <w:tcW w:w="3764" w:type="dxa"/>
            <w:gridSpan w:val="3"/>
            <w:tcBorders>
              <w:right w:val="single" w:color="000000" w:sz="6" w:space="0"/>
            </w:tcBorders>
            <w:vAlign w:val="top"/>
          </w:tcPr>
          <w:p w14:paraId="1339F4C3">
            <w:pPr>
              <w:pStyle w:val="6"/>
              <w:spacing w:before="56" w:line="231" w:lineRule="auto"/>
              <w:ind w:left="1436"/>
              <w:rPr>
                <w:rFonts w:ascii="Times New Roman" w:hAnsi="Times New Roman" w:eastAsia="Times New Roman" w:cs="Times New Roman"/>
                <w:sz w:val="20"/>
                <w:szCs w:val="20"/>
              </w:rPr>
            </w:pPr>
            <w:r>
              <w:rPr>
                <w:rFonts w:ascii="Times New Roman" w:hAnsi="Times New Roman" w:eastAsia="Times New Roman" w:cs="Times New Roman"/>
                <w:sz w:val="20"/>
                <w:szCs w:val="20"/>
              </w:rPr>
              <w:t>IDLH</w:t>
            </w:r>
            <w:r>
              <w:rPr>
                <w:spacing w:val="19"/>
                <w:sz w:val="20"/>
                <w:szCs w:val="20"/>
              </w:rPr>
              <w:t>：</w:t>
            </w:r>
            <w:r>
              <w:rPr>
                <w:rFonts w:ascii="Times New Roman" w:hAnsi="Times New Roman" w:eastAsia="Times New Roman" w:cs="Times New Roman"/>
                <w:spacing w:val="19"/>
                <w:sz w:val="20"/>
                <w:szCs w:val="20"/>
              </w:rPr>
              <w:t>-</w:t>
            </w:r>
          </w:p>
        </w:tc>
      </w:tr>
      <w:tr w14:paraId="591A3E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495" w:type="dxa"/>
            <w:vMerge w:val="continue"/>
            <w:tcBorders>
              <w:top w:val="nil"/>
              <w:left w:val="single" w:color="000000" w:sz="6" w:space="0"/>
              <w:bottom w:val="nil"/>
              <w:right w:val="single" w:color="000000" w:sz="2" w:space="0"/>
            </w:tcBorders>
            <w:vAlign w:val="top"/>
          </w:tcPr>
          <w:p w14:paraId="44D65BD6">
            <w:pPr>
              <w:rPr>
                <w:rFonts w:ascii="Arial"/>
                <w:sz w:val="21"/>
              </w:rPr>
            </w:pPr>
          </w:p>
        </w:tc>
        <w:tc>
          <w:tcPr>
            <w:tcW w:w="754" w:type="dxa"/>
            <w:vMerge w:val="continue"/>
            <w:tcBorders>
              <w:top w:val="nil"/>
              <w:left w:val="single" w:color="000000" w:sz="2" w:space="0"/>
              <w:bottom w:val="nil"/>
            </w:tcBorders>
            <w:vAlign w:val="top"/>
          </w:tcPr>
          <w:p w14:paraId="73E0719F">
            <w:pPr>
              <w:rPr>
                <w:rFonts w:ascii="Arial"/>
                <w:sz w:val="21"/>
              </w:rPr>
            </w:pPr>
          </w:p>
        </w:tc>
        <w:tc>
          <w:tcPr>
            <w:tcW w:w="3888" w:type="dxa"/>
            <w:gridSpan w:val="3"/>
            <w:vAlign w:val="top"/>
          </w:tcPr>
          <w:p w14:paraId="6A00D0AE">
            <w:pPr>
              <w:pStyle w:val="6"/>
              <w:spacing w:before="58" w:line="212" w:lineRule="auto"/>
              <w:ind w:left="582"/>
              <w:rPr>
                <w:sz w:val="20"/>
                <w:szCs w:val="20"/>
              </w:rPr>
            </w:pPr>
            <w:r>
              <w:rPr>
                <w:rFonts w:ascii="Times New Roman" w:hAnsi="Times New Roman" w:eastAsia="Times New Roman" w:cs="Times New Roman"/>
                <w:sz w:val="20"/>
                <w:szCs w:val="20"/>
              </w:rPr>
              <w:t>MAC</w:t>
            </w:r>
            <w:r>
              <w:rPr>
                <w:spacing w:val="8"/>
                <w:sz w:val="20"/>
                <w:szCs w:val="20"/>
              </w:rPr>
              <w:t>（</w:t>
            </w: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/m</w:t>
            </w:r>
            <w:r>
              <w:rPr>
                <w:rFonts w:ascii="Times New Roman" w:hAnsi="Times New Roman" w:eastAsia="Times New Roman" w:cs="Times New Roman"/>
                <w:spacing w:val="8"/>
                <w:position w:val="1"/>
                <w:sz w:val="13"/>
                <w:szCs w:val="13"/>
              </w:rPr>
              <w:t xml:space="preserve">3 </w:t>
            </w:r>
            <w:r>
              <w:rPr>
                <w:spacing w:val="5"/>
                <w:position w:val="1"/>
                <w:sz w:val="20"/>
                <w:szCs w:val="20"/>
              </w:rPr>
              <w:t>）</w:t>
            </w:r>
            <w:r>
              <w:rPr>
                <w:spacing w:val="5"/>
                <w:sz w:val="20"/>
                <w:szCs w:val="20"/>
              </w:rPr>
              <w:t>：</w:t>
            </w:r>
            <w:r>
              <w:rPr>
                <w:spacing w:val="8"/>
                <w:sz w:val="20"/>
                <w:szCs w:val="20"/>
              </w:rPr>
              <w:t>未制订标准</w:t>
            </w:r>
          </w:p>
        </w:tc>
        <w:tc>
          <w:tcPr>
            <w:tcW w:w="3764" w:type="dxa"/>
            <w:gridSpan w:val="3"/>
            <w:tcBorders>
              <w:right w:val="single" w:color="000000" w:sz="6" w:space="0"/>
            </w:tcBorders>
            <w:vAlign w:val="top"/>
          </w:tcPr>
          <w:p w14:paraId="22A32956">
            <w:pPr>
              <w:pStyle w:val="6"/>
              <w:spacing w:before="59" w:line="228" w:lineRule="auto"/>
              <w:ind w:left="1376"/>
              <w:rPr>
                <w:rFonts w:ascii="Times New Roman" w:hAnsi="Times New Roman" w:eastAsia="Times New Roman" w:cs="Times New Roman"/>
                <w:sz w:val="20"/>
                <w:szCs w:val="20"/>
              </w:rPr>
            </w:pPr>
            <w:r>
              <w:rPr>
                <w:spacing w:val="7"/>
                <w:sz w:val="20"/>
                <w:szCs w:val="20"/>
              </w:rPr>
              <w:t>居民区：</w:t>
            </w:r>
            <w:r>
              <w:rPr>
                <w:rFonts w:ascii="Times New Roman" w:hAnsi="Times New Roman" w:eastAsia="Times New Roman" w:cs="Times New Roman"/>
                <w:spacing w:val="7"/>
                <w:sz w:val="20"/>
                <w:szCs w:val="20"/>
              </w:rPr>
              <w:t>-</w:t>
            </w:r>
          </w:p>
        </w:tc>
      </w:tr>
      <w:tr w14:paraId="45D05D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495" w:type="dxa"/>
            <w:vMerge w:val="continue"/>
            <w:tcBorders>
              <w:top w:val="nil"/>
              <w:left w:val="single" w:color="000000" w:sz="6" w:space="0"/>
              <w:bottom w:val="nil"/>
              <w:right w:val="single" w:color="000000" w:sz="2" w:space="0"/>
            </w:tcBorders>
            <w:vAlign w:val="top"/>
          </w:tcPr>
          <w:p w14:paraId="127B8D99">
            <w:pPr>
              <w:rPr>
                <w:rFonts w:ascii="Arial"/>
                <w:sz w:val="21"/>
              </w:rPr>
            </w:pPr>
          </w:p>
        </w:tc>
        <w:tc>
          <w:tcPr>
            <w:tcW w:w="754" w:type="dxa"/>
            <w:vMerge w:val="continue"/>
            <w:tcBorders>
              <w:top w:val="nil"/>
              <w:left w:val="single" w:color="000000" w:sz="2" w:space="0"/>
              <w:bottom w:val="nil"/>
            </w:tcBorders>
            <w:vAlign w:val="top"/>
          </w:tcPr>
          <w:p w14:paraId="1B8177E4">
            <w:pPr>
              <w:rPr>
                <w:rFonts w:ascii="Arial"/>
                <w:sz w:val="21"/>
              </w:rPr>
            </w:pPr>
          </w:p>
        </w:tc>
        <w:tc>
          <w:tcPr>
            <w:tcW w:w="1808" w:type="dxa"/>
            <w:vAlign w:val="top"/>
          </w:tcPr>
          <w:p w14:paraId="769A91F9">
            <w:pPr>
              <w:pStyle w:val="6"/>
              <w:spacing w:before="58" w:line="228" w:lineRule="auto"/>
              <w:ind w:left="483"/>
              <w:rPr>
                <w:sz w:val="20"/>
                <w:szCs w:val="20"/>
              </w:rPr>
            </w:pPr>
            <w:r>
              <w:rPr>
                <w:spacing w:val="6"/>
                <w:sz w:val="20"/>
                <w:szCs w:val="20"/>
              </w:rPr>
              <w:t>侵入途径</w:t>
            </w:r>
          </w:p>
        </w:tc>
        <w:tc>
          <w:tcPr>
            <w:tcW w:w="5844" w:type="dxa"/>
            <w:gridSpan w:val="5"/>
            <w:tcBorders>
              <w:right w:val="single" w:color="000000" w:sz="6" w:space="0"/>
            </w:tcBorders>
            <w:vAlign w:val="top"/>
          </w:tcPr>
          <w:p w14:paraId="754AEE64">
            <w:pPr>
              <w:pStyle w:val="6"/>
              <w:spacing w:before="58" w:line="228" w:lineRule="auto"/>
              <w:ind w:left="2037"/>
              <w:rPr>
                <w:sz w:val="20"/>
                <w:szCs w:val="20"/>
              </w:rPr>
            </w:pPr>
            <w:r>
              <w:rPr>
                <w:spacing w:val="7"/>
                <w:sz w:val="20"/>
                <w:szCs w:val="20"/>
              </w:rPr>
              <w:t>吸入、食入、皮肤</w:t>
            </w:r>
          </w:p>
        </w:tc>
      </w:tr>
      <w:tr w14:paraId="0B3BC8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495" w:type="dxa"/>
            <w:vMerge w:val="continue"/>
            <w:tcBorders>
              <w:top w:val="nil"/>
              <w:left w:val="single" w:color="000000" w:sz="6" w:space="0"/>
              <w:bottom w:val="nil"/>
              <w:right w:val="single" w:color="000000" w:sz="2" w:space="0"/>
            </w:tcBorders>
            <w:vAlign w:val="top"/>
          </w:tcPr>
          <w:p w14:paraId="51DA888E">
            <w:pPr>
              <w:rPr>
                <w:rFonts w:ascii="Arial"/>
                <w:sz w:val="21"/>
              </w:rPr>
            </w:pPr>
          </w:p>
        </w:tc>
        <w:tc>
          <w:tcPr>
            <w:tcW w:w="754" w:type="dxa"/>
            <w:vMerge w:val="continue"/>
            <w:tcBorders>
              <w:top w:val="nil"/>
              <w:left w:val="single" w:color="000000" w:sz="2" w:space="0"/>
              <w:bottom w:val="nil"/>
            </w:tcBorders>
            <w:vAlign w:val="top"/>
          </w:tcPr>
          <w:p w14:paraId="32D5C558">
            <w:pPr>
              <w:rPr>
                <w:rFonts w:ascii="Arial"/>
                <w:sz w:val="21"/>
              </w:rPr>
            </w:pPr>
          </w:p>
        </w:tc>
        <w:tc>
          <w:tcPr>
            <w:tcW w:w="1808" w:type="dxa"/>
            <w:vAlign w:val="top"/>
          </w:tcPr>
          <w:p w14:paraId="09C6262E">
            <w:pPr>
              <w:pStyle w:val="6"/>
              <w:spacing w:before="57" w:line="228" w:lineRule="auto"/>
              <w:ind w:left="694"/>
              <w:rPr>
                <w:sz w:val="20"/>
                <w:szCs w:val="20"/>
              </w:rPr>
            </w:pPr>
            <w:r>
              <w:rPr>
                <w:spacing w:val="3"/>
                <w:sz w:val="20"/>
                <w:szCs w:val="20"/>
              </w:rPr>
              <w:t>毒性</w:t>
            </w:r>
          </w:p>
        </w:tc>
        <w:tc>
          <w:tcPr>
            <w:tcW w:w="5844" w:type="dxa"/>
            <w:gridSpan w:val="5"/>
            <w:tcBorders>
              <w:right w:val="single" w:color="000000" w:sz="6" w:space="0"/>
            </w:tcBorders>
            <w:vAlign w:val="top"/>
          </w:tcPr>
          <w:p w14:paraId="48EEF35B">
            <w:pPr>
              <w:pStyle w:val="6"/>
              <w:spacing w:before="57" w:line="227" w:lineRule="auto"/>
              <w:ind w:left="1822"/>
              <w:rPr>
                <w:sz w:val="20"/>
                <w:szCs w:val="20"/>
              </w:rPr>
            </w:pPr>
            <w:r>
              <w:rPr>
                <w:spacing w:val="7"/>
                <w:sz w:val="20"/>
                <w:szCs w:val="20"/>
              </w:rPr>
              <w:t>原油本身无明显毒性。</w:t>
            </w:r>
          </w:p>
        </w:tc>
      </w:tr>
      <w:tr w14:paraId="348419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3" w:hRule="atLeast"/>
        </w:trPr>
        <w:tc>
          <w:tcPr>
            <w:tcW w:w="495" w:type="dxa"/>
            <w:vMerge w:val="continue"/>
            <w:tcBorders>
              <w:top w:val="nil"/>
              <w:left w:val="single" w:color="000000" w:sz="6" w:space="0"/>
              <w:bottom w:val="nil"/>
              <w:right w:val="single" w:color="000000" w:sz="2" w:space="0"/>
            </w:tcBorders>
            <w:vAlign w:val="top"/>
          </w:tcPr>
          <w:p w14:paraId="13539A4A">
            <w:pPr>
              <w:rPr>
                <w:rFonts w:ascii="Arial"/>
                <w:sz w:val="21"/>
              </w:rPr>
            </w:pPr>
          </w:p>
        </w:tc>
        <w:tc>
          <w:tcPr>
            <w:tcW w:w="754" w:type="dxa"/>
            <w:vMerge w:val="continue"/>
            <w:tcBorders>
              <w:top w:val="nil"/>
              <w:left w:val="single" w:color="000000" w:sz="2" w:space="0"/>
            </w:tcBorders>
            <w:vAlign w:val="top"/>
          </w:tcPr>
          <w:p w14:paraId="7FFEC543">
            <w:pPr>
              <w:rPr>
                <w:rFonts w:ascii="Arial"/>
                <w:sz w:val="21"/>
              </w:rPr>
            </w:pPr>
          </w:p>
        </w:tc>
        <w:tc>
          <w:tcPr>
            <w:tcW w:w="1808" w:type="dxa"/>
            <w:vAlign w:val="top"/>
          </w:tcPr>
          <w:p w14:paraId="4CBBFAFB">
            <w:pPr>
              <w:spacing w:line="306" w:lineRule="auto"/>
              <w:rPr>
                <w:rFonts w:ascii="Arial"/>
                <w:sz w:val="21"/>
              </w:rPr>
            </w:pPr>
          </w:p>
          <w:p w14:paraId="04E6DCBD">
            <w:pPr>
              <w:spacing w:line="306" w:lineRule="auto"/>
              <w:rPr>
                <w:rFonts w:ascii="Arial"/>
                <w:sz w:val="21"/>
              </w:rPr>
            </w:pPr>
          </w:p>
          <w:p w14:paraId="0BFC8C9B">
            <w:pPr>
              <w:pStyle w:val="6"/>
              <w:spacing w:before="65" w:line="228" w:lineRule="auto"/>
              <w:ind w:left="481"/>
              <w:rPr>
                <w:sz w:val="20"/>
                <w:szCs w:val="20"/>
              </w:rPr>
            </w:pPr>
            <w:r>
              <w:rPr>
                <w:spacing w:val="7"/>
                <w:sz w:val="20"/>
                <w:szCs w:val="20"/>
              </w:rPr>
              <w:t>健康危害</w:t>
            </w:r>
          </w:p>
        </w:tc>
        <w:tc>
          <w:tcPr>
            <w:tcW w:w="5844" w:type="dxa"/>
            <w:gridSpan w:val="5"/>
            <w:tcBorders>
              <w:right w:val="single" w:color="000000" w:sz="6" w:space="0"/>
            </w:tcBorders>
            <w:vAlign w:val="top"/>
          </w:tcPr>
          <w:p w14:paraId="47E0532F">
            <w:pPr>
              <w:pStyle w:val="6"/>
              <w:spacing w:before="31" w:line="234" w:lineRule="auto"/>
              <w:ind w:left="108" w:right="210"/>
              <w:jc w:val="both"/>
              <w:rPr>
                <w:sz w:val="20"/>
                <w:szCs w:val="20"/>
              </w:rPr>
            </w:pPr>
            <w:r>
              <w:rPr>
                <w:spacing w:val="12"/>
                <w:sz w:val="20"/>
                <w:szCs w:val="20"/>
              </w:rPr>
              <w:t>刺激眼睛和皮肤，导致皮肤红肿、干燥和皮炎，食入将引发恶心、呕吐和腹泻，影响中枢神经系统，表现为兴奋，</w:t>
            </w:r>
            <w:r>
              <w:rPr>
                <w:spacing w:val="11"/>
                <w:sz w:val="20"/>
                <w:szCs w:val="20"/>
              </w:rPr>
              <w:t>继而</w:t>
            </w:r>
            <w:r>
              <w:rPr>
                <w:spacing w:val="12"/>
                <w:sz w:val="20"/>
                <w:szCs w:val="20"/>
              </w:rPr>
              <w:t>引发头痛、眼花、困倦及恶心，更严重者将精神崩溃、</w:t>
            </w:r>
            <w:r>
              <w:rPr>
                <w:spacing w:val="11"/>
                <w:sz w:val="20"/>
                <w:szCs w:val="20"/>
              </w:rPr>
              <w:t>失去</w:t>
            </w:r>
            <w:r>
              <w:rPr>
                <w:spacing w:val="12"/>
                <w:sz w:val="20"/>
                <w:szCs w:val="20"/>
              </w:rPr>
              <w:t>意识、陷入昏迷，甚至由于呼吸系统衰竭导致死亡。吸</w:t>
            </w:r>
            <w:r>
              <w:rPr>
                <w:spacing w:val="11"/>
                <w:sz w:val="20"/>
                <w:szCs w:val="20"/>
              </w:rPr>
              <w:t>入高</w:t>
            </w:r>
            <w:r>
              <w:rPr>
                <w:spacing w:val="12"/>
                <w:sz w:val="20"/>
                <w:szCs w:val="20"/>
              </w:rPr>
              <w:t>浓度蒸气将影响中枢神经系统肺损伤，引发恶心、头痛</w:t>
            </w:r>
            <w:r>
              <w:rPr>
                <w:spacing w:val="11"/>
                <w:sz w:val="20"/>
                <w:szCs w:val="20"/>
              </w:rPr>
              <w:t>、眼</w:t>
            </w:r>
            <w:r>
              <w:rPr>
                <w:spacing w:val="5"/>
                <w:sz w:val="20"/>
                <w:szCs w:val="20"/>
              </w:rPr>
              <w:t>花至昏迷。</w:t>
            </w:r>
          </w:p>
        </w:tc>
      </w:tr>
      <w:tr w14:paraId="020680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3" w:hRule="atLeast"/>
        </w:trPr>
        <w:tc>
          <w:tcPr>
            <w:tcW w:w="495" w:type="dxa"/>
            <w:vMerge w:val="continue"/>
            <w:tcBorders>
              <w:top w:val="nil"/>
              <w:left w:val="single" w:color="000000" w:sz="6" w:space="0"/>
              <w:bottom w:val="nil"/>
              <w:right w:val="single" w:color="000000" w:sz="2" w:space="0"/>
            </w:tcBorders>
            <w:vAlign w:val="top"/>
          </w:tcPr>
          <w:p w14:paraId="20520D85">
            <w:pPr>
              <w:rPr>
                <w:rFonts w:ascii="Arial"/>
                <w:sz w:val="21"/>
              </w:rPr>
            </w:pPr>
          </w:p>
        </w:tc>
        <w:tc>
          <w:tcPr>
            <w:tcW w:w="754" w:type="dxa"/>
            <w:tcBorders>
              <w:left w:val="single" w:color="000000" w:sz="2" w:space="0"/>
            </w:tcBorders>
            <w:vAlign w:val="top"/>
          </w:tcPr>
          <w:p w14:paraId="48FFD900">
            <w:pPr>
              <w:spacing w:line="356" w:lineRule="auto"/>
              <w:rPr>
                <w:rFonts w:ascii="Arial"/>
                <w:sz w:val="21"/>
              </w:rPr>
            </w:pPr>
          </w:p>
          <w:p w14:paraId="16057408">
            <w:pPr>
              <w:pStyle w:val="6"/>
              <w:spacing w:before="65" w:line="243" w:lineRule="auto"/>
              <w:ind w:left="220" w:right="116" w:firstLine="6"/>
              <w:rPr>
                <w:sz w:val="20"/>
                <w:szCs w:val="20"/>
              </w:rPr>
            </w:pPr>
            <w:r>
              <w:rPr>
                <w:spacing w:val="1"/>
                <w:sz w:val="20"/>
                <w:szCs w:val="20"/>
              </w:rPr>
              <w:t>急救</w:t>
            </w:r>
            <w:r>
              <w:rPr>
                <w:spacing w:val="4"/>
                <w:sz w:val="20"/>
                <w:szCs w:val="20"/>
              </w:rPr>
              <w:t>措施</w:t>
            </w:r>
          </w:p>
        </w:tc>
        <w:tc>
          <w:tcPr>
            <w:tcW w:w="7652" w:type="dxa"/>
            <w:gridSpan w:val="6"/>
            <w:tcBorders>
              <w:right w:val="single" w:color="000000" w:sz="6" w:space="0"/>
            </w:tcBorders>
            <w:vAlign w:val="top"/>
          </w:tcPr>
          <w:p w14:paraId="010C7813">
            <w:pPr>
              <w:pStyle w:val="6"/>
              <w:spacing w:before="34" w:line="228" w:lineRule="auto"/>
              <w:ind w:left="108"/>
              <w:rPr>
                <w:sz w:val="20"/>
                <w:szCs w:val="20"/>
              </w:rPr>
            </w:pPr>
            <w:r>
              <w:rPr>
                <w:spacing w:val="8"/>
                <w:sz w:val="20"/>
                <w:szCs w:val="20"/>
              </w:rPr>
              <w:t>皮肤接触：脱去污染的衣着，按用大量水冲洗皮肤至少</w:t>
            </w:r>
            <w:r>
              <w:rPr>
                <w:spacing w:val="-21"/>
                <w:sz w:val="20"/>
                <w:szCs w:val="20"/>
              </w:rPr>
              <w:t xml:space="preserve"> </w:t>
            </w:r>
            <w:r>
              <w:rPr>
                <w:rFonts w:ascii="Times New Roman" w:hAnsi="Times New Roman" w:eastAsia="Times New Roman" w:cs="Times New Roman"/>
                <w:spacing w:val="8"/>
                <w:sz w:val="20"/>
                <w:szCs w:val="20"/>
              </w:rPr>
              <w:t xml:space="preserve">15 </w:t>
            </w:r>
            <w:r>
              <w:rPr>
                <w:spacing w:val="8"/>
                <w:sz w:val="20"/>
                <w:szCs w:val="20"/>
              </w:rPr>
              <w:t>分钟。</w:t>
            </w:r>
            <w:r>
              <w:rPr>
                <w:spacing w:val="7"/>
                <w:sz w:val="20"/>
                <w:szCs w:val="20"/>
              </w:rPr>
              <w:t>就医。</w:t>
            </w:r>
          </w:p>
          <w:p w14:paraId="372D52FD">
            <w:pPr>
              <w:pStyle w:val="6"/>
              <w:spacing w:before="12" w:line="227" w:lineRule="auto"/>
              <w:ind w:left="118"/>
              <w:rPr>
                <w:sz w:val="20"/>
                <w:szCs w:val="20"/>
              </w:rPr>
            </w:pPr>
            <w:r>
              <w:rPr>
                <w:spacing w:val="7"/>
                <w:sz w:val="20"/>
                <w:szCs w:val="20"/>
              </w:rPr>
              <w:t>眼睛接触：立即提起眼睑用大量水冲洗眼睛，至少</w:t>
            </w:r>
            <w:r>
              <w:rPr>
                <w:spacing w:val="-6"/>
                <w:sz w:val="20"/>
                <w:szCs w:val="20"/>
              </w:rPr>
              <w:t xml:space="preserve"> </w:t>
            </w:r>
            <w:r>
              <w:rPr>
                <w:rFonts w:ascii="Times New Roman" w:hAnsi="Times New Roman" w:eastAsia="Times New Roman" w:cs="Times New Roman"/>
                <w:spacing w:val="7"/>
                <w:sz w:val="20"/>
                <w:szCs w:val="20"/>
              </w:rPr>
              <w:t xml:space="preserve">15 </w:t>
            </w:r>
            <w:r>
              <w:rPr>
                <w:spacing w:val="7"/>
                <w:sz w:val="20"/>
                <w:szCs w:val="20"/>
              </w:rPr>
              <w:t>分钟。就医。</w:t>
            </w:r>
          </w:p>
          <w:p w14:paraId="584F475F">
            <w:pPr>
              <w:pStyle w:val="6"/>
              <w:spacing w:before="16" w:line="239" w:lineRule="auto"/>
              <w:ind w:left="105" w:right="244" w:firstLine="7"/>
              <w:rPr>
                <w:sz w:val="20"/>
                <w:szCs w:val="20"/>
              </w:rPr>
            </w:pPr>
            <w:r>
              <w:rPr>
                <w:spacing w:val="8"/>
                <w:sz w:val="20"/>
                <w:szCs w:val="20"/>
              </w:rPr>
              <w:t>吸入：迅速撤离现场到空气新鲜处；如呼吸停止，进行人工呼吸；如呼吸困难，</w:t>
            </w:r>
            <w:r>
              <w:rPr>
                <w:spacing w:val="9"/>
                <w:sz w:val="20"/>
                <w:szCs w:val="20"/>
              </w:rPr>
              <w:t>给输氧（如有适当的解毒剂，立即服用）。就医。</w:t>
            </w:r>
          </w:p>
          <w:p w14:paraId="1CCF4FB9">
            <w:pPr>
              <w:pStyle w:val="6"/>
              <w:spacing w:line="202" w:lineRule="auto"/>
              <w:ind w:left="104"/>
              <w:rPr>
                <w:sz w:val="20"/>
                <w:szCs w:val="20"/>
              </w:rPr>
            </w:pPr>
            <w:r>
              <w:rPr>
                <w:spacing w:val="9"/>
                <w:sz w:val="20"/>
                <w:szCs w:val="20"/>
              </w:rPr>
              <w:t>食入：误服者立即漱口，饮足量温水，尽快洗胃。就医。</w:t>
            </w:r>
          </w:p>
        </w:tc>
      </w:tr>
      <w:tr w14:paraId="7A3561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3" w:hRule="atLeast"/>
        </w:trPr>
        <w:tc>
          <w:tcPr>
            <w:tcW w:w="495" w:type="dxa"/>
            <w:vMerge w:val="continue"/>
            <w:tcBorders>
              <w:top w:val="nil"/>
              <w:left w:val="single" w:color="000000" w:sz="6" w:space="0"/>
              <w:bottom w:val="nil"/>
              <w:right w:val="single" w:color="000000" w:sz="2" w:space="0"/>
            </w:tcBorders>
            <w:vAlign w:val="top"/>
          </w:tcPr>
          <w:p w14:paraId="00BA28BE">
            <w:pPr>
              <w:rPr>
                <w:rFonts w:ascii="Arial"/>
                <w:sz w:val="21"/>
              </w:rPr>
            </w:pPr>
          </w:p>
        </w:tc>
        <w:tc>
          <w:tcPr>
            <w:tcW w:w="754" w:type="dxa"/>
            <w:tcBorders>
              <w:left w:val="single" w:color="000000" w:sz="2" w:space="0"/>
            </w:tcBorders>
            <w:vAlign w:val="top"/>
          </w:tcPr>
          <w:p w14:paraId="4B20717D">
            <w:pPr>
              <w:pStyle w:val="6"/>
              <w:spacing w:before="295" w:line="243" w:lineRule="auto"/>
              <w:ind w:left="220" w:right="116" w:firstLine="3"/>
              <w:jc w:val="both"/>
              <w:rPr>
                <w:sz w:val="20"/>
                <w:szCs w:val="20"/>
              </w:rPr>
            </w:pPr>
            <w:r>
              <w:rPr>
                <w:spacing w:val="3"/>
                <w:sz w:val="20"/>
                <w:szCs w:val="20"/>
              </w:rPr>
              <w:t>泄漏</w:t>
            </w:r>
            <w:r>
              <w:rPr>
                <w:spacing w:val="4"/>
                <w:sz w:val="20"/>
                <w:szCs w:val="20"/>
              </w:rPr>
              <w:t>应急处理</w:t>
            </w:r>
          </w:p>
        </w:tc>
        <w:tc>
          <w:tcPr>
            <w:tcW w:w="7652" w:type="dxa"/>
            <w:gridSpan w:val="6"/>
            <w:tcBorders>
              <w:right w:val="single" w:color="000000" w:sz="6" w:space="0"/>
            </w:tcBorders>
            <w:vAlign w:val="top"/>
          </w:tcPr>
          <w:p w14:paraId="6EC61327">
            <w:pPr>
              <w:pStyle w:val="6"/>
              <w:spacing w:before="36" w:line="232" w:lineRule="auto"/>
              <w:ind w:left="105" w:right="210"/>
              <w:jc w:val="both"/>
              <w:rPr>
                <w:sz w:val="20"/>
                <w:szCs w:val="20"/>
              </w:rPr>
            </w:pPr>
            <w:r>
              <w:rPr>
                <w:spacing w:val="9"/>
                <w:sz w:val="20"/>
                <w:szCs w:val="20"/>
              </w:rPr>
              <w:t>疏散泄漏污染区人员至安全区，禁止无关人员进入污染区，切断火源。应急处理人员戴自给式呼吸器，穿一般消防防护服。在确保安全情况下堵漏。喷水雾可减少蒸发。用活性炭或其他惰性材料吸收，然后收集运至废物处理场所。也可以用大量水冲洗，经稀释的洗液放入放心水系统。如大量泄漏，利用围堤收容，然后</w:t>
            </w:r>
            <w:r>
              <w:rPr>
                <w:spacing w:val="6"/>
                <w:sz w:val="20"/>
                <w:szCs w:val="20"/>
              </w:rPr>
              <w:t>收集无害处理。</w:t>
            </w:r>
          </w:p>
        </w:tc>
      </w:tr>
      <w:tr w14:paraId="7BAA96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3" w:hRule="atLeast"/>
        </w:trPr>
        <w:tc>
          <w:tcPr>
            <w:tcW w:w="495" w:type="dxa"/>
            <w:vMerge w:val="continue"/>
            <w:tcBorders>
              <w:top w:val="nil"/>
              <w:left w:val="single" w:color="000000" w:sz="6" w:space="0"/>
              <w:bottom w:val="nil"/>
              <w:right w:val="single" w:color="000000" w:sz="2" w:space="0"/>
            </w:tcBorders>
            <w:vAlign w:val="top"/>
          </w:tcPr>
          <w:p w14:paraId="4B858606">
            <w:pPr>
              <w:rPr>
                <w:rFonts w:ascii="Arial"/>
                <w:sz w:val="21"/>
              </w:rPr>
            </w:pPr>
          </w:p>
        </w:tc>
        <w:tc>
          <w:tcPr>
            <w:tcW w:w="754" w:type="dxa"/>
            <w:tcBorders>
              <w:left w:val="single" w:color="000000" w:sz="2" w:space="0"/>
            </w:tcBorders>
            <w:vAlign w:val="top"/>
          </w:tcPr>
          <w:p w14:paraId="7AE6F33D">
            <w:pPr>
              <w:pStyle w:val="6"/>
              <w:spacing w:before="296" w:line="242" w:lineRule="auto"/>
              <w:ind w:left="219" w:right="116"/>
              <w:jc w:val="both"/>
              <w:rPr>
                <w:sz w:val="20"/>
                <w:szCs w:val="20"/>
              </w:rPr>
            </w:pPr>
            <w:r>
              <w:rPr>
                <w:spacing w:val="5"/>
                <w:sz w:val="20"/>
                <w:szCs w:val="20"/>
              </w:rPr>
              <w:t>储存</w:t>
            </w:r>
            <w:r>
              <w:rPr>
                <w:spacing w:val="4"/>
                <w:sz w:val="20"/>
                <w:szCs w:val="20"/>
              </w:rPr>
              <w:t>注意事项</w:t>
            </w:r>
          </w:p>
        </w:tc>
        <w:tc>
          <w:tcPr>
            <w:tcW w:w="7652" w:type="dxa"/>
            <w:gridSpan w:val="6"/>
            <w:tcBorders>
              <w:right w:val="single" w:color="000000" w:sz="6" w:space="0"/>
            </w:tcBorders>
            <w:vAlign w:val="top"/>
          </w:tcPr>
          <w:p w14:paraId="29BF502A">
            <w:pPr>
              <w:pStyle w:val="6"/>
              <w:spacing w:before="41" w:line="231" w:lineRule="auto"/>
              <w:ind w:left="104" w:right="142"/>
              <w:jc w:val="both"/>
              <w:rPr>
                <w:sz w:val="20"/>
                <w:szCs w:val="20"/>
              </w:rPr>
            </w:pPr>
            <w:r>
              <w:rPr>
                <w:spacing w:val="3"/>
                <w:sz w:val="20"/>
                <w:szCs w:val="20"/>
              </w:rPr>
              <w:t>储运于阴凉、通风仓间内。远离火种、热源。仓温不宜超过</w:t>
            </w:r>
            <w:r>
              <w:rPr>
                <w:spacing w:val="-24"/>
                <w:sz w:val="20"/>
                <w:szCs w:val="20"/>
              </w:rPr>
              <w:t xml:space="preserve"> </w:t>
            </w:r>
            <w:r>
              <w:rPr>
                <w:rFonts w:ascii="Times New Roman" w:hAnsi="Times New Roman" w:eastAsia="Times New Roman" w:cs="Times New Roman"/>
                <w:spacing w:val="3"/>
                <w:sz w:val="20"/>
                <w:szCs w:val="20"/>
              </w:rPr>
              <w:t>30℃</w:t>
            </w:r>
            <w:r>
              <w:rPr>
                <w:spacing w:val="3"/>
                <w:sz w:val="20"/>
                <w:szCs w:val="20"/>
              </w:rPr>
              <w:t>。防止阳光直射。</w:t>
            </w:r>
            <w:r>
              <w:rPr>
                <w:spacing w:val="9"/>
                <w:sz w:val="20"/>
                <w:szCs w:val="20"/>
              </w:rPr>
              <w:t>保持容器密封。储存间内的照明、通风等设施应采用防爆型。配备相应品种和数量的消防器材。罐储时要有防火防爆技术措施。禁止使用易产生火花的机械设备和工具。灌装时注意流速（不超过</w:t>
            </w:r>
            <w:r>
              <w:rPr>
                <w:rFonts w:ascii="Times New Roman" w:hAnsi="Times New Roman" w:eastAsia="Times New Roman" w:cs="Times New Roman"/>
                <w:spacing w:val="9"/>
                <w:sz w:val="20"/>
                <w:szCs w:val="20"/>
              </w:rPr>
              <w:t>3m/s</w:t>
            </w:r>
            <w:r>
              <w:rPr>
                <w:spacing w:val="8"/>
                <w:sz w:val="20"/>
                <w:szCs w:val="20"/>
              </w:rPr>
              <w:t>），</w:t>
            </w:r>
            <w:r>
              <w:rPr>
                <w:spacing w:val="9"/>
                <w:sz w:val="20"/>
                <w:szCs w:val="20"/>
              </w:rPr>
              <w:t>且有接地装置，防止静电积聚。搬运</w:t>
            </w:r>
            <w:r>
              <w:rPr>
                <w:spacing w:val="8"/>
                <w:sz w:val="20"/>
                <w:szCs w:val="20"/>
              </w:rPr>
              <w:t>时要轻装轻卸，防止包装及容器损坏。</w:t>
            </w:r>
          </w:p>
        </w:tc>
      </w:tr>
      <w:tr w14:paraId="589E7E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495" w:type="dxa"/>
            <w:vMerge w:val="continue"/>
            <w:tcBorders>
              <w:top w:val="nil"/>
              <w:left w:val="single" w:color="000000" w:sz="6" w:space="0"/>
              <w:bottom w:val="single" w:color="000000" w:sz="6" w:space="0"/>
              <w:right w:val="single" w:color="000000" w:sz="2" w:space="0"/>
            </w:tcBorders>
            <w:vAlign w:val="top"/>
          </w:tcPr>
          <w:p w14:paraId="455D9E28">
            <w:pPr>
              <w:rPr>
                <w:rFonts w:ascii="Arial"/>
                <w:sz w:val="21"/>
              </w:rPr>
            </w:pPr>
          </w:p>
        </w:tc>
        <w:tc>
          <w:tcPr>
            <w:tcW w:w="754" w:type="dxa"/>
            <w:tcBorders>
              <w:left w:val="single" w:color="000000" w:sz="2" w:space="0"/>
              <w:bottom w:val="single" w:color="000000" w:sz="6" w:space="0"/>
            </w:tcBorders>
            <w:vAlign w:val="top"/>
          </w:tcPr>
          <w:p w14:paraId="24FCDA69">
            <w:pPr>
              <w:pStyle w:val="6"/>
              <w:spacing w:before="41" w:line="228" w:lineRule="auto"/>
              <w:ind w:left="233"/>
              <w:rPr>
                <w:sz w:val="20"/>
                <w:szCs w:val="20"/>
              </w:rPr>
            </w:pPr>
            <w:r>
              <w:rPr>
                <w:spacing w:val="-2"/>
                <w:sz w:val="20"/>
                <w:szCs w:val="20"/>
              </w:rPr>
              <w:t>防护</w:t>
            </w:r>
          </w:p>
          <w:p w14:paraId="163C0D5A">
            <w:pPr>
              <w:pStyle w:val="6"/>
              <w:spacing w:before="12" w:line="228" w:lineRule="auto"/>
              <w:ind w:left="220"/>
              <w:rPr>
                <w:sz w:val="20"/>
                <w:szCs w:val="20"/>
              </w:rPr>
            </w:pPr>
            <w:r>
              <w:rPr>
                <w:spacing w:val="4"/>
                <w:sz w:val="20"/>
                <w:szCs w:val="20"/>
              </w:rPr>
              <w:t>措施</w:t>
            </w:r>
          </w:p>
        </w:tc>
        <w:tc>
          <w:tcPr>
            <w:tcW w:w="7652" w:type="dxa"/>
            <w:gridSpan w:val="6"/>
            <w:tcBorders>
              <w:bottom w:val="single" w:color="000000" w:sz="6" w:space="0"/>
              <w:right w:val="single" w:color="000000" w:sz="6" w:space="0"/>
            </w:tcBorders>
            <w:vAlign w:val="top"/>
          </w:tcPr>
          <w:p w14:paraId="43068FF9">
            <w:pPr>
              <w:pStyle w:val="6"/>
              <w:spacing w:before="41" w:line="227" w:lineRule="auto"/>
              <w:ind w:left="107"/>
              <w:rPr>
                <w:sz w:val="20"/>
                <w:szCs w:val="20"/>
              </w:rPr>
            </w:pPr>
            <w:r>
              <w:rPr>
                <w:spacing w:val="8"/>
                <w:sz w:val="20"/>
                <w:szCs w:val="20"/>
              </w:rPr>
              <w:t>工程控制：采用通风装置。</w:t>
            </w:r>
          </w:p>
          <w:p w14:paraId="24517F63">
            <w:pPr>
              <w:pStyle w:val="6"/>
              <w:spacing w:before="12" w:line="228" w:lineRule="auto"/>
              <w:ind w:left="116"/>
              <w:rPr>
                <w:sz w:val="20"/>
                <w:szCs w:val="20"/>
              </w:rPr>
            </w:pPr>
            <w:r>
              <w:rPr>
                <w:spacing w:val="9"/>
                <w:sz w:val="20"/>
                <w:szCs w:val="20"/>
              </w:rPr>
              <w:t>呼吸系统防护：高浓度环境中，应该佩戴防毒口罩，紧急事态抢救或撤离时</w:t>
            </w:r>
            <w:r>
              <w:rPr>
                <w:spacing w:val="8"/>
                <w:sz w:val="20"/>
                <w:szCs w:val="20"/>
              </w:rPr>
              <w:t>，建</w:t>
            </w:r>
          </w:p>
        </w:tc>
      </w:tr>
    </w:tbl>
    <w:p w14:paraId="76BD6424">
      <w:pPr>
        <w:rPr>
          <w:rFonts w:ascii="Arial"/>
          <w:sz w:val="21"/>
        </w:rPr>
      </w:pPr>
    </w:p>
    <w:p w14:paraId="354AE73C">
      <w:pPr>
        <w:rPr>
          <w:rFonts w:ascii="Arial" w:hAnsi="Arial" w:eastAsia="Arial" w:cs="Arial"/>
          <w:sz w:val="21"/>
          <w:szCs w:val="21"/>
        </w:rPr>
        <w:sectPr>
          <w:footerReference r:id="rId80" w:type="default"/>
          <w:pgSz w:w="11906" w:h="16839"/>
          <w:pgMar w:top="400" w:right="1410" w:bottom="1240" w:left="1579" w:header="0" w:footer="1078" w:gutter="0"/>
          <w:cols w:space="720" w:num="1"/>
        </w:sectPr>
      </w:pPr>
    </w:p>
    <w:p w14:paraId="0D51C486">
      <w:pPr>
        <w:spacing w:before="56"/>
      </w:pPr>
    </w:p>
    <w:p w14:paraId="0D15C2C0">
      <w:pPr>
        <w:spacing w:before="56"/>
      </w:pPr>
    </w:p>
    <w:p w14:paraId="5A5B1BB7">
      <w:pPr>
        <w:spacing w:before="55"/>
      </w:pPr>
    </w:p>
    <w:p w14:paraId="5974E6DD">
      <w:pPr>
        <w:spacing w:before="55"/>
      </w:pPr>
    </w:p>
    <w:tbl>
      <w:tblPr>
        <w:tblStyle w:val="5"/>
        <w:tblW w:w="8901"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5"/>
        <w:gridCol w:w="749"/>
        <w:gridCol w:w="20"/>
        <w:gridCol w:w="1890"/>
        <w:gridCol w:w="2079"/>
        <w:gridCol w:w="116"/>
        <w:gridCol w:w="1666"/>
        <w:gridCol w:w="1886"/>
      </w:tblGrid>
      <w:tr w14:paraId="0DB373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3" w:hRule="atLeast"/>
        </w:trPr>
        <w:tc>
          <w:tcPr>
            <w:tcW w:w="495" w:type="dxa"/>
            <w:vMerge w:val="restart"/>
            <w:tcBorders>
              <w:top w:val="single" w:color="000000" w:sz="6" w:space="0"/>
              <w:left w:val="single" w:color="000000" w:sz="6" w:space="0"/>
              <w:bottom w:val="nil"/>
              <w:right w:val="single" w:color="000000" w:sz="2" w:space="0"/>
            </w:tcBorders>
            <w:vAlign w:val="top"/>
          </w:tcPr>
          <w:p w14:paraId="4622879C">
            <w:pPr>
              <w:rPr>
                <w:rFonts w:ascii="Arial"/>
                <w:sz w:val="21"/>
              </w:rPr>
            </w:pPr>
          </w:p>
        </w:tc>
        <w:tc>
          <w:tcPr>
            <w:tcW w:w="749" w:type="dxa"/>
            <w:tcBorders>
              <w:top w:val="single" w:color="000000" w:sz="6" w:space="0"/>
              <w:left w:val="single" w:color="000000" w:sz="2" w:space="0"/>
              <w:bottom w:val="single" w:color="000000" w:sz="10" w:space="0"/>
            </w:tcBorders>
            <w:vAlign w:val="top"/>
          </w:tcPr>
          <w:p w14:paraId="7A08811E">
            <w:pPr>
              <w:rPr>
                <w:rFonts w:ascii="Arial"/>
                <w:sz w:val="21"/>
              </w:rPr>
            </w:pPr>
          </w:p>
        </w:tc>
        <w:tc>
          <w:tcPr>
            <w:tcW w:w="7657" w:type="dxa"/>
            <w:gridSpan w:val="6"/>
            <w:tcBorders>
              <w:top w:val="single" w:color="000000" w:sz="6" w:space="0"/>
              <w:bottom w:val="single" w:color="000000" w:sz="10" w:space="0"/>
              <w:right w:val="single" w:color="000000" w:sz="6" w:space="0"/>
            </w:tcBorders>
            <w:vAlign w:val="top"/>
          </w:tcPr>
          <w:p w14:paraId="01190D67">
            <w:pPr>
              <w:pStyle w:val="6"/>
              <w:spacing w:before="47" w:line="228" w:lineRule="auto"/>
              <w:ind w:left="111"/>
              <w:rPr>
                <w:sz w:val="20"/>
                <w:szCs w:val="20"/>
              </w:rPr>
            </w:pPr>
            <w:r>
              <w:rPr>
                <w:spacing w:val="8"/>
                <w:sz w:val="20"/>
                <w:szCs w:val="20"/>
              </w:rPr>
              <w:t>议佩戴自给式呼吸器</w:t>
            </w:r>
          </w:p>
          <w:p w14:paraId="3276157A">
            <w:pPr>
              <w:pStyle w:val="6"/>
              <w:spacing w:before="14" w:line="227" w:lineRule="auto"/>
              <w:ind w:left="123"/>
              <w:rPr>
                <w:sz w:val="20"/>
                <w:szCs w:val="20"/>
              </w:rPr>
            </w:pPr>
            <w:r>
              <w:rPr>
                <w:spacing w:val="8"/>
                <w:sz w:val="20"/>
                <w:szCs w:val="20"/>
              </w:rPr>
              <w:t>眼睛防护：化学安全防护眼镜</w:t>
            </w:r>
          </w:p>
          <w:p w14:paraId="2C2D688A">
            <w:pPr>
              <w:pStyle w:val="6"/>
              <w:spacing w:before="12" w:line="228" w:lineRule="auto"/>
              <w:ind w:left="115"/>
              <w:rPr>
                <w:sz w:val="20"/>
                <w:szCs w:val="20"/>
              </w:rPr>
            </w:pPr>
            <w:r>
              <w:rPr>
                <w:spacing w:val="8"/>
                <w:sz w:val="20"/>
                <w:szCs w:val="20"/>
              </w:rPr>
              <w:t>身体防护：橡胶工作服</w:t>
            </w:r>
          </w:p>
          <w:p w14:paraId="6AC2FC7A">
            <w:pPr>
              <w:pStyle w:val="6"/>
              <w:spacing w:before="12" w:line="228" w:lineRule="auto"/>
              <w:ind w:left="109"/>
              <w:rPr>
                <w:sz w:val="20"/>
                <w:szCs w:val="20"/>
              </w:rPr>
            </w:pPr>
            <w:r>
              <w:rPr>
                <w:spacing w:val="7"/>
                <w:sz w:val="20"/>
                <w:szCs w:val="20"/>
              </w:rPr>
              <w:t>手防护：防护手套。</w:t>
            </w:r>
          </w:p>
          <w:p w14:paraId="3EAB458F">
            <w:pPr>
              <w:pStyle w:val="6"/>
              <w:spacing w:before="15" w:line="216" w:lineRule="auto"/>
              <w:ind w:left="110"/>
              <w:rPr>
                <w:sz w:val="20"/>
                <w:szCs w:val="20"/>
              </w:rPr>
            </w:pPr>
            <w:r>
              <w:rPr>
                <w:spacing w:val="9"/>
                <w:sz w:val="20"/>
                <w:szCs w:val="20"/>
              </w:rPr>
              <w:t>其他：工作后，沐浴更衣。注意个人清洁卫</w:t>
            </w:r>
            <w:r>
              <w:rPr>
                <w:spacing w:val="8"/>
                <w:sz w:val="20"/>
                <w:szCs w:val="20"/>
              </w:rPr>
              <w:t>生。</w:t>
            </w:r>
          </w:p>
        </w:tc>
      </w:tr>
      <w:tr w14:paraId="7510F8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495" w:type="dxa"/>
            <w:vMerge w:val="continue"/>
            <w:tcBorders>
              <w:top w:val="nil"/>
              <w:left w:val="single" w:color="000000" w:sz="6" w:space="0"/>
              <w:bottom w:val="nil"/>
              <w:right w:val="single" w:color="000000" w:sz="2" w:space="0"/>
            </w:tcBorders>
            <w:vAlign w:val="top"/>
          </w:tcPr>
          <w:p w14:paraId="71FCF159">
            <w:pPr>
              <w:rPr>
                <w:rFonts w:ascii="Arial"/>
                <w:sz w:val="21"/>
              </w:rPr>
            </w:pPr>
          </w:p>
        </w:tc>
        <w:tc>
          <w:tcPr>
            <w:tcW w:w="8406" w:type="dxa"/>
            <w:gridSpan w:val="7"/>
            <w:tcBorders>
              <w:top w:val="single" w:color="000000" w:sz="10" w:space="0"/>
              <w:left w:val="single" w:color="000000" w:sz="2" w:space="0"/>
              <w:bottom w:val="single" w:color="000000" w:sz="10" w:space="0"/>
              <w:right w:val="single" w:color="000000" w:sz="6" w:space="0"/>
            </w:tcBorders>
            <w:vAlign w:val="top"/>
          </w:tcPr>
          <w:p w14:paraId="3297FB31">
            <w:pPr>
              <w:spacing w:before="28" w:line="213" w:lineRule="auto"/>
              <w:ind w:left="3328"/>
              <w:rPr>
                <w:rFonts w:ascii="黑体" w:hAnsi="黑体" w:eastAsia="黑体" w:cs="黑体"/>
                <w:sz w:val="24"/>
                <w:szCs w:val="24"/>
              </w:rPr>
            </w:pPr>
            <w:r>
              <w:rPr>
                <w:rFonts w:ascii="黑体" w:hAnsi="黑体" w:eastAsia="黑体" w:cs="黑体"/>
                <w:spacing w:val="-4"/>
                <w:sz w:val="24"/>
                <w:szCs w:val="24"/>
              </w:rPr>
              <w:t>表</w:t>
            </w:r>
            <w:r>
              <w:rPr>
                <w:rFonts w:ascii="Times New Roman" w:hAnsi="Times New Roman" w:eastAsia="Times New Roman" w:cs="Times New Roman"/>
                <w:spacing w:val="-4"/>
                <w:sz w:val="24"/>
                <w:szCs w:val="24"/>
              </w:rPr>
              <w:t>4-</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pacing w:val="-4"/>
                <w:sz w:val="24"/>
                <w:szCs w:val="24"/>
              </w:rPr>
              <w:t xml:space="preserve">14  </w:t>
            </w:r>
            <w:r>
              <w:rPr>
                <w:rFonts w:ascii="黑体" w:hAnsi="黑体" w:eastAsia="黑体" w:cs="黑体"/>
                <w:spacing w:val="-4"/>
                <w:sz w:val="24"/>
                <w:szCs w:val="24"/>
              </w:rPr>
              <w:t>柴油理化性质</w:t>
            </w:r>
          </w:p>
        </w:tc>
      </w:tr>
      <w:tr w14:paraId="5709E5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495" w:type="dxa"/>
            <w:vMerge w:val="continue"/>
            <w:tcBorders>
              <w:top w:val="nil"/>
              <w:left w:val="single" w:color="000000" w:sz="6" w:space="0"/>
              <w:bottom w:val="nil"/>
              <w:right w:val="single" w:color="000000" w:sz="2" w:space="0"/>
            </w:tcBorders>
            <w:vAlign w:val="top"/>
          </w:tcPr>
          <w:p w14:paraId="3310B40F">
            <w:pPr>
              <w:rPr>
                <w:rFonts w:ascii="Arial"/>
                <w:sz w:val="21"/>
              </w:rPr>
            </w:pPr>
          </w:p>
        </w:tc>
        <w:tc>
          <w:tcPr>
            <w:tcW w:w="769" w:type="dxa"/>
            <w:gridSpan w:val="2"/>
            <w:vMerge w:val="restart"/>
            <w:tcBorders>
              <w:top w:val="single" w:color="000000" w:sz="10" w:space="0"/>
              <w:left w:val="single" w:color="000000" w:sz="2" w:space="0"/>
              <w:bottom w:val="nil"/>
            </w:tcBorders>
            <w:vAlign w:val="top"/>
          </w:tcPr>
          <w:p w14:paraId="3B1CC48A">
            <w:pPr>
              <w:spacing w:line="382" w:lineRule="auto"/>
              <w:rPr>
                <w:rFonts w:ascii="Arial"/>
                <w:sz w:val="21"/>
              </w:rPr>
            </w:pPr>
          </w:p>
          <w:p w14:paraId="6A4FAFBB">
            <w:pPr>
              <w:pStyle w:val="6"/>
              <w:spacing w:before="65" w:line="228" w:lineRule="auto"/>
              <w:ind w:left="228"/>
              <w:rPr>
                <w:sz w:val="20"/>
                <w:szCs w:val="20"/>
              </w:rPr>
            </w:pPr>
            <w:r>
              <w:rPr>
                <w:spacing w:val="4"/>
                <w:sz w:val="20"/>
                <w:szCs w:val="20"/>
              </w:rPr>
              <w:t>标识</w:t>
            </w:r>
          </w:p>
        </w:tc>
        <w:tc>
          <w:tcPr>
            <w:tcW w:w="1890" w:type="dxa"/>
            <w:tcBorders>
              <w:top w:val="single" w:color="000000" w:sz="10" w:space="0"/>
            </w:tcBorders>
            <w:vAlign w:val="top"/>
          </w:tcPr>
          <w:p w14:paraId="0B560B09">
            <w:pPr>
              <w:pStyle w:val="6"/>
              <w:spacing w:before="152" w:line="228" w:lineRule="auto"/>
              <w:ind w:left="647"/>
              <w:rPr>
                <w:sz w:val="20"/>
                <w:szCs w:val="20"/>
              </w:rPr>
            </w:pPr>
            <w:r>
              <w:rPr>
                <w:sz w:val="20"/>
                <w:szCs w:val="20"/>
              </w:rPr>
              <w:t>中文名</w:t>
            </w:r>
          </w:p>
        </w:tc>
        <w:tc>
          <w:tcPr>
            <w:tcW w:w="2079" w:type="dxa"/>
            <w:tcBorders>
              <w:top w:val="single" w:color="000000" w:sz="10" w:space="0"/>
            </w:tcBorders>
            <w:vAlign w:val="top"/>
          </w:tcPr>
          <w:p w14:paraId="3C7306FE">
            <w:pPr>
              <w:pStyle w:val="6"/>
              <w:spacing w:before="152" w:line="228" w:lineRule="auto"/>
              <w:ind w:left="830"/>
              <w:rPr>
                <w:sz w:val="20"/>
                <w:szCs w:val="20"/>
              </w:rPr>
            </w:pPr>
            <w:r>
              <w:rPr>
                <w:spacing w:val="4"/>
                <w:sz w:val="20"/>
                <w:szCs w:val="20"/>
              </w:rPr>
              <w:t>柴油</w:t>
            </w:r>
          </w:p>
        </w:tc>
        <w:tc>
          <w:tcPr>
            <w:tcW w:w="1782" w:type="dxa"/>
            <w:gridSpan w:val="2"/>
            <w:tcBorders>
              <w:top w:val="single" w:color="000000" w:sz="10" w:space="0"/>
            </w:tcBorders>
            <w:vAlign w:val="top"/>
          </w:tcPr>
          <w:p w14:paraId="74C70631">
            <w:pPr>
              <w:pStyle w:val="6"/>
              <w:spacing w:before="152" w:line="228" w:lineRule="auto"/>
              <w:ind w:left="580"/>
              <w:rPr>
                <w:sz w:val="20"/>
                <w:szCs w:val="20"/>
              </w:rPr>
            </w:pPr>
            <w:r>
              <w:rPr>
                <w:spacing w:val="6"/>
                <w:sz w:val="20"/>
                <w:szCs w:val="20"/>
              </w:rPr>
              <w:t>英文名</w:t>
            </w:r>
          </w:p>
        </w:tc>
        <w:tc>
          <w:tcPr>
            <w:tcW w:w="1886" w:type="dxa"/>
            <w:tcBorders>
              <w:top w:val="single" w:color="000000" w:sz="10" w:space="0"/>
              <w:right w:val="single" w:color="000000" w:sz="6" w:space="0"/>
            </w:tcBorders>
            <w:vAlign w:val="top"/>
          </w:tcPr>
          <w:p w14:paraId="45521BCC">
            <w:pPr>
              <w:pStyle w:val="6"/>
              <w:spacing w:before="21" w:line="230" w:lineRule="auto"/>
              <w:ind w:left="377"/>
              <w:rPr>
                <w:sz w:val="20"/>
                <w:szCs w:val="20"/>
              </w:rPr>
            </w:pPr>
            <w:r>
              <w:rPr>
                <w:rFonts w:ascii="Times New Roman" w:hAnsi="Times New Roman" w:eastAsia="Times New Roman" w:cs="Times New Roman"/>
                <w:sz w:val="20"/>
                <w:szCs w:val="20"/>
              </w:rPr>
              <w:t>Diesel</w:t>
            </w:r>
            <w:r>
              <w:rPr>
                <w:rFonts w:ascii="Times New Roman" w:hAnsi="Times New Roman" w:eastAsia="Times New Roman" w:cs="Times New Roman"/>
                <w:spacing w:val="16"/>
                <w:sz w:val="20"/>
                <w:szCs w:val="20"/>
              </w:rPr>
              <w:t xml:space="preserve"> </w:t>
            </w:r>
            <w:r>
              <w:rPr>
                <w:rFonts w:ascii="Times New Roman" w:hAnsi="Times New Roman" w:eastAsia="Times New Roman" w:cs="Times New Roman"/>
                <w:sz w:val="20"/>
                <w:szCs w:val="20"/>
              </w:rPr>
              <w:t>oil</w:t>
            </w:r>
            <w:r>
              <w:rPr>
                <w:spacing w:val="16"/>
                <w:sz w:val="20"/>
                <w:szCs w:val="20"/>
              </w:rPr>
              <w:t>；</w:t>
            </w:r>
          </w:p>
          <w:p w14:paraId="067700D9">
            <w:pPr>
              <w:spacing w:before="42" w:line="199" w:lineRule="auto"/>
              <w:ind w:left="4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Diesel</w:t>
            </w:r>
            <w:r>
              <w:rPr>
                <w:rFonts w:ascii="Times New Roman" w:hAnsi="Times New Roman" w:eastAsia="Times New Roman" w:cs="Times New Roman"/>
                <w:spacing w:val="18"/>
                <w:sz w:val="20"/>
                <w:szCs w:val="20"/>
              </w:rPr>
              <w:t xml:space="preserve"> </w:t>
            </w:r>
            <w:r>
              <w:rPr>
                <w:rFonts w:ascii="Times New Roman" w:hAnsi="Times New Roman" w:eastAsia="Times New Roman" w:cs="Times New Roman"/>
                <w:spacing w:val="2"/>
                <w:sz w:val="20"/>
                <w:szCs w:val="20"/>
              </w:rPr>
              <w:t>fuel</w:t>
            </w:r>
          </w:p>
        </w:tc>
      </w:tr>
      <w:tr w14:paraId="7B8D87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495" w:type="dxa"/>
            <w:vMerge w:val="continue"/>
            <w:tcBorders>
              <w:top w:val="nil"/>
              <w:left w:val="single" w:color="000000" w:sz="6" w:space="0"/>
              <w:bottom w:val="nil"/>
              <w:right w:val="single" w:color="000000" w:sz="2" w:space="0"/>
            </w:tcBorders>
            <w:vAlign w:val="top"/>
          </w:tcPr>
          <w:p w14:paraId="76BD27D9">
            <w:pPr>
              <w:rPr>
                <w:rFonts w:ascii="Arial"/>
                <w:sz w:val="21"/>
              </w:rPr>
            </w:pPr>
          </w:p>
        </w:tc>
        <w:tc>
          <w:tcPr>
            <w:tcW w:w="769" w:type="dxa"/>
            <w:gridSpan w:val="2"/>
            <w:vMerge w:val="continue"/>
            <w:tcBorders>
              <w:top w:val="nil"/>
              <w:left w:val="single" w:color="000000" w:sz="2" w:space="0"/>
              <w:bottom w:val="nil"/>
            </w:tcBorders>
            <w:vAlign w:val="top"/>
          </w:tcPr>
          <w:p w14:paraId="1BAFC407">
            <w:pPr>
              <w:rPr>
                <w:rFonts w:ascii="Arial"/>
                <w:sz w:val="21"/>
              </w:rPr>
            </w:pPr>
          </w:p>
        </w:tc>
        <w:tc>
          <w:tcPr>
            <w:tcW w:w="1890" w:type="dxa"/>
            <w:vAlign w:val="top"/>
          </w:tcPr>
          <w:p w14:paraId="286DF743">
            <w:pPr>
              <w:pStyle w:val="6"/>
              <w:spacing w:before="41" w:line="219" w:lineRule="auto"/>
              <w:ind w:left="315"/>
              <w:rPr>
                <w:sz w:val="20"/>
                <w:szCs w:val="20"/>
              </w:rPr>
            </w:pPr>
            <w:r>
              <w:rPr>
                <w:spacing w:val="7"/>
                <w:sz w:val="20"/>
                <w:szCs w:val="20"/>
              </w:rPr>
              <w:t>危险货物编号</w:t>
            </w:r>
          </w:p>
        </w:tc>
        <w:tc>
          <w:tcPr>
            <w:tcW w:w="2079" w:type="dxa"/>
            <w:vAlign w:val="top"/>
          </w:tcPr>
          <w:p w14:paraId="2A64D532">
            <w:pPr>
              <w:spacing w:before="78" w:line="195" w:lineRule="auto"/>
              <w:ind w:left="71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T33502</w:t>
            </w:r>
          </w:p>
        </w:tc>
        <w:tc>
          <w:tcPr>
            <w:tcW w:w="1782" w:type="dxa"/>
            <w:gridSpan w:val="2"/>
            <w:vAlign w:val="top"/>
          </w:tcPr>
          <w:p w14:paraId="296C83B5">
            <w:pPr>
              <w:pStyle w:val="6"/>
              <w:spacing w:before="41" w:line="219" w:lineRule="auto"/>
              <w:ind w:left="500"/>
              <w:rPr>
                <w:sz w:val="20"/>
                <w:szCs w:val="20"/>
              </w:rPr>
            </w:pPr>
            <w:r>
              <w:rPr>
                <w:rFonts w:ascii="Times New Roman" w:hAnsi="Times New Roman" w:eastAsia="Times New Roman" w:cs="Times New Roman"/>
                <w:sz w:val="20"/>
                <w:szCs w:val="20"/>
              </w:rPr>
              <w:t>UN</w:t>
            </w:r>
            <w:r>
              <w:rPr>
                <w:rFonts w:ascii="Times New Roman" w:hAnsi="Times New Roman" w:eastAsia="Times New Roman" w:cs="Times New Roman"/>
                <w:spacing w:val="12"/>
                <w:w w:val="101"/>
                <w:sz w:val="20"/>
                <w:szCs w:val="20"/>
              </w:rPr>
              <w:t xml:space="preserve"> </w:t>
            </w:r>
            <w:r>
              <w:rPr>
                <w:spacing w:val="10"/>
                <w:sz w:val="20"/>
                <w:szCs w:val="20"/>
              </w:rPr>
              <w:t>编号</w:t>
            </w:r>
          </w:p>
        </w:tc>
        <w:tc>
          <w:tcPr>
            <w:tcW w:w="1886" w:type="dxa"/>
            <w:tcBorders>
              <w:right w:val="single" w:color="000000" w:sz="6" w:space="0"/>
            </w:tcBorders>
            <w:vAlign w:val="top"/>
          </w:tcPr>
          <w:p w14:paraId="6C4658E3">
            <w:pPr>
              <w:spacing w:before="78" w:line="195" w:lineRule="auto"/>
              <w:ind w:left="69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1202</w:t>
            </w:r>
          </w:p>
        </w:tc>
      </w:tr>
      <w:tr w14:paraId="32D63E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495" w:type="dxa"/>
            <w:vMerge w:val="continue"/>
            <w:tcBorders>
              <w:top w:val="nil"/>
              <w:left w:val="single" w:color="000000" w:sz="6" w:space="0"/>
              <w:bottom w:val="nil"/>
              <w:right w:val="single" w:color="000000" w:sz="2" w:space="0"/>
            </w:tcBorders>
            <w:vAlign w:val="top"/>
          </w:tcPr>
          <w:p w14:paraId="7DA4AB0A">
            <w:pPr>
              <w:rPr>
                <w:rFonts w:ascii="Arial"/>
                <w:sz w:val="21"/>
              </w:rPr>
            </w:pPr>
          </w:p>
        </w:tc>
        <w:tc>
          <w:tcPr>
            <w:tcW w:w="769" w:type="dxa"/>
            <w:gridSpan w:val="2"/>
            <w:vMerge w:val="continue"/>
            <w:tcBorders>
              <w:top w:val="nil"/>
              <w:left w:val="single" w:color="000000" w:sz="2" w:space="0"/>
            </w:tcBorders>
            <w:vAlign w:val="top"/>
          </w:tcPr>
          <w:p w14:paraId="7F168405">
            <w:pPr>
              <w:rPr>
                <w:rFonts w:ascii="Arial"/>
                <w:sz w:val="21"/>
              </w:rPr>
            </w:pPr>
          </w:p>
        </w:tc>
        <w:tc>
          <w:tcPr>
            <w:tcW w:w="1890" w:type="dxa"/>
            <w:vAlign w:val="top"/>
          </w:tcPr>
          <w:p w14:paraId="222FCD4D">
            <w:pPr>
              <w:pStyle w:val="6"/>
              <w:spacing w:before="40" w:line="219" w:lineRule="auto"/>
              <w:ind w:left="488"/>
              <w:rPr>
                <w:sz w:val="20"/>
                <w:szCs w:val="20"/>
              </w:rPr>
            </w:pPr>
            <w:r>
              <w:rPr>
                <w:rFonts w:ascii="Times New Roman" w:hAnsi="Times New Roman" w:eastAsia="Times New Roman" w:cs="Times New Roman"/>
                <w:sz w:val="20"/>
                <w:szCs w:val="20"/>
              </w:rPr>
              <w:t>RTECS</w:t>
            </w:r>
            <w:r>
              <w:rPr>
                <w:rFonts w:ascii="Times New Roman" w:hAnsi="Times New Roman" w:eastAsia="Times New Roman" w:cs="Times New Roman"/>
                <w:spacing w:val="15"/>
                <w:sz w:val="20"/>
                <w:szCs w:val="20"/>
              </w:rPr>
              <w:t xml:space="preserve"> </w:t>
            </w:r>
            <w:r>
              <w:rPr>
                <w:spacing w:val="13"/>
                <w:sz w:val="20"/>
                <w:szCs w:val="20"/>
              </w:rPr>
              <w:t>号</w:t>
            </w:r>
          </w:p>
        </w:tc>
        <w:tc>
          <w:tcPr>
            <w:tcW w:w="2079" w:type="dxa"/>
            <w:vAlign w:val="top"/>
          </w:tcPr>
          <w:p w14:paraId="09E76394">
            <w:pPr>
              <w:spacing w:before="76" w:line="195" w:lineRule="auto"/>
              <w:ind w:left="530"/>
              <w:rPr>
                <w:rFonts w:ascii="Times New Roman" w:hAnsi="Times New Roman" w:eastAsia="Times New Roman" w:cs="Times New Roman"/>
                <w:sz w:val="20"/>
                <w:szCs w:val="20"/>
              </w:rPr>
            </w:pPr>
            <w:r>
              <w:rPr>
                <w:rFonts w:ascii="Times New Roman" w:hAnsi="Times New Roman" w:eastAsia="Times New Roman" w:cs="Times New Roman"/>
                <w:sz w:val="20"/>
                <w:szCs w:val="20"/>
              </w:rPr>
              <w:t>HZ</w:t>
            </w:r>
            <w:r>
              <w:rPr>
                <w:rFonts w:ascii="Times New Roman" w:hAnsi="Times New Roman" w:eastAsia="Times New Roman" w:cs="Times New Roman"/>
                <w:spacing w:val="6"/>
                <w:sz w:val="20"/>
                <w:szCs w:val="20"/>
              </w:rPr>
              <w:t>1770000</w:t>
            </w:r>
          </w:p>
        </w:tc>
        <w:tc>
          <w:tcPr>
            <w:tcW w:w="1782" w:type="dxa"/>
            <w:gridSpan w:val="2"/>
            <w:vAlign w:val="top"/>
          </w:tcPr>
          <w:p w14:paraId="345A600F">
            <w:pPr>
              <w:rPr>
                <w:rFonts w:ascii="Arial"/>
                <w:sz w:val="21"/>
              </w:rPr>
            </w:pPr>
          </w:p>
        </w:tc>
        <w:tc>
          <w:tcPr>
            <w:tcW w:w="1886" w:type="dxa"/>
            <w:tcBorders>
              <w:right w:val="single" w:color="000000" w:sz="6" w:space="0"/>
            </w:tcBorders>
            <w:vAlign w:val="top"/>
          </w:tcPr>
          <w:p w14:paraId="0E62549A">
            <w:pPr>
              <w:rPr>
                <w:rFonts w:ascii="Arial"/>
                <w:sz w:val="21"/>
              </w:rPr>
            </w:pPr>
          </w:p>
        </w:tc>
      </w:tr>
      <w:tr w14:paraId="6F5E6E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495" w:type="dxa"/>
            <w:vMerge w:val="continue"/>
            <w:tcBorders>
              <w:top w:val="nil"/>
              <w:left w:val="single" w:color="000000" w:sz="6" w:space="0"/>
              <w:bottom w:val="nil"/>
              <w:right w:val="single" w:color="000000" w:sz="2" w:space="0"/>
            </w:tcBorders>
            <w:vAlign w:val="top"/>
          </w:tcPr>
          <w:p w14:paraId="3F58FECC">
            <w:pPr>
              <w:rPr>
                <w:rFonts w:ascii="Arial"/>
                <w:sz w:val="21"/>
              </w:rPr>
            </w:pPr>
          </w:p>
        </w:tc>
        <w:tc>
          <w:tcPr>
            <w:tcW w:w="769" w:type="dxa"/>
            <w:gridSpan w:val="2"/>
            <w:vMerge w:val="restart"/>
            <w:tcBorders>
              <w:left w:val="single" w:color="000000" w:sz="2" w:space="0"/>
              <w:bottom w:val="nil"/>
            </w:tcBorders>
            <w:vAlign w:val="top"/>
          </w:tcPr>
          <w:p w14:paraId="010E371F">
            <w:pPr>
              <w:spacing w:line="293" w:lineRule="auto"/>
              <w:rPr>
                <w:rFonts w:ascii="Arial"/>
                <w:sz w:val="21"/>
              </w:rPr>
            </w:pPr>
          </w:p>
          <w:p w14:paraId="29826402">
            <w:pPr>
              <w:pStyle w:val="6"/>
              <w:spacing w:before="65" w:line="243" w:lineRule="auto"/>
              <w:ind w:left="230" w:right="124"/>
              <w:rPr>
                <w:sz w:val="20"/>
                <w:szCs w:val="20"/>
              </w:rPr>
            </w:pPr>
            <w:r>
              <w:rPr>
                <w:spacing w:val="3"/>
                <w:sz w:val="20"/>
                <w:szCs w:val="20"/>
              </w:rPr>
              <w:t>理化性质</w:t>
            </w:r>
          </w:p>
        </w:tc>
        <w:tc>
          <w:tcPr>
            <w:tcW w:w="1890" w:type="dxa"/>
            <w:vAlign w:val="top"/>
          </w:tcPr>
          <w:p w14:paraId="0C158AF4">
            <w:pPr>
              <w:pStyle w:val="6"/>
              <w:spacing w:before="42" w:line="218" w:lineRule="auto"/>
              <w:ind w:left="734"/>
              <w:rPr>
                <w:sz w:val="20"/>
                <w:szCs w:val="20"/>
              </w:rPr>
            </w:pPr>
            <w:r>
              <w:rPr>
                <w:spacing w:val="3"/>
                <w:sz w:val="20"/>
                <w:szCs w:val="20"/>
              </w:rPr>
              <w:t>成分</w:t>
            </w:r>
          </w:p>
        </w:tc>
        <w:tc>
          <w:tcPr>
            <w:tcW w:w="2079" w:type="dxa"/>
            <w:vAlign w:val="top"/>
          </w:tcPr>
          <w:p w14:paraId="78630275">
            <w:pPr>
              <w:pStyle w:val="6"/>
              <w:spacing w:before="42" w:line="218" w:lineRule="auto"/>
              <w:ind w:left="108"/>
              <w:rPr>
                <w:sz w:val="20"/>
                <w:szCs w:val="20"/>
              </w:rPr>
            </w:pPr>
            <w:r>
              <w:rPr>
                <w:spacing w:val="6"/>
                <w:sz w:val="20"/>
                <w:szCs w:val="20"/>
              </w:rPr>
              <w:t>烷烃、芳烃、烯烃等</w:t>
            </w:r>
          </w:p>
        </w:tc>
        <w:tc>
          <w:tcPr>
            <w:tcW w:w="1782" w:type="dxa"/>
            <w:gridSpan w:val="2"/>
            <w:vAlign w:val="top"/>
          </w:tcPr>
          <w:p w14:paraId="1FD41B4E">
            <w:pPr>
              <w:pStyle w:val="6"/>
              <w:spacing w:before="42" w:line="218" w:lineRule="auto"/>
              <w:ind w:left="372"/>
              <w:rPr>
                <w:sz w:val="20"/>
                <w:szCs w:val="20"/>
              </w:rPr>
            </w:pPr>
            <w:r>
              <w:rPr>
                <w:spacing w:val="5"/>
                <w:sz w:val="20"/>
                <w:szCs w:val="20"/>
              </w:rPr>
              <w:t>主要用途：</w:t>
            </w:r>
          </w:p>
        </w:tc>
        <w:tc>
          <w:tcPr>
            <w:tcW w:w="1886" w:type="dxa"/>
            <w:tcBorders>
              <w:right w:val="single" w:color="000000" w:sz="6" w:space="0"/>
            </w:tcBorders>
            <w:vAlign w:val="top"/>
          </w:tcPr>
          <w:p w14:paraId="41A363A2">
            <w:pPr>
              <w:pStyle w:val="6"/>
              <w:spacing w:before="42" w:line="218" w:lineRule="auto"/>
              <w:ind w:left="57"/>
              <w:rPr>
                <w:sz w:val="20"/>
                <w:szCs w:val="20"/>
              </w:rPr>
            </w:pPr>
            <w:r>
              <w:rPr>
                <w:spacing w:val="8"/>
                <w:sz w:val="20"/>
                <w:szCs w:val="20"/>
              </w:rPr>
              <w:t>用作柴油机的燃料</w:t>
            </w:r>
          </w:p>
        </w:tc>
      </w:tr>
      <w:tr w14:paraId="0EF8E6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495" w:type="dxa"/>
            <w:vMerge w:val="continue"/>
            <w:tcBorders>
              <w:top w:val="nil"/>
              <w:left w:val="single" w:color="000000" w:sz="6" w:space="0"/>
              <w:bottom w:val="nil"/>
              <w:right w:val="single" w:color="000000" w:sz="2" w:space="0"/>
            </w:tcBorders>
            <w:vAlign w:val="top"/>
          </w:tcPr>
          <w:p w14:paraId="673AA8E7">
            <w:pPr>
              <w:rPr>
                <w:rFonts w:ascii="Arial"/>
                <w:sz w:val="21"/>
              </w:rPr>
            </w:pPr>
          </w:p>
        </w:tc>
        <w:tc>
          <w:tcPr>
            <w:tcW w:w="769" w:type="dxa"/>
            <w:gridSpan w:val="2"/>
            <w:vMerge w:val="continue"/>
            <w:tcBorders>
              <w:top w:val="nil"/>
              <w:left w:val="single" w:color="000000" w:sz="2" w:space="0"/>
              <w:bottom w:val="nil"/>
            </w:tcBorders>
            <w:vAlign w:val="top"/>
          </w:tcPr>
          <w:p w14:paraId="15D5DDCE">
            <w:pPr>
              <w:rPr>
                <w:rFonts w:ascii="Arial"/>
                <w:sz w:val="21"/>
              </w:rPr>
            </w:pPr>
          </w:p>
        </w:tc>
        <w:tc>
          <w:tcPr>
            <w:tcW w:w="1890" w:type="dxa"/>
            <w:vAlign w:val="top"/>
          </w:tcPr>
          <w:p w14:paraId="38955766">
            <w:pPr>
              <w:pStyle w:val="6"/>
              <w:spacing w:before="41" w:line="218" w:lineRule="auto"/>
              <w:ind w:left="422"/>
              <w:rPr>
                <w:sz w:val="20"/>
                <w:szCs w:val="20"/>
              </w:rPr>
            </w:pPr>
            <w:r>
              <w:rPr>
                <w:spacing w:val="7"/>
                <w:sz w:val="20"/>
                <w:szCs w:val="20"/>
              </w:rPr>
              <w:t>外观与形状</w:t>
            </w:r>
          </w:p>
        </w:tc>
        <w:tc>
          <w:tcPr>
            <w:tcW w:w="5747" w:type="dxa"/>
            <w:gridSpan w:val="4"/>
            <w:tcBorders>
              <w:right w:val="single" w:color="000000" w:sz="6" w:space="0"/>
            </w:tcBorders>
            <w:vAlign w:val="top"/>
          </w:tcPr>
          <w:p w14:paraId="5D7E0BA3">
            <w:pPr>
              <w:pStyle w:val="6"/>
              <w:spacing w:before="41" w:line="218" w:lineRule="auto"/>
              <w:ind w:left="1560"/>
              <w:rPr>
                <w:sz w:val="20"/>
                <w:szCs w:val="20"/>
              </w:rPr>
            </w:pPr>
            <w:r>
              <w:rPr>
                <w:spacing w:val="9"/>
                <w:sz w:val="20"/>
                <w:szCs w:val="20"/>
              </w:rPr>
              <w:t>稍有黏性的浅黄至棕色液体</w:t>
            </w:r>
          </w:p>
        </w:tc>
      </w:tr>
      <w:tr w14:paraId="2018E0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495" w:type="dxa"/>
            <w:vMerge w:val="continue"/>
            <w:tcBorders>
              <w:top w:val="nil"/>
              <w:left w:val="single" w:color="000000" w:sz="6" w:space="0"/>
              <w:bottom w:val="nil"/>
              <w:right w:val="single" w:color="000000" w:sz="2" w:space="0"/>
            </w:tcBorders>
            <w:vAlign w:val="top"/>
          </w:tcPr>
          <w:p w14:paraId="26A12592">
            <w:pPr>
              <w:rPr>
                <w:rFonts w:ascii="Arial"/>
                <w:sz w:val="21"/>
              </w:rPr>
            </w:pPr>
          </w:p>
        </w:tc>
        <w:tc>
          <w:tcPr>
            <w:tcW w:w="769" w:type="dxa"/>
            <w:gridSpan w:val="2"/>
            <w:vMerge w:val="continue"/>
            <w:tcBorders>
              <w:top w:val="nil"/>
              <w:left w:val="single" w:color="000000" w:sz="2" w:space="0"/>
              <w:bottom w:val="nil"/>
            </w:tcBorders>
            <w:vAlign w:val="top"/>
          </w:tcPr>
          <w:p w14:paraId="27062F3F">
            <w:pPr>
              <w:rPr>
                <w:rFonts w:ascii="Arial"/>
                <w:sz w:val="21"/>
              </w:rPr>
            </w:pPr>
          </w:p>
        </w:tc>
        <w:tc>
          <w:tcPr>
            <w:tcW w:w="1890" w:type="dxa"/>
            <w:vAlign w:val="top"/>
          </w:tcPr>
          <w:p w14:paraId="0956FDCA">
            <w:pPr>
              <w:pStyle w:val="6"/>
              <w:spacing w:before="43" w:line="217" w:lineRule="auto"/>
              <w:ind w:left="524"/>
              <w:rPr>
                <w:sz w:val="20"/>
                <w:szCs w:val="20"/>
              </w:rPr>
            </w:pPr>
            <w:r>
              <w:rPr>
                <w:spacing w:val="7"/>
                <w:sz w:val="20"/>
                <w:szCs w:val="20"/>
              </w:rPr>
              <w:t>相对密度</w:t>
            </w:r>
          </w:p>
        </w:tc>
        <w:tc>
          <w:tcPr>
            <w:tcW w:w="5747" w:type="dxa"/>
            <w:gridSpan w:val="4"/>
            <w:tcBorders>
              <w:right w:val="single" w:color="000000" w:sz="6" w:space="0"/>
            </w:tcBorders>
            <w:vAlign w:val="top"/>
          </w:tcPr>
          <w:p w14:paraId="319701E5">
            <w:pPr>
              <w:pStyle w:val="6"/>
              <w:spacing w:before="5" w:line="274" w:lineRule="exact"/>
              <w:ind w:left="1982"/>
              <w:rPr>
                <w:rFonts w:ascii="Times New Roman" w:hAnsi="Times New Roman" w:eastAsia="Times New Roman" w:cs="Times New Roman"/>
                <w:sz w:val="20"/>
                <w:szCs w:val="20"/>
              </w:rPr>
            </w:pPr>
            <w:r>
              <w:rPr>
                <w:spacing w:val="4"/>
                <w:position w:val="1"/>
                <w:sz w:val="20"/>
                <w:szCs w:val="20"/>
              </w:rPr>
              <w:t>（水</w:t>
            </w:r>
            <w:r>
              <w:rPr>
                <w:rFonts w:ascii="Times New Roman" w:hAnsi="Times New Roman" w:eastAsia="Times New Roman" w:cs="Times New Roman"/>
                <w:spacing w:val="4"/>
                <w:position w:val="1"/>
                <w:sz w:val="20"/>
                <w:szCs w:val="20"/>
              </w:rPr>
              <w:t>=1</w:t>
            </w:r>
            <w:r>
              <w:rPr>
                <w:spacing w:val="4"/>
                <w:position w:val="1"/>
                <w:sz w:val="20"/>
                <w:szCs w:val="20"/>
              </w:rPr>
              <w:t>）</w:t>
            </w:r>
            <w:r>
              <w:rPr>
                <w:rFonts w:ascii="Times New Roman" w:hAnsi="Times New Roman" w:eastAsia="Times New Roman" w:cs="Times New Roman"/>
                <w:spacing w:val="4"/>
                <w:position w:val="1"/>
                <w:sz w:val="20"/>
                <w:szCs w:val="20"/>
              </w:rPr>
              <w:t>0.80</w:t>
            </w:r>
            <w:r>
              <w:rPr>
                <w:spacing w:val="4"/>
                <w:position w:val="1"/>
                <w:sz w:val="20"/>
                <w:szCs w:val="20"/>
              </w:rPr>
              <w:t>～</w:t>
            </w:r>
            <w:r>
              <w:rPr>
                <w:rFonts w:ascii="Times New Roman" w:hAnsi="Times New Roman" w:eastAsia="Times New Roman" w:cs="Times New Roman"/>
                <w:spacing w:val="4"/>
                <w:position w:val="1"/>
                <w:sz w:val="20"/>
                <w:szCs w:val="20"/>
              </w:rPr>
              <w:t>0.9</w:t>
            </w:r>
          </w:p>
        </w:tc>
      </w:tr>
      <w:tr w14:paraId="3B4150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495" w:type="dxa"/>
            <w:vMerge w:val="continue"/>
            <w:tcBorders>
              <w:top w:val="nil"/>
              <w:left w:val="single" w:color="000000" w:sz="6" w:space="0"/>
              <w:bottom w:val="nil"/>
              <w:right w:val="single" w:color="000000" w:sz="2" w:space="0"/>
            </w:tcBorders>
            <w:vAlign w:val="top"/>
          </w:tcPr>
          <w:p w14:paraId="33D669F8">
            <w:pPr>
              <w:rPr>
                <w:rFonts w:ascii="Arial"/>
                <w:sz w:val="21"/>
              </w:rPr>
            </w:pPr>
          </w:p>
        </w:tc>
        <w:tc>
          <w:tcPr>
            <w:tcW w:w="769" w:type="dxa"/>
            <w:gridSpan w:val="2"/>
            <w:vMerge w:val="continue"/>
            <w:tcBorders>
              <w:top w:val="nil"/>
              <w:left w:val="single" w:color="000000" w:sz="2" w:space="0"/>
            </w:tcBorders>
            <w:vAlign w:val="top"/>
          </w:tcPr>
          <w:p w14:paraId="1D0B234D">
            <w:pPr>
              <w:rPr>
                <w:rFonts w:ascii="Arial"/>
                <w:sz w:val="21"/>
              </w:rPr>
            </w:pPr>
          </w:p>
        </w:tc>
        <w:tc>
          <w:tcPr>
            <w:tcW w:w="1890" w:type="dxa"/>
            <w:vAlign w:val="top"/>
          </w:tcPr>
          <w:p w14:paraId="688307EE">
            <w:pPr>
              <w:pStyle w:val="6"/>
              <w:spacing w:before="45" w:line="216" w:lineRule="auto"/>
              <w:ind w:left="105"/>
              <w:rPr>
                <w:rFonts w:ascii="Times New Roman" w:hAnsi="Times New Roman" w:eastAsia="Times New Roman" w:cs="Times New Roman"/>
                <w:sz w:val="20"/>
                <w:szCs w:val="20"/>
              </w:rPr>
            </w:pPr>
            <w:r>
              <w:rPr>
                <w:spacing w:val="7"/>
                <w:sz w:val="20"/>
                <w:szCs w:val="20"/>
              </w:rPr>
              <w:t>熔（凝固）点：</w:t>
            </w:r>
            <w:r>
              <w:rPr>
                <w:rFonts w:ascii="Times New Roman" w:hAnsi="Times New Roman" w:eastAsia="Times New Roman" w:cs="Times New Roman"/>
                <w:spacing w:val="7"/>
                <w:sz w:val="20"/>
                <w:szCs w:val="20"/>
              </w:rPr>
              <w:t>℃</w:t>
            </w:r>
          </w:p>
        </w:tc>
        <w:tc>
          <w:tcPr>
            <w:tcW w:w="2079" w:type="dxa"/>
            <w:vAlign w:val="top"/>
          </w:tcPr>
          <w:p w14:paraId="05B68886">
            <w:pPr>
              <w:pStyle w:val="6"/>
              <w:spacing w:before="45" w:line="216" w:lineRule="auto"/>
              <w:ind w:left="58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-50</w:t>
            </w:r>
            <w:r>
              <w:rPr>
                <w:spacing w:val="4"/>
                <w:sz w:val="20"/>
                <w:szCs w:val="20"/>
              </w:rPr>
              <w:t>～</w:t>
            </w:r>
            <w:r>
              <w:rPr>
                <w:rFonts w:ascii="Times New Roman" w:hAnsi="Times New Roman" w:eastAsia="Times New Roman" w:cs="Times New Roman"/>
                <w:spacing w:val="4"/>
                <w:sz w:val="20"/>
                <w:szCs w:val="20"/>
              </w:rPr>
              <w:t>10℃</w:t>
            </w:r>
          </w:p>
        </w:tc>
        <w:tc>
          <w:tcPr>
            <w:tcW w:w="1782" w:type="dxa"/>
            <w:gridSpan w:val="2"/>
            <w:vAlign w:val="top"/>
          </w:tcPr>
          <w:p w14:paraId="16D69FE0">
            <w:pPr>
              <w:pStyle w:val="6"/>
              <w:spacing w:before="45" w:line="216" w:lineRule="auto"/>
              <w:ind w:left="475"/>
              <w:rPr>
                <w:rFonts w:ascii="Times New Roman" w:hAnsi="Times New Roman" w:eastAsia="Times New Roman" w:cs="Times New Roman"/>
                <w:sz w:val="20"/>
                <w:szCs w:val="20"/>
              </w:rPr>
            </w:pPr>
            <w:r>
              <w:rPr>
                <w:spacing w:val="7"/>
                <w:sz w:val="20"/>
                <w:szCs w:val="20"/>
              </w:rPr>
              <w:t>沸点：</w:t>
            </w:r>
            <w:r>
              <w:rPr>
                <w:rFonts w:ascii="Times New Roman" w:hAnsi="Times New Roman" w:eastAsia="Times New Roman" w:cs="Times New Roman"/>
                <w:spacing w:val="7"/>
                <w:sz w:val="20"/>
                <w:szCs w:val="20"/>
              </w:rPr>
              <w:t>℃</w:t>
            </w:r>
          </w:p>
        </w:tc>
        <w:tc>
          <w:tcPr>
            <w:tcW w:w="1886" w:type="dxa"/>
            <w:tcBorders>
              <w:right w:val="single" w:color="000000" w:sz="6" w:space="0"/>
            </w:tcBorders>
            <w:vAlign w:val="top"/>
          </w:tcPr>
          <w:p w14:paraId="40B9C8FC">
            <w:pPr>
              <w:pStyle w:val="6"/>
              <w:spacing w:before="45" w:line="216" w:lineRule="auto"/>
              <w:ind w:left="4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180</w:t>
            </w:r>
            <w:r>
              <w:rPr>
                <w:spacing w:val="2"/>
                <w:sz w:val="20"/>
                <w:szCs w:val="20"/>
              </w:rPr>
              <w:t>～</w:t>
            </w:r>
            <w:r>
              <w:rPr>
                <w:rFonts w:ascii="Times New Roman" w:hAnsi="Times New Roman" w:eastAsia="Times New Roman" w:cs="Times New Roman"/>
                <w:spacing w:val="2"/>
                <w:sz w:val="20"/>
                <w:szCs w:val="20"/>
              </w:rPr>
              <w:t>410</w:t>
            </w:r>
          </w:p>
        </w:tc>
      </w:tr>
      <w:tr w14:paraId="1FA454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4" w:hRule="atLeast"/>
        </w:trPr>
        <w:tc>
          <w:tcPr>
            <w:tcW w:w="495" w:type="dxa"/>
            <w:vMerge w:val="continue"/>
            <w:tcBorders>
              <w:top w:val="nil"/>
              <w:left w:val="single" w:color="000000" w:sz="6" w:space="0"/>
              <w:bottom w:val="nil"/>
              <w:right w:val="single" w:color="000000" w:sz="2" w:space="0"/>
            </w:tcBorders>
            <w:vAlign w:val="top"/>
          </w:tcPr>
          <w:p w14:paraId="3C71AE99">
            <w:pPr>
              <w:rPr>
                <w:rFonts w:ascii="Arial"/>
                <w:sz w:val="21"/>
              </w:rPr>
            </w:pPr>
          </w:p>
        </w:tc>
        <w:tc>
          <w:tcPr>
            <w:tcW w:w="769" w:type="dxa"/>
            <w:gridSpan w:val="2"/>
            <w:vMerge w:val="restart"/>
            <w:tcBorders>
              <w:left w:val="single" w:color="000000" w:sz="2" w:space="0"/>
              <w:bottom w:val="nil"/>
            </w:tcBorders>
            <w:vAlign w:val="top"/>
          </w:tcPr>
          <w:p w14:paraId="26C52C1D">
            <w:pPr>
              <w:spacing w:line="256" w:lineRule="auto"/>
              <w:rPr>
                <w:rFonts w:ascii="Arial"/>
                <w:sz w:val="21"/>
              </w:rPr>
            </w:pPr>
          </w:p>
          <w:p w14:paraId="7DD9F716">
            <w:pPr>
              <w:spacing w:line="256" w:lineRule="auto"/>
              <w:rPr>
                <w:rFonts w:ascii="Arial"/>
                <w:sz w:val="21"/>
              </w:rPr>
            </w:pPr>
          </w:p>
          <w:p w14:paraId="5E61082E">
            <w:pPr>
              <w:spacing w:line="256" w:lineRule="auto"/>
              <w:rPr>
                <w:rFonts w:ascii="Arial"/>
                <w:sz w:val="21"/>
              </w:rPr>
            </w:pPr>
          </w:p>
          <w:p w14:paraId="61D315D9">
            <w:pPr>
              <w:spacing w:line="256" w:lineRule="auto"/>
              <w:rPr>
                <w:rFonts w:ascii="Arial"/>
                <w:sz w:val="21"/>
              </w:rPr>
            </w:pPr>
          </w:p>
          <w:p w14:paraId="581AB77F">
            <w:pPr>
              <w:spacing w:line="256" w:lineRule="auto"/>
              <w:rPr>
                <w:rFonts w:ascii="Arial"/>
                <w:sz w:val="21"/>
              </w:rPr>
            </w:pPr>
          </w:p>
          <w:p w14:paraId="1F9C5B8F">
            <w:pPr>
              <w:pStyle w:val="6"/>
              <w:spacing w:before="65" w:line="241" w:lineRule="auto"/>
              <w:ind w:left="227" w:right="124"/>
              <w:jc w:val="both"/>
              <w:rPr>
                <w:sz w:val="20"/>
                <w:szCs w:val="20"/>
              </w:rPr>
            </w:pPr>
            <w:r>
              <w:rPr>
                <w:spacing w:val="4"/>
                <w:sz w:val="20"/>
                <w:szCs w:val="20"/>
              </w:rPr>
              <w:t>燃烧爆炸危险</w:t>
            </w:r>
            <w:r>
              <w:rPr>
                <w:spacing w:val="30"/>
                <w:w w:val="138"/>
                <w:sz w:val="20"/>
                <w:szCs w:val="20"/>
              </w:rPr>
              <w:t>性</w:t>
            </w:r>
          </w:p>
        </w:tc>
        <w:tc>
          <w:tcPr>
            <w:tcW w:w="1890" w:type="dxa"/>
            <w:vAlign w:val="top"/>
          </w:tcPr>
          <w:p w14:paraId="2AFC3C98">
            <w:pPr>
              <w:pStyle w:val="6"/>
              <w:spacing w:before="160" w:line="227" w:lineRule="auto"/>
              <w:ind w:left="628"/>
              <w:rPr>
                <w:sz w:val="20"/>
                <w:szCs w:val="20"/>
              </w:rPr>
            </w:pPr>
            <w:r>
              <w:rPr>
                <w:spacing w:val="6"/>
                <w:sz w:val="20"/>
                <w:szCs w:val="20"/>
              </w:rPr>
              <w:t>燃烧性</w:t>
            </w:r>
          </w:p>
        </w:tc>
        <w:tc>
          <w:tcPr>
            <w:tcW w:w="2079" w:type="dxa"/>
            <w:vAlign w:val="top"/>
          </w:tcPr>
          <w:p w14:paraId="77BBE831">
            <w:pPr>
              <w:pStyle w:val="6"/>
              <w:spacing w:before="160" w:line="229" w:lineRule="auto"/>
              <w:ind w:left="844"/>
              <w:rPr>
                <w:sz w:val="20"/>
                <w:szCs w:val="20"/>
              </w:rPr>
            </w:pPr>
            <w:r>
              <w:rPr>
                <w:spacing w:val="-3"/>
                <w:sz w:val="20"/>
                <w:szCs w:val="20"/>
              </w:rPr>
              <w:t>易燃</w:t>
            </w:r>
          </w:p>
        </w:tc>
        <w:tc>
          <w:tcPr>
            <w:tcW w:w="1782" w:type="dxa"/>
            <w:gridSpan w:val="2"/>
            <w:vAlign w:val="top"/>
          </w:tcPr>
          <w:p w14:paraId="71BAF7BE">
            <w:pPr>
              <w:pStyle w:val="6"/>
              <w:spacing w:before="161" w:line="228" w:lineRule="auto"/>
              <w:ind w:left="387"/>
              <w:rPr>
                <w:sz w:val="20"/>
                <w:szCs w:val="20"/>
              </w:rPr>
            </w:pPr>
            <w:r>
              <w:rPr>
                <w:spacing w:val="-2"/>
                <w:sz w:val="20"/>
                <w:szCs w:val="20"/>
              </w:rPr>
              <w:t>闪点</w:t>
            </w:r>
            <w:r>
              <w:rPr>
                <w:spacing w:val="22"/>
                <w:sz w:val="20"/>
                <w:szCs w:val="20"/>
              </w:rPr>
              <w:t xml:space="preserve"> </w:t>
            </w:r>
            <w:r>
              <w:rPr>
                <w:spacing w:val="-2"/>
                <w:sz w:val="20"/>
                <w:szCs w:val="20"/>
              </w:rPr>
              <w:t>(</w:t>
            </w:r>
            <w:r>
              <w:rPr>
                <w:rFonts w:ascii="Times New Roman" w:hAnsi="Times New Roman" w:eastAsia="Times New Roman" w:cs="Times New Roman"/>
                <w:spacing w:val="-2"/>
                <w:sz w:val="20"/>
                <w:szCs w:val="20"/>
              </w:rPr>
              <w:t>℃</w:t>
            </w:r>
            <w:r>
              <w:rPr>
                <w:spacing w:val="-2"/>
                <w:sz w:val="20"/>
                <w:szCs w:val="20"/>
              </w:rPr>
              <w:t>)</w:t>
            </w:r>
          </w:p>
        </w:tc>
        <w:tc>
          <w:tcPr>
            <w:tcW w:w="1886" w:type="dxa"/>
            <w:tcBorders>
              <w:right w:val="single" w:color="000000" w:sz="6" w:space="0"/>
            </w:tcBorders>
            <w:vAlign w:val="top"/>
          </w:tcPr>
          <w:p w14:paraId="4C365435">
            <w:pPr>
              <w:pStyle w:val="6"/>
              <w:spacing w:before="30" w:line="223" w:lineRule="auto"/>
              <w:ind w:left="15" w:right="101" w:firstLine="35"/>
              <w:rPr>
                <w:sz w:val="20"/>
                <w:szCs w:val="20"/>
              </w:rPr>
            </w:pPr>
            <w:r>
              <w:rPr>
                <w:rFonts w:ascii="Times New Roman" w:hAnsi="Times New Roman" w:eastAsia="Times New Roman" w:cs="Times New Roman"/>
                <w:spacing w:val="5"/>
                <w:sz w:val="20"/>
                <w:szCs w:val="20"/>
              </w:rPr>
              <w:t>45</w:t>
            </w:r>
            <w:r>
              <w:rPr>
                <w:spacing w:val="5"/>
                <w:sz w:val="20"/>
                <w:szCs w:val="20"/>
              </w:rPr>
              <w:t>～</w:t>
            </w:r>
            <w:r>
              <w:rPr>
                <w:rFonts w:ascii="Times New Roman" w:hAnsi="Times New Roman" w:eastAsia="Times New Roman" w:cs="Times New Roman"/>
                <w:spacing w:val="5"/>
                <w:sz w:val="20"/>
                <w:szCs w:val="20"/>
              </w:rPr>
              <w:t>60</w:t>
            </w:r>
            <w:r>
              <w:rPr>
                <w:spacing w:val="5"/>
                <w:sz w:val="20"/>
                <w:szCs w:val="20"/>
              </w:rPr>
              <w:t>（轻柴油）</w:t>
            </w:r>
            <w:r>
              <w:rPr>
                <w:spacing w:val="7"/>
                <w:sz w:val="20"/>
                <w:szCs w:val="20"/>
              </w:rPr>
              <w:t xml:space="preserve"> </w:t>
            </w:r>
            <w:r>
              <w:rPr>
                <w:rFonts w:ascii="Times New Roman" w:hAnsi="Times New Roman" w:eastAsia="Times New Roman" w:cs="Times New Roman"/>
                <w:spacing w:val="5"/>
                <w:sz w:val="20"/>
                <w:szCs w:val="20"/>
              </w:rPr>
              <w:t>60</w:t>
            </w:r>
            <w:r>
              <w:rPr>
                <w:spacing w:val="5"/>
                <w:sz w:val="20"/>
                <w:szCs w:val="20"/>
              </w:rPr>
              <w:t>～</w:t>
            </w:r>
            <w:r>
              <w:rPr>
                <w:rFonts w:ascii="Times New Roman" w:hAnsi="Times New Roman" w:eastAsia="Times New Roman" w:cs="Times New Roman"/>
                <w:spacing w:val="5"/>
                <w:sz w:val="20"/>
                <w:szCs w:val="20"/>
              </w:rPr>
              <w:t>120</w:t>
            </w:r>
            <w:r>
              <w:rPr>
                <w:spacing w:val="5"/>
                <w:sz w:val="20"/>
                <w:szCs w:val="20"/>
              </w:rPr>
              <w:t>（重柴油）</w:t>
            </w:r>
          </w:p>
        </w:tc>
      </w:tr>
      <w:tr w14:paraId="44EC4C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495" w:type="dxa"/>
            <w:vMerge w:val="continue"/>
            <w:tcBorders>
              <w:top w:val="nil"/>
              <w:left w:val="single" w:color="000000" w:sz="6" w:space="0"/>
              <w:bottom w:val="nil"/>
              <w:right w:val="single" w:color="000000" w:sz="2" w:space="0"/>
            </w:tcBorders>
            <w:vAlign w:val="top"/>
          </w:tcPr>
          <w:p w14:paraId="2823C053">
            <w:pPr>
              <w:rPr>
                <w:rFonts w:ascii="Arial"/>
                <w:sz w:val="21"/>
              </w:rPr>
            </w:pPr>
          </w:p>
        </w:tc>
        <w:tc>
          <w:tcPr>
            <w:tcW w:w="769" w:type="dxa"/>
            <w:gridSpan w:val="2"/>
            <w:vMerge w:val="continue"/>
            <w:tcBorders>
              <w:top w:val="nil"/>
              <w:left w:val="single" w:color="000000" w:sz="2" w:space="0"/>
              <w:bottom w:val="nil"/>
            </w:tcBorders>
            <w:vAlign w:val="top"/>
          </w:tcPr>
          <w:p w14:paraId="4D79254F">
            <w:pPr>
              <w:rPr>
                <w:rFonts w:ascii="Arial"/>
                <w:sz w:val="21"/>
              </w:rPr>
            </w:pPr>
          </w:p>
        </w:tc>
        <w:tc>
          <w:tcPr>
            <w:tcW w:w="3969" w:type="dxa"/>
            <w:gridSpan w:val="2"/>
            <w:vAlign w:val="top"/>
          </w:tcPr>
          <w:p w14:paraId="4733F7FC">
            <w:pPr>
              <w:pStyle w:val="6"/>
              <w:spacing w:before="44" w:line="216" w:lineRule="auto"/>
              <w:ind w:left="1280"/>
              <w:rPr>
                <w:sz w:val="20"/>
                <w:szCs w:val="20"/>
              </w:rPr>
            </w:pPr>
            <w:r>
              <w:rPr>
                <w:spacing w:val="-1"/>
                <w:sz w:val="20"/>
                <w:szCs w:val="20"/>
              </w:rPr>
              <w:t>自燃温度</w:t>
            </w:r>
            <w:r>
              <w:rPr>
                <w:spacing w:val="23"/>
                <w:sz w:val="20"/>
                <w:szCs w:val="20"/>
              </w:rPr>
              <w:t xml:space="preserve"> </w:t>
            </w:r>
            <w:r>
              <w:rPr>
                <w:spacing w:val="-1"/>
                <w:sz w:val="20"/>
                <w:szCs w:val="20"/>
              </w:rPr>
              <w:t>(</w:t>
            </w:r>
            <w:r>
              <w:rPr>
                <w:rFonts w:ascii="Times New Roman" w:hAnsi="Times New Roman" w:eastAsia="Times New Roman" w:cs="Times New Roman"/>
                <w:spacing w:val="-1"/>
                <w:sz w:val="20"/>
                <w:szCs w:val="20"/>
              </w:rPr>
              <w:t>℃</w:t>
            </w:r>
            <w:r>
              <w:rPr>
                <w:spacing w:val="-1"/>
                <w:sz w:val="20"/>
                <w:szCs w:val="20"/>
              </w:rPr>
              <w:t>)</w:t>
            </w:r>
          </w:p>
        </w:tc>
        <w:tc>
          <w:tcPr>
            <w:tcW w:w="3668" w:type="dxa"/>
            <w:gridSpan w:val="3"/>
            <w:tcBorders>
              <w:right w:val="single" w:color="000000" w:sz="6" w:space="0"/>
            </w:tcBorders>
            <w:vAlign w:val="top"/>
          </w:tcPr>
          <w:p w14:paraId="5251ABA6">
            <w:pPr>
              <w:spacing w:before="80" w:line="195" w:lineRule="auto"/>
              <w:ind w:left="162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257</w:t>
            </w:r>
          </w:p>
        </w:tc>
      </w:tr>
      <w:tr w14:paraId="2B83A2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495" w:type="dxa"/>
            <w:vMerge w:val="continue"/>
            <w:tcBorders>
              <w:top w:val="nil"/>
              <w:left w:val="single" w:color="000000" w:sz="6" w:space="0"/>
              <w:bottom w:val="nil"/>
              <w:right w:val="single" w:color="000000" w:sz="2" w:space="0"/>
            </w:tcBorders>
            <w:vAlign w:val="top"/>
          </w:tcPr>
          <w:p w14:paraId="3939AB1B">
            <w:pPr>
              <w:rPr>
                <w:rFonts w:ascii="Arial"/>
                <w:sz w:val="21"/>
              </w:rPr>
            </w:pPr>
          </w:p>
        </w:tc>
        <w:tc>
          <w:tcPr>
            <w:tcW w:w="769" w:type="dxa"/>
            <w:gridSpan w:val="2"/>
            <w:vMerge w:val="continue"/>
            <w:tcBorders>
              <w:top w:val="nil"/>
              <w:left w:val="single" w:color="000000" w:sz="2" w:space="0"/>
              <w:bottom w:val="nil"/>
            </w:tcBorders>
            <w:vAlign w:val="top"/>
          </w:tcPr>
          <w:p w14:paraId="37EB5C0C">
            <w:pPr>
              <w:rPr>
                <w:rFonts w:ascii="Arial"/>
                <w:sz w:val="21"/>
              </w:rPr>
            </w:pPr>
          </w:p>
        </w:tc>
        <w:tc>
          <w:tcPr>
            <w:tcW w:w="1890" w:type="dxa"/>
            <w:vAlign w:val="top"/>
          </w:tcPr>
          <w:p w14:paraId="2F3A5AB1">
            <w:pPr>
              <w:pStyle w:val="6"/>
              <w:spacing w:before="46" w:line="215" w:lineRule="auto"/>
              <w:ind w:left="208"/>
              <w:rPr>
                <w:sz w:val="20"/>
                <w:szCs w:val="20"/>
              </w:rPr>
            </w:pPr>
            <w:r>
              <w:rPr>
                <w:spacing w:val="6"/>
                <w:sz w:val="20"/>
                <w:szCs w:val="20"/>
              </w:rPr>
              <w:t>燃烧分解产物：</w:t>
            </w:r>
          </w:p>
        </w:tc>
        <w:tc>
          <w:tcPr>
            <w:tcW w:w="2079" w:type="dxa"/>
            <w:vAlign w:val="top"/>
          </w:tcPr>
          <w:p w14:paraId="448CCF2A">
            <w:pPr>
              <w:pStyle w:val="6"/>
              <w:spacing w:before="81" w:line="182" w:lineRule="auto"/>
              <w:ind w:left="611"/>
              <w:rPr>
                <w:rFonts w:ascii="Times New Roman" w:hAnsi="Times New Roman" w:eastAsia="Times New Roman" w:cs="Times New Roman"/>
                <w:sz w:val="13"/>
                <w:szCs w:val="13"/>
              </w:rPr>
            </w:pPr>
            <w:r>
              <w:rPr>
                <w:rFonts w:ascii="Times New Roman" w:hAnsi="Times New Roman" w:eastAsia="Times New Roman" w:cs="Times New Roman"/>
                <w:sz w:val="20"/>
                <w:szCs w:val="20"/>
              </w:rPr>
              <w:t>CO</w:t>
            </w:r>
            <w:r>
              <w:rPr>
                <w:rFonts w:ascii="Times New Roman" w:hAnsi="Times New Roman" w:eastAsia="Times New Roman" w:cs="Times New Roman"/>
                <w:spacing w:val="-27"/>
                <w:sz w:val="20"/>
                <w:szCs w:val="20"/>
              </w:rPr>
              <w:t xml:space="preserve"> </w:t>
            </w:r>
            <w:r>
              <w:rPr>
                <w:spacing w:val="4"/>
                <w:sz w:val="20"/>
                <w:szCs w:val="20"/>
              </w:rPr>
              <w:t>、</w:t>
            </w:r>
            <w:r>
              <w:rPr>
                <w:rFonts w:ascii="Times New Roman" w:hAnsi="Times New Roman" w:eastAsia="Times New Roman" w:cs="Times New Roman"/>
                <w:sz w:val="20"/>
                <w:szCs w:val="20"/>
              </w:rPr>
              <w:t>CO</w:t>
            </w:r>
            <w:r>
              <w:rPr>
                <w:rFonts w:ascii="Times New Roman" w:hAnsi="Times New Roman" w:eastAsia="Times New Roman" w:cs="Times New Roman"/>
                <w:spacing w:val="4"/>
                <w:position w:val="-1"/>
                <w:sz w:val="13"/>
                <w:szCs w:val="13"/>
              </w:rPr>
              <w:t>2</w:t>
            </w:r>
          </w:p>
        </w:tc>
        <w:tc>
          <w:tcPr>
            <w:tcW w:w="1782" w:type="dxa"/>
            <w:gridSpan w:val="2"/>
            <w:vAlign w:val="top"/>
          </w:tcPr>
          <w:p w14:paraId="084590CE">
            <w:pPr>
              <w:pStyle w:val="6"/>
              <w:spacing w:before="46" w:line="215" w:lineRule="auto"/>
              <w:ind w:left="477"/>
              <w:rPr>
                <w:sz w:val="20"/>
                <w:szCs w:val="20"/>
              </w:rPr>
            </w:pPr>
            <w:r>
              <w:rPr>
                <w:spacing w:val="4"/>
                <w:sz w:val="20"/>
                <w:szCs w:val="20"/>
              </w:rPr>
              <w:t>稳定性：</w:t>
            </w:r>
          </w:p>
        </w:tc>
        <w:tc>
          <w:tcPr>
            <w:tcW w:w="1886" w:type="dxa"/>
            <w:tcBorders>
              <w:right w:val="single" w:color="000000" w:sz="6" w:space="0"/>
            </w:tcBorders>
            <w:vAlign w:val="top"/>
          </w:tcPr>
          <w:p w14:paraId="0E61C863">
            <w:pPr>
              <w:pStyle w:val="6"/>
              <w:spacing w:before="46" w:line="215" w:lineRule="auto"/>
              <w:ind w:left="682"/>
              <w:rPr>
                <w:sz w:val="20"/>
                <w:szCs w:val="20"/>
              </w:rPr>
            </w:pPr>
            <w:r>
              <w:rPr>
                <w:spacing w:val="4"/>
                <w:sz w:val="20"/>
                <w:szCs w:val="20"/>
              </w:rPr>
              <w:t>稳定</w:t>
            </w:r>
          </w:p>
        </w:tc>
      </w:tr>
      <w:tr w14:paraId="138E73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495" w:type="dxa"/>
            <w:vMerge w:val="continue"/>
            <w:tcBorders>
              <w:top w:val="nil"/>
              <w:left w:val="single" w:color="000000" w:sz="6" w:space="0"/>
              <w:bottom w:val="nil"/>
              <w:right w:val="single" w:color="000000" w:sz="2" w:space="0"/>
            </w:tcBorders>
            <w:vAlign w:val="top"/>
          </w:tcPr>
          <w:p w14:paraId="3F2D7E22">
            <w:pPr>
              <w:rPr>
                <w:rFonts w:ascii="Arial"/>
                <w:sz w:val="21"/>
              </w:rPr>
            </w:pPr>
          </w:p>
        </w:tc>
        <w:tc>
          <w:tcPr>
            <w:tcW w:w="769" w:type="dxa"/>
            <w:gridSpan w:val="2"/>
            <w:vMerge w:val="continue"/>
            <w:tcBorders>
              <w:top w:val="nil"/>
              <w:left w:val="single" w:color="000000" w:sz="2" w:space="0"/>
              <w:bottom w:val="nil"/>
            </w:tcBorders>
            <w:vAlign w:val="top"/>
          </w:tcPr>
          <w:p w14:paraId="26827019">
            <w:pPr>
              <w:rPr>
                <w:rFonts w:ascii="Arial"/>
                <w:sz w:val="21"/>
              </w:rPr>
            </w:pPr>
          </w:p>
        </w:tc>
        <w:tc>
          <w:tcPr>
            <w:tcW w:w="1890" w:type="dxa"/>
            <w:vAlign w:val="top"/>
          </w:tcPr>
          <w:p w14:paraId="167BC307">
            <w:pPr>
              <w:pStyle w:val="6"/>
              <w:spacing w:before="45" w:line="216" w:lineRule="auto"/>
              <w:ind w:left="532"/>
              <w:rPr>
                <w:sz w:val="20"/>
                <w:szCs w:val="20"/>
              </w:rPr>
            </w:pPr>
            <w:r>
              <w:rPr>
                <w:spacing w:val="5"/>
                <w:sz w:val="20"/>
                <w:szCs w:val="20"/>
              </w:rPr>
              <w:t>聚合危害</w:t>
            </w:r>
          </w:p>
        </w:tc>
        <w:tc>
          <w:tcPr>
            <w:tcW w:w="2079" w:type="dxa"/>
            <w:vAlign w:val="top"/>
          </w:tcPr>
          <w:p w14:paraId="2C772001">
            <w:pPr>
              <w:pStyle w:val="6"/>
              <w:spacing w:before="45" w:line="216" w:lineRule="auto"/>
              <w:ind w:left="624"/>
              <w:rPr>
                <w:sz w:val="20"/>
                <w:szCs w:val="20"/>
              </w:rPr>
            </w:pPr>
            <w:r>
              <w:rPr>
                <w:spacing w:val="6"/>
                <w:sz w:val="20"/>
                <w:szCs w:val="20"/>
              </w:rPr>
              <w:t>不能出现</w:t>
            </w:r>
          </w:p>
        </w:tc>
        <w:tc>
          <w:tcPr>
            <w:tcW w:w="1782" w:type="dxa"/>
            <w:gridSpan w:val="2"/>
            <w:vAlign w:val="top"/>
          </w:tcPr>
          <w:p w14:paraId="5F6E1199">
            <w:pPr>
              <w:pStyle w:val="6"/>
              <w:spacing w:before="45" w:line="216" w:lineRule="auto"/>
              <w:ind w:left="580"/>
              <w:rPr>
                <w:sz w:val="20"/>
                <w:szCs w:val="20"/>
              </w:rPr>
            </w:pPr>
            <w:r>
              <w:rPr>
                <w:spacing w:val="6"/>
                <w:sz w:val="20"/>
                <w:szCs w:val="20"/>
              </w:rPr>
              <w:t>禁忌物</w:t>
            </w:r>
          </w:p>
        </w:tc>
        <w:tc>
          <w:tcPr>
            <w:tcW w:w="1886" w:type="dxa"/>
            <w:tcBorders>
              <w:right w:val="single" w:color="000000" w:sz="6" w:space="0"/>
            </w:tcBorders>
            <w:vAlign w:val="top"/>
          </w:tcPr>
          <w:p w14:paraId="56F405FF">
            <w:pPr>
              <w:pStyle w:val="6"/>
              <w:spacing w:before="45" w:line="216" w:lineRule="auto"/>
              <w:ind w:left="163"/>
              <w:rPr>
                <w:sz w:val="20"/>
                <w:szCs w:val="20"/>
              </w:rPr>
            </w:pPr>
            <w:r>
              <w:rPr>
                <w:spacing w:val="7"/>
                <w:sz w:val="20"/>
                <w:szCs w:val="20"/>
              </w:rPr>
              <w:t>强氧化剂、卤素</w:t>
            </w:r>
          </w:p>
        </w:tc>
      </w:tr>
      <w:tr w14:paraId="6DF0C2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495" w:type="dxa"/>
            <w:vMerge w:val="continue"/>
            <w:tcBorders>
              <w:top w:val="nil"/>
              <w:left w:val="single" w:color="000000" w:sz="6" w:space="0"/>
              <w:bottom w:val="nil"/>
              <w:right w:val="single" w:color="000000" w:sz="2" w:space="0"/>
            </w:tcBorders>
            <w:vAlign w:val="top"/>
          </w:tcPr>
          <w:p w14:paraId="3C634FB9">
            <w:pPr>
              <w:rPr>
                <w:rFonts w:ascii="Arial"/>
                <w:sz w:val="21"/>
              </w:rPr>
            </w:pPr>
          </w:p>
        </w:tc>
        <w:tc>
          <w:tcPr>
            <w:tcW w:w="769" w:type="dxa"/>
            <w:gridSpan w:val="2"/>
            <w:vMerge w:val="continue"/>
            <w:tcBorders>
              <w:top w:val="nil"/>
              <w:left w:val="single" w:color="000000" w:sz="2" w:space="0"/>
              <w:bottom w:val="nil"/>
            </w:tcBorders>
            <w:vAlign w:val="top"/>
          </w:tcPr>
          <w:p w14:paraId="40C439F2">
            <w:pPr>
              <w:rPr>
                <w:rFonts w:ascii="Arial"/>
                <w:sz w:val="21"/>
              </w:rPr>
            </w:pPr>
          </w:p>
        </w:tc>
        <w:tc>
          <w:tcPr>
            <w:tcW w:w="1890" w:type="dxa"/>
            <w:vAlign w:val="top"/>
          </w:tcPr>
          <w:p w14:paraId="4BAB1EAA">
            <w:pPr>
              <w:pStyle w:val="6"/>
              <w:spacing w:before="46" w:line="215" w:lineRule="auto"/>
              <w:ind w:left="314"/>
              <w:rPr>
                <w:sz w:val="20"/>
                <w:szCs w:val="20"/>
              </w:rPr>
            </w:pPr>
            <w:r>
              <w:rPr>
                <w:spacing w:val="7"/>
                <w:sz w:val="20"/>
                <w:szCs w:val="20"/>
              </w:rPr>
              <w:t>火灾危险类别</w:t>
            </w:r>
          </w:p>
        </w:tc>
        <w:tc>
          <w:tcPr>
            <w:tcW w:w="2079" w:type="dxa"/>
            <w:vAlign w:val="top"/>
          </w:tcPr>
          <w:p w14:paraId="4DDFFB85">
            <w:pPr>
              <w:pStyle w:val="6"/>
              <w:spacing w:before="46" w:line="215" w:lineRule="auto"/>
              <w:ind w:left="866"/>
              <w:rPr>
                <w:rFonts w:ascii="Times New Roman" w:hAnsi="Times New Roman" w:eastAsia="Times New Roman" w:cs="Times New Roman"/>
                <w:sz w:val="20"/>
                <w:szCs w:val="20"/>
              </w:rPr>
            </w:pPr>
            <w:r>
              <w:rPr>
                <w:spacing w:val="-12"/>
                <w:sz w:val="20"/>
                <w:szCs w:val="20"/>
              </w:rPr>
              <w:t>甲</w:t>
            </w:r>
            <w:r>
              <w:rPr>
                <w:spacing w:val="-44"/>
                <w:sz w:val="20"/>
                <w:szCs w:val="20"/>
              </w:rPr>
              <w:t xml:space="preserve"> </w:t>
            </w:r>
            <w:r>
              <w:rPr>
                <w:rFonts w:ascii="Times New Roman" w:hAnsi="Times New Roman" w:eastAsia="Times New Roman" w:cs="Times New Roman"/>
                <w:spacing w:val="-12"/>
                <w:sz w:val="20"/>
                <w:szCs w:val="20"/>
              </w:rPr>
              <w:t>B</w:t>
            </w:r>
          </w:p>
        </w:tc>
        <w:tc>
          <w:tcPr>
            <w:tcW w:w="1782" w:type="dxa"/>
            <w:gridSpan w:val="2"/>
            <w:vAlign w:val="top"/>
          </w:tcPr>
          <w:p w14:paraId="1269AC27">
            <w:pPr>
              <w:pStyle w:val="6"/>
              <w:spacing w:before="46" w:line="215" w:lineRule="auto"/>
              <w:ind w:left="194"/>
              <w:rPr>
                <w:sz w:val="20"/>
                <w:szCs w:val="20"/>
              </w:rPr>
            </w:pPr>
            <w:r>
              <w:rPr>
                <w:spacing w:val="-1"/>
                <w:sz w:val="20"/>
                <w:szCs w:val="20"/>
              </w:rPr>
              <w:t>自燃温度</w:t>
            </w:r>
            <w:r>
              <w:rPr>
                <w:spacing w:val="21"/>
                <w:sz w:val="20"/>
                <w:szCs w:val="20"/>
              </w:rPr>
              <w:t xml:space="preserve"> </w:t>
            </w:r>
            <w:r>
              <w:rPr>
                <w:spacing w:val="-1"/>
                <w:sz w:val="20"/>
                <w:szCs w:val="20"/>
              </w:rPr>
              <w:t>(</w:t>
            </w:r>
            <w:r>
              <w:rPr>
                <w:rFonts w:ascii="Times New Roman" w:hAnsi="Times New Roman" w:eastAsia="Times New Roman" w:cs="Times New Roman"/>
                <w:spacing w:val="-1"/>
                <w:sz w:val="20"/>
                <w:szCs w:val="20"/>
              </w:rPr>
              <w:t>℃</w:t>
            </w:r>
            <w:r>
              <w:rPr>
                <w:spacing w:val="-1"/>
                <w:sz w:val="20"/>
                <w:szCs w:val="20"/>
              </w:rPr>
              <w:t>)</w:t>
            </w:r>
          </w:p>
        </w:tc>
        <w:tc>
          <w:tcPr>
            <w:tcW w:w="1886" w:type="dxa"/>
            <w:tcBorders>
              <w:right w:val="single" w:color="000000" w:sz="6" w:space="0"/>
            </w:tcBorders>
            <w:vAlign w:val="top"/>
          </w:tcPr>
          <w:p w14:paraId="6E2C7E57">
            <w:pPr>
              <w:pStyle w:val="6"/>
              <w:spacing w:before="46" w:line="215" w:lineRule="auto"/>
              <w:ind w:left="610"/>
              <w:rPr>
                <w:rFonts w:ascii="Times New Roman" w:hAnsi="Times New Roman" w:eastAsia="Times New Roman" w:cs="Times New Roman"/>
                <w:sz w:val="20"/>
                <w:szCs w:val="20"/>
              </w:rPr>
            </w:pPr>
            <w:r>
              <w:rPr>
                <w:sz w:val="20"/>
                <w:szCs w:val="20"/>
              </w:rPr>
              <w:t>约</w:t>
            </w:r>
            <w:r>
              <w:rPr>
                <w:spacing w:val="-37"/>
                <w:sz w:val="20"/>
                <w:szCs w:val="20"/>
              </w:rPr>
              <w:t xml:space="preserve"> </w:t>
            </w:r>
            <w:r>
              <w:rPr>
                <w:rFonts w:ascii="Times New Roman" w:hAnsi="Times New Roman" w:eastAsia="Times New Roman" w:cs="Times New Roman"/>
                <w:sz w:val="20"/>
                <w:szCs w:val="20"/>
              </w:rPr>
              <w:t>350</w:t>
            </w:r>
          </w:p>
        </w:tc>
      </w:tr>
      <w:tr w14:paraId="4A74B4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495" w:type="dxa"/>
            <w:vMerge w:val="continue"/>
            <w:tcBorders>
              <w:top w:val="nil"/>
              <w:left w:val="single" w:color="000000" w:sz="6" w:space="0"/>
              <w:bottom w:val="nil"/>
              <w:right w:val="single" w:color="000000" w:sz="2" w:space="0"/>
            </w:tcBorders>
            <w:vAlign w:val="top"/>
          </w:tcPr>
          <w:p w14:paraId="5D09F2F3">
            <w:pPr>
              <w:rPr>
                <w:rFonts w:ascii="Arial"/>
                <w:sz w:val="21"/>
              </w:rPr>
            </w:pPr>
          </w:p>
        </w:tc>
        <w:tc>
          <w:tcPr>
            <w:tcW w:w="769" w:type="dxa"/>
            <w:gridSpan w:val="2"/>
            <w:vMerge w:val="continue"/>
            <w:tcBorders>
              <w:top w:val="nil"/>
              <w:left w:val="single" w:color="000000" w:sz="2" w:space="0"/>
              <w:bottom w:val="nil"/>
            </w:tcBorders>
            <w:vAlign w:val="top"/>
          </w:tcPr>
          <w:p w14:paraId="0F24CDF9">
            <w:pPr>
              <w:rPr>
                <w:rFonts w:ascii="Arial"/>
                <w:sz w:val="21"/>
              </w:rPr>
            </w:pPr>
          </w:p>
        </w:tc>
        <w:tc>
          <w:tcPr>
            <w:tcW w:w="1890" w:type="dxa"/>
            <w:vAlign w:val="top"/>
          </w:tcPr>
          <w:p w14:paraId="50035503">
            <w:pPr>
              <w:pStyle w:val="6"/>
              <w:spacing w:before="45" w:line="216" w:lineRule="auto"/>
              <w:ind w:left="149"/>
              <w:rPr>
                <w:sz w:val="20"/>
                <w:szCs w:val="20"/>
              </w:rPr>
            </w:pPr>
            <w:r>
              <w:rPr>
                <w:spacing w:val="7"/>
                <w:sz w:val="20"/>
                <w:szCs w:val="20"/>
              </w:rPr>
              <w:t>爆炸下限（</w:t>
            </w:r>
            <w:r>
              <w:rPr>
                <w:rFonts w:ascii="Times New Roman" w:hAnsi="Times New Roman" w:eastAsia="Times New Roman" w:cs="Times New Roman"/>
                <w:spacing w:val="7"/>
                <w:sz w:val="20"/>
                <w:szCs w:val="20"/>
              </w:rPr>
              <w:t>V%</w:t>
            </w:r>
            <w:r>
              <w:rPr>
                <w:spacing w:val="7"/>
                <w:sz w:val="20"/>
                <w:szCs w:val="20"/>
              </w:rPr>
              <w:t>）</w:t>
            </w:r>
          </w:p>
        </w:tc>
        <w:tc>
          <w:tcPr>
            <w:tcW w:w="2079" w:type="dxa"/>
            <w:vAlign w:val="top"/>
          </w:tcPr>
          <w:p w14:paraId="4C4F91BB">
            <w:pPr>
              <w:pStyle w:val="6"/>
              <w:spacing w:before="45" w:line="216" w:lineRule="auto"/>
              <w:ind w:left="385"/>
              <w:rPr>
                <w:sz w:val="20"/>
                <w:szCs w:val="20"/>
              </w:rPr>
            </w:pPr>
            <w:r>
              <w:rPr>
                <w:rFonts w:ascii="Times New Roman" w:hAnsi="Times New Roman" w:eastAsia="Times New Roman" w:cs="Times New Roman"/>
                <w:spacing w:val="5"/>
                <w:sz w:val="20"/>
                <w:szCs w:val="20"/>
              </w:rPr>
              <w:t>0.6</w:t>
            </w:r>
            <w:r>
              <w:rPr>
                <w:spacing w:val="5"/>
                <w:sz w:val="20"/>
                <w:szCs w:val="20"/>
              </w:rPr>
              <w:t>（轻柴油）</w:t>
            </w:r>
          </w:p>
        </w:tc>
        <w:tc>
          <w:tcPr>
            <w:tcW w:w="1782" w:type="dxa"/>
            <w:gridSpan w:val="2"/>
            <w:vAlign w:val="top"/>
          </w:tcPr>
          <w:p w14:paraId="148A472B">
            <w:pPr>
              <w:pStyle w:val="6"/>
              <w:spacing w:before="45" w:line="216" w:lineRule="auto"/>
              <w:ind w:left="112"/>
              <w:rPr>
                <w:sz w:val="20"/>
                <w:szCs w:val="20"/>
              </w:rPr>
            </w:pPr>
            <w:r>
              <w:rPr>
                <w:spacing w:val="7"/>
                <w:sz w:val="20"/>
                <w:szCs w:val="20"/>
              </w:rPr>
              <w:t>爆炸上限（</w:t>
            </w:r>
            <w:r>
              <w:rPr>
                <w:rFonts w:ascii="Times New Roman" w:hAnsi="Times New Roman" w:eastAsia="Times New Roman" w:cs="Times New Roman"/>
                <w:spacing w:val="7"/>
                <w:sz w:val="20"/>
                <w:szCs w:val="20"/>
              </w:rPr>
              <w:t>V%</w:t>
            </w:r>
            <w:r>
              <w:rPr>
                <w:spacing w:val="7"/>
                <w:sz w:val="20"/>
                <w:szCs w:val="20"/>
              </w:rPr>
              <w:t>）</w:t>
            </w:r>
          </w:p>
        </w:tc>
        <w:tc>
          <w:tcPr>
            <w:tcW w:w="1886" w:type="dxa"/>
            <w:tcBorders>
              <w:right w:val="single" w:color="000000" w:sz="6" w:space="0"/>
            </w:tcBorders>
            <w:vAlign w:val="top"/>
          </w:tcPr>
          <w:p w14:paraId="75917643">
            <w:pPr>
              <w:pStyle w:val="6"/>
              <w:spacing w:before="45" w:line="216" w:lineRule="auto"/>
              <w:ind w:left="235"/>
              <w:rPr>
                <w:sz w:val="20"/>
                <w:szCs w:val="20"/>
              </w:rPr>
            </w:pPr>
            <w:r>
              <w:rPr>
                <w:rFonts w:ascii="Times New Roman" w:hAnsi="Times New Roman" w:eastAsia="Times New Roman" w:cs="Times New Roman"/>
                <w:spacing w:val="5"/>
                <w:sz w:val="20"/>
                <w:szCs w:val="20"/>
              </w:rPr>
              <w:t>7.5</w:t>
            </w:r>
            <w:r>
              <w:rPr>
                <w:spacing w:val="5"/>
                <w:sz w:val="20"/>
                <w:szCs w:val="20"/>
              </w:rPr>
              <w:t>（轻柴油）</w:t>
            </w:r>
          </w:p>
        </w:tc>
      </w:tr>
      <w:tr w14:paraId="601D3E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4" w:hRule="atLeast"/>
        </w:trPr>
        <w:tc>
          <w:tcPr>
            <w:tcW w:w="495" w:type="dxa"/>
            <w:vMerge w:val="continue"/>
            <w:tcBorders>
              <w:top w:val="nil"/>
              <w:left w:val="single" w:color="000000" w:sz="6" w:space="0"/>
              <w:bottom w:val="nil"/>
              <w:right w:val="single" w:color="000000" w:sz="2" w:space="0"/>
            </w:tcBorders>
            <w:vAlign w:val="top"/>
          </w:tcPr>
          <w:p w14:paraId="02359F6C">
            <w:pPr>
              <w:rPr>
                <w:rFonts w:ascii="Arial"/>
                <w:sz w:val="21"/>
              </w:rPr>
            </w:pPr>
          </w:p>
        </w:tc>
        <w:tc>
          <w:tcPr>
            <w:tcW w:w="769" w:type="dxa"/>
            <w:gridSpan w:val="2"/>
            <w:vMerge w:val="continue"/>
            <w:tcBorders>
              <w:top w:val="nil"/>
              <w:left w:val="single" w:color="000000" w:sz="2" w:space="0"/>
              <w:bottom w:val="nil"/>
            </w:tcBorders>
            <w:vAlign w:val="top"/>
          </w:tcPr>
          <w:p w14:paraId="53185488">
            <w:pPr>
              <w:rPr>
                <w:rFonts w:ascii="Arial"/>
                <w:sz w:val="21"/>
              </w:rPr>
            </w:pPr>
          </w:p>
        </w:tc>
        <w:tc>
          <w:tcPr>
            <w:tcW w:w="1890" w:type="dxa"/>
            <w:vAlign w:val="top"/>
          </w:tcPr>
          <w:p w14:paraId="53EF03ED">
            <w:pPr>
              <w:pStyle w:val="6"/>
              <w:spacing w:before="162" w:line="228" w:lineRule="auto"/>
              <w:ind w:left="314"/>
              <w:rPr>
                <w:sz w:val="20"/>
                <w:szCs w:val="20"/>
              </w:rPr>
            </w:pPr>
            <w:r>
              <w:rPr>
                <w:spacing w:val="7"/>
                <w:sz w:val="20"/>
                <w:szCs w:val="20"/>
              </w:rPr>
              <w:t>火灾危险类别</w:t>
            </w:r>
          </w:p>
        </w:tc>
        <w:tc>
          <w:tcPr>
            <w:tcW w:w="2079" w:type="dxa"/>
            <w:vAlign w:val="top"/>
          </w:tcPr>
          <w:p w14:paraId="3E2633CC">
            <w:pPr>
              <w:pStyle w:val="6"/>
              <w:spacing w:before="33" w:line="228" w:lineRule="auto"/>
              <w:ind w:left="334"/>
              <w:rPr>
                <w:sz w:val="20"/>
                <w:szCs w:val="20"/>
              </w:rPr>
            </w:pPr>
            <w:r>
              <w:rPr>
                <w:spacing w:val="2"/>
                <w:sz w:val="20"/>
                <w:szCs w:val="20"/>
              </w:rPr>
              <w:t>乙</w:t>
            </w:r>
            <w:r>
              <w:rPr>
                <w:spacing w:val="-37"/>
                <w:sz w:val="20"/>
                <w:szCs w:val="20"/>
              </w:rPr>
              <w:t xml:space="preserve"> </w:t>
            </w:r>
            <w:r>
              <w:rPr>
                <w:rFonts w:ascii="Times New Roman" w:hAnsi="Times New Roman" w:eastAsia="Times New Roman" w:cs="Times New Roman"/>
                <w:spacing w:val="2"/>
                <w:sz w:val="20"/>
                <w:szCs w:val="20"/>
              </w:rPr>
              <w:t>B</w:t>
            </w:r>
            <w:r>
              <w:rPr>
                <w:spacing w:val="2"/>
                <w:sz w:val="20"/>
                <w:szCs w:val="20"/>
              </w:rPr>
              <w:t>（轻柴油）</w:t>
            </w:r>
          </w:p>
          <w:p w14:paraId="7D5C206F">
            <w:pPr>
              <w:pStyle w:val="6"/>
              <w:spacing w:before="12" w:line="204" w:lineRule="auto"/>
              <w:ind w:left="313"/>
              <w:rPr>
                <w:sz w:val="20"/>
                <w:szCs w:val="20"/>
              </w:rPr>
            </w:pPr>
            <w:r>
              <w:rPr>
                <w:spacing w:val="5"/>
                <w:sz w:val="20"/>
                <w:szCs w:val="20"/>
              </w:rPr>
              <w:t>丙</w:t>
            </w:r>
            <w:r>
              <w:rPr>
                <w:spacing w:val="-43"/>
                <w:sz w:val="20"/>
                <w:szCs w:val="20"/>
              </w:rPr>
              <w:t xml:space="preserve"> </w:t>
            </w:r>
            <w:r>
              <w:rPr>
                <w:rFonts w:ascii="Times New Roman" w:hAnsi="Times New Roman" w:eastAsia="Times New Roman" w:cs="Times New Roman"/>
                <w:spacing w:val="5"/>
                <w:sz w:val="20"/>
                <w:szCs w:val="20"/>
              </w:rPr>
              <w:t>A</w:t>
            </w:r>
            <w:r>
              <w:rPr>
                <w:spacing w:val="5"/>
                <w:sz w:val="20"/>
                <w:szCs w:val="20"/>
              </w:rPr>
              <w:t>（重柴油）</w:t>
            </w:r>
          </w:p>
        </w:tc>
        <w:tc>
          <w:tcPr>
            <w:tcW w:w="1782" w:type="dxa"/>
            <w:gridSpan w:val="2"/>
            <w:vAlign w:val="top"/>
          </w:tcPr>
          <w:p w14:paraId="40062735">
            <w:pPr>
              <w:pStyle w:val="6"/>
              <w:spacing w:before="162" w:line="228" w:lineRule="auto"/>
              <w:ind w:left="580"/>
              <w:rPr>
                <w:sz w:val="20"/>
                <w:szCs w:val="20"/>
              </w:rPr>
            </w:pPr>
            <w:r>
              <w:rPr>
                <w:spacing w:val="6"/>
                <w:sz w:val="20"/>
                <w:szCs w:val="20"/>
              </w:rPr>
              <w:t>稳定性</w:t>
            </w:r>
          </w:p>
        </w:tc>
        <w:tc>
          <w:tcPr>
            <w:tcW w:w="1886" w:type="dxa"/>
            <w:tcBorders>
              <w:right w:val="single" w:color="000000" w:sz="6" w:space="0"/>
            </w:tcBorders>
            <w:vAlign w:val="top"/>
          </w:tcPr>
          <w:p w14:paraId="49CCC460">
            <w:pPr>
              <w:pStyle w:val="6"/>
              <w:spacing w:before="162" w:line="228" w:lineRule="auto"/>
              <w:ind w:left="682"/>
              <w:rPr>
                <w:sz w:val="20"/>
                <w:szCs w:val="20"/>
              </w:rPr>
            </w:pPr>
            <w:r>
              <w:rPr>
                <w:spacing w:val="4"/>
                <w:sz w:val="20"/>
                <w:szCs w:val="20"/>
              </w:rPr>
              <w:t>稳定</w:t>
            </w:r>
          </w:p>
        </w:tc>
      </w:tr>
      <w:tr w14:paraId="13E174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495" w:type="dxa"/>
            <w:vMerge w:val="continue"/>
            <w:tcBorders>
              <w:top w:val="nil"/>
              <w:left w:val="single" w:color="000000" w:sz="6" w:space="0"/>
              <w:bottom w:val="nil"/>
              <w:right w:val="single" w:color="000000" w:sz="2" w:space="0"/>
            </w:tcBorders>
            <w:vAlign w:val="top"/>
          </w:tcPr>
          <w:p w14:paraId="122DE13A">
            <w:pPr>
              <w:rPr>
                <w:rFonts w:ascii="Arial"/>
                <w:sz w:val="21"/>
              </w:rPr>
            </w:pPr>
          </w:p>
        </w:tc>
        <w:tc>
          <w:tcPr>
            <w:tcW w:w="769" w:type="dxa"/>
            <w:gridSpan w:val="2"/>
            <w:vMerge w:val="continue"/>
            <w:tcBorders>
              <w:top w:val="nil"/>
              <w:left w:val="single" w:color="000000" w:sz="2" w:space="0"/>
              <w:bottom w:val="nil"/>
            </w:tcBorders>
            <w:vAlign w:val="top"/>
          </w:tcPr>
          <w:p w14:paraId="4D1B8CFA">
            <w:pPr>
              <w:rPr>
                <w:rFonts w:ascii="Arial"/>
                <w:sz w:val="21"/>
              </w:rPr>
            </w:pPr>
          </w:p>
        </w:tc>
        <w:tc>
          <w:tcPr>
            <w:tcW w:w="1890" w:type="dxa"/>
            <w:vAlign w:val="top"/>
          </w:tcPr>
          <w:p w14:paraId="43978289">
            <w:pPr>
              <w:pStyle w:val="6"/>
              <w:spacing w:before="47" w:line="214" w:lineRule="auto"/>
              <w:ind w:left="421"/>
              <w:rPr>
                <w:sz w:val="20"/>
                <w:szCs w:val="20"/>
              </w:rPr>
            </w:pPr>
            <w:r>
              <w:rPr>
                <w:spacing w:val="7"/>
                <w:sz w:val="20"/>
                <w:szCs w:val="20"/>
              </w:rPr>
              <w:t>危险性类别</w:t>
            </w:r>
          </w:p>
        </w:tc>
        <w:tc>
          <w:tcPr>
            <w:tcW w:w="5747" w:type="dxa"/>
            <w:gridSpan w:val="4"/>
            <w:tcBorders>
              <w:right w:val="single" w:color="000000" w:sz="6" w:space="0"/>
            </w:tcBorders>
            <w:vAlign w:val="top"/>
          </w:tcPr>
          <w:p w14:paraId="17460F33">
            <w:pPr>
              <w:pStyle w:val="6"/>
              <w:spacing w:before="47" w:line="214" w:lineRule="auto"/>
              <w:ind w:left="1639"/>
              <w:rPr>
                <w:sz w:val="20"/>
                <w:szCs w:val="20"/>
              </w:rPr>
            </w:pPr>
            <w:r>
              <w:rPr>
                <w:spacing w:val="5"/>
                <w:sz w:val="20"/>
                <w:szCs w:val="20"/>
              </w:rPr>
              <w:t>第</w:t>
            </w:r>
            <w:r>
              <w:rPr>
                <w:spacing w:val="-34"/>
                <w:sz w:val="20"/>
                <w:szCs w:val="20"/>
              </w:rPr>
              <w:t xml:space="preserve"> </w:t>
            </w:r>
            <w:r>
              <w:rPr>
                <w:rFonts w:ascii="Times New Roman" w:hAnsi="Times New Roman" w:eastAsia="Times New Roman" w:cs="Times New Roman"/>
                <w:spacing w:val="5"/>
                <w:sz w:val="20"/>
                <w:szCs w:val="20"/>
              </w:rPr>
              <w:t xml:space="preserve">3.3 </w:t>
            </w:r>
            <w:r>
              <w:rPr>
                <w:spacing w:val="5"/>
                <w:sz w:val="20"/>
                <w:szCs w:val="20"/>
              </w:rPr>
              <w:t>类</w:t>
            </w:r>
            <w:r>
              <w:rPr>
                <w:spacing w:val="19"/>
                <w:sz w:val="20"/>
                <w:szCs w:val="20"/>
              </w:rPr>
              <w:t xml:space="preserve"> </w:t>
            </w:r>
            <w:r>
              <w:rPr>
                <w:spacing w:val="5"/>
                <w:sz w:val="20"/>
                <w:szCs w:val="20"/>
              </w:rPr>
              <w:t>高闪点易燃液体</w:t>
            </w:r>
          </w:p>
        </w:tc>
      </w:tr>
      <w:tr w14:paraId="6BBBD2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4" w:hRule="atLeast"/>
        </w:trPr>
        <w:tc>
          <w:tcPr>
            <w:tcW w:w="495" w:type="dxa"/>
            <w:vMerge w:val="continue"/>
            <w:tcBorders>
              <w:top w:val="nil"/>
              <w:left w:val="single" w:color="000000" w:sz="6" w:space="0"/>
              <w:bottom w:val="nil"/>
              <w:right w:val="single" w:color="000000" w:sz="2" w:space="0"/>
            </w:tcBorders>
            <w:vAlign w:val="top"/>
          </w:tcPr>
          <w:p w14:paraId="6324A1ED">
            <w:pPr>
              <w:rPr>
                <w:rFonts w:ascii="Arial"/>
                <w:sz w:val="21"/>
              </w:rPr>
            </w:pPr>
          </w:p>
        </w:tc>
        <w:tc>
          <w:tcPr>
            <w:tcW w:w="769" w:type="dxa"/>
            <w:gridSpan w:val="2"/>
            <w:vMerge w:val="continue"/>
            <w:tcBorders>
              <w:top w:val="nil"/>
              <w:left w:val="single" w:color="000000" w:sz="2" w:space="0"/>
              <w:bottom w:val="nil"/>
            </w:tcBorders>
            <w:vAlign w:val="top"/>
          </w:tcPr>
          <w:p w14:paraId="34F43BFA">
            <w:pPr>
              <w:rPr>
                <w:rFonts w:ascii="Arial"/>
                <w:sz w:val="21"/>
              </w:rPr>
            </w:pPr>
          </w:p>
        </w:tc>
        <w:tc>
          <w:tcPr>
            <w:tcW w:w="1890" w:type="dxa"/>
            <w:vAlign w:val="top"/>
          </w:tcPr>
          <w:p w14:paraId="1B685366">
            <w:pPr>
              <w:pStyle w:val="6"/>
              <w:spacing w:before="164" w:line="228" w:lineRule="auto"/>
              <w:ind w:left="526"/>
              <w:rPr>
                <w:sz w:val="20"/>
                <w:szCs w:val="20"/>
              </w:rPr>
            </w:pPr>
            <w:r>
              <w:rPr>
                <w:spacing w:val="6"/>
                <w:sz w:val="20"/>
                <w:szCs w:val="20"/>
              </w:rPr>
              <w:t>危险特性</w:t>
            </w:r>
          </w:p>
        </w:tc>
        <w:tc>
          <w:tcPr>
            <w:tcW w:w="5747" w:type="dxa"/>
            <w:gridSpan w:val="4"/>
            <w:tcBorders>
              <w:right w:val="single" w:color="000000" w:sz="6" w:space="0"/>
            </w:tcBorders>
            <w:vAlign w:val="top"/>
          </w:tcPr>
          <w:p w14:paraId="67F3BC3D">
            <w:pPr>
              <w:pStyle w:val="6"/>
              <w:spacing w:before="33" w:line="222" w:lineRule="auto"/>
              <w:ind w:left="108" w:right="209" w:hanging="1"/>
              <w:rPr>
                <w:sz w:val="20"/>
                <w:szCs w:val="20"/>
              </w:rPr>
            </w:pPr>
            <w:r>
              <w:rPr>
                <w:spacing w:val="8"/>
                <w:sz w:val="20"/>
                <w:szCs w:val="20"/>
              </w:rPr>
              <w:t>遇明火、高热或与强氧化剂接触，有引起燃烧爆炸的危险。</w:t>
            </w:r>
            <w:r>
              <w:rPr>
                <w:spacing w:val="9"/>
                <w:sz w:val="20"/>
                <w:szCs w:val="20"/>
              </w:rPr>
              <w:t>若遇高热，容器内压增大，有开裂和爆炸的危险。</w:t>
            </w:r>
          </w:p>
        </w:tc>
      </w:tr>
      <w:tr w14:paraId="579953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495" w:type="dxa"/>
            <w:vMerge w:val="continue"/>
            <w:tcBorders>
              <w:top w:val="nil"/>
              <w:left w:val="single" w:color="000000" w:sz="6" w:space="0"/>
              <w:bottom w:val="nil"/>
              <w:right w:val="single" w:color="000000" w:sz="2" w:space="0"/>
            </w:tcBorders>
            <w:vAlign w:val="top"/>
          </w:tcPr>
          <w:p w14:paraId="1A6C5288">
            <w:pPr>
              <w:rPr>
                <w:rFonts w:ascii="Arial"/>
                <w:sz w:val="21"/>
              </w:rPr>
            </w:pPr>
          </w:p>
        </w:tc>
        <w:tc>
          <w:tcPr>
            <w:tcW w:w="769" w:type="dxa"/>
            <w:gridSpan w:val="2"/>
            <w:vMerge w:val="continue"/>
            <w:tcBorders>
              <w:top w:val="nil"/>
              <w:left w:val="single" w:color="000000" w:sz="2" w:space="0"/>
            </w:tcBorders>
            <w:vAlign w:val="top"/>
          </w:tcPr>
          <w:p w14:paraId="5628636E">
            <w:pPr>
              <w:rPr>
                <w:rFonts w:ascii="Arial"/>
                <w:sz w:val="21"/>
              </w:rPr>
            </w:pPr>
          </w:p>
        </w:tc>
        <w:tc>
          <w:tcPr>
            <w:tcW w:w="1890" w:type="dxa"/>
            <w:vAlign w:val="top"/>
          </w:tcPr>
          <w:p w14:paraId="70A159BB">
            <w:pPr>
              <w:pStyle w:val="6"/>
              <w:spacing w:before="46" w:line="215" w:lineRule="auto"/>
              <w:ind w:left="527"/>
              <w:rPr>
                <w:sz w:val="20"/>
                <w:szCs w:val="20"/>
              </w:rPr>
            </w:pPr>
            <w:r>
              <w:rPr>
                <w:spacing w:val="6"/>
                <w:sz w:val="20"/>
                <w:szCs w:val="20"/>
              </w:rPr>
              <w:t>灭火方法</w:t>
            </w:r>
          </w:p>
        </w:tc>
        <w:tc>
          <w:tcPr>
            <w:tcW w:w="5747" w:type="dxa"/>
            <w:gridSpan w:val="4"/>
            <w:tcBorders>
              <w:right w:val="single" w:color="000000" w:sz="6" w:space="0"/>
            </w:tcBorders>
            <w:vAlign w:val="top"/>
          </w:tcPr>
          <w:p w14:paraId="77385F7E">
            <w:pPr>
              <w:pStyle w:val="6"/>
              <w:spacing w:before="46" w:line="215" w:lineRule="auto"/>
              <w:ind w:left="1455"/>
              <w:rPr>
                <w:sz w:val="20"/>
                <w:szCs w:val="20"/>
              </w:rPr>
            </w:pPr>
            <w:r>
              <w:rPr>
                <w:spacing w:val="9"/>
                <w:sz w:val="20"/>
                <w:szCs w:val="20"/>
              </w:rPr>
              <w:t>泡沫、二氧化碳、干粉、砂土</w:t>
            </w:r>
          </w:p>
        </w:tc>
      </w:tr>
      <w:tr w14:paraId="3E1684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495" w:type="dxa"/>
            <w:vMerge w:val="continue"/>
            <w:tcBorders>
              <w:top w:val="nil"/>
              <w:left w:val="single" w:color="000000" w:sz="6" w:space="0"/>
              <w:bottom w:val="nil"/>
              <w:right w:val="single" w:color="000000" w:sz="2" w:space="0"/>
            </w:tcBorders>
            <w:vAlign w:val="top"/>
          </w:tcPr>
          <w:p w14:paraId="438DA853">
            <w:pPr>
              <w:rPr>
                <w:rFonts w:ascii="Arial"/>
                <w:sz w:val="21"/>
              </w:rPr>
            </w:pPr>
          </w:p>
        </w:tc>
        <w:tc>
          <w:tcPr>
            <w:tcW w:w="769" w:type="dxa"/>
            <w:gridSpan w:val="2"/>
            <w:vMerge w:val="restart"/>
            <w:tcBorders>
              <w:left w:val="single" w:color="000000" w:sz="2" w:space="0"/>
              <w:bottom w:val="nil"/>
            </w:tcBorders>
            <w:vAlign w:val="top"/>
          </w:tcPr>
          <w:p w14:paraId="4A1B603B">
            <w:pPr>
              <w:spacing w:line="435" w:lineRule="auto"/>
              <w:rPr>
                <w:rFonts w:ascii="Arial"/>
                <w:sz w:val="21"/>
              </w:rPr>
            </w:pPr>
          </w:p>
          <w:p w14:paraId="7F926F8B">
            <w:pPr>
              <w:pStyle w:val="6"/>
              <w:spacing w:before="65" w:line="241" w:lineRule="auto"/>
              <w:ind w:left="226" w:right="124" w:firstLine="2"/>
              <w:jc w:val="both"/>
              <w:rPr>
                <w:sz w:val="20"/>
                <w:szCs w:val="20"/>
              </w:rPr>
            </w:pPr>
            <w:r>
              <w:rPr>
                <w:spacing w:val="3"/>
                <w:sz w:val="20"/>
                <w:szCs w:val="20"/>
              </w:rPr>
              <w:t>毒性</w:t>
            </w:r>
            <w:r>
              <w:rPr>
                <w:spacing w:val="5"/>
                <w:sz w:val="20"/>
                <w:szCs w:val="20"/>
              </w:rPr>
              <w:t>及健康危</w:t>
            </w:r>
            <w:r>
              <w:rPr>
                <w:spacing w:val="47"/>
                <w:w w:val="130"/>
                <w:sz w:val="20"/>
                <w:szCs w:val="20"/>
              </w:rPr>
              <w:t>害</w:t>
            </w:r>
          </w:p>
        </w:tc>
        <w:tc>
          <w:tcPr>
            <w:tcW w:w="4085" w:type="dxa"/>
            <w:gridSpan w:val="3"/>
            <w:vAlign w:val="top"/>
          </w:tcPr>
          <w:p w14:paraId="5AB92311">
            <w:pPr>
              <w:pStyle w:val="6"/>
              <w:spacing w:before="47" w:line="214" w:lineRule="auto"/>
              <w:ind w:left="1660"/>
              <w:rPr>
                <w:rFonts w:ascii="Times New Roman" w:hAnsi="Times New Roman" w:eastAsia="Times New Roman" w:cs="Times New Roman"/>
                <w:sz w:val="20"/>
                <w:szCs w:val="20"/>
              </w:rPr>
            </w:pPr>
            <w:r>
              <w:rPr>
                <w:rFonts w:ascii="Times New Roman" w:hAnsi="Times New Roman" w:eastAsia="Times New Roman" w:cs="Times New Roman"/>
                <w:sz w:val="20"/>
                <w:szCs w:val="20"/>
              </w:rPr>
              <w:t>LC</w:t>
            </w:r>
            <w:r>
              <w:rPr>
                <w:rFonts w:ascii="Times New Roman" w:hAnsi="Times New Roman" w:eastAsia="Times New Roman" w:cs="Times New Roman"/>
                <w:spacing w:val="9"/>
                <w:sz w:val="20"/>
                <w:szCs w:val="20"/>
              </w:rPr>
              <w:t>50</w:t>
            </w:r>
            <w:r>
              <w:rPr>
                <w:spacing w:val="9"/>
                <w:sz w:val="20"/>
                <w:szCs w:val="20"/>
              </w:rPr>
              <w:t>：</w:t>
            </w:r>
            <w:r>
              <w:rPr>
                <w:rFonts w:ascii="Times New Roman" w:hAnsi="Times New Roman" w:eastAsia="Times New Roman" w:cs="Times New Roman"/>
                <w:spacing w:val="9"/>
                <w:sz w:val="20"/>
                <w:szCs w:val="20"/>
              </w:rPr>
              <w:t>-</w:t>
            </w:r>
          </w:p>
        </w:tc>
        <w:tc>
          <w:tcPr>
            <w:tcW w:w="3552" w:type="dxa"/>
            <w:gridSpan w:val="2"/>
            <w:tcBorders>
              <w:right w:val="single" w:color="000000" w:sz="6" w:space="0"/>
            </w:tcBorders>
            <w:vAlign w:val="top"/>
          </w:tcPr>
          <w:p w14:paraId="11884DEA">
            <w:pPr>
              <w:pStyle w:val="6"/>
              <w:spacing w:before="47" w:line="214" w:lineRule="auto"/>
              <w:ind w:left="1332"/>
              <w:rPr>
                <w:rFonts w:ascii="Times New Roman" w:hAnsi="Times New Roman" w:eastAsia="Times New Roman" w:cs="Times New Roman"/>
                <w:sz w:val="20"/>
                <w:szCs w:val="20"/>
              </w:rPr>
            </w:pPr>
            <w:r>
              <w:rPr>
                <w:rFonts w:ascii="Times New Roman" w:hAnsi="Times New Roman" w:eastAsia="Times New Roman" w:cs="Times New Roman"/>
                <w:sz w:val="20"/>
                <w:szCs w:val="20"/>
              </w:rPr>
              <w:t>IDLH</w:t>
            </w:r>
            <w:r>
              <w:rPr>
                <w:spacing w:val="18"/>
                <w:sz w:val="20"/>
                <w:szCs w:val="20"/>
              </w:rPr>
              <w:t>：</w:t>
            </w:r>
            <w:r>
              <w:rPr>
                <w:rFonts w:ascii="Times New Roman" w:hAnsi="Times New Roman" w:eastAsia="Times New Roman" w:cs="Times New Roman"/>
                <w:spacing w:val="18"/>
                <w:sz w:val="20"/>
                <w:szCs w:val="20"/>
              </w:rPr>
              <w:t>-</w:t>
            </w:r>
          </w:p>
        </w:tc>
      </w:tr>
      <w:tr w14:paraId="46EFFC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495" w:type="dxa"/>
            <w:vMerge w:val="continue"/>
            <w:tcBorders>
              <w:top w:val="nil"/>
              <w:left w:val="single" w:color="000000" w:sz="6" w:space="0"/>
              <w:bottom w:val="nil"/>
              <w:right w:val="single" w:color="000000" w:sz="2" w:space="0"/>
            </w:tcBorders>
            <w:vAlign w:val="top"/>
          </w:tcPr>
          <w:p w14:paraId="1C38A74B">
            <w:pPr>
              <w:rPr>
                <w:rFonts w:ascii="Arial"/>
                <w:sz w:val="21"/>
              </w:rPr>
            </w:pPr>
          </w:p>
        </w:tc>
        <w:tc>
          <w:tcPr>
            <w:tcW w:w="769" w:type="dxa"/>
            <w:gridSpan w:val="2"/>
            <w:vMerge w:val="continue"/>
            <w:tcBorders>
              <w:top w:val="nil"/>
              <w:left w:val="single" w:color="000000" w:sz="2" w:space="0"/>
              <w:bottom w:val="nil"/>
            </w:tcBorders>
            <w:vAlign w:val="top"/>
          </w:tcPr>
          <w:p w14:paraId="72A726D2">
            <w:pPr>
              <w:rPr>
                <w:rFonts w:ascii="Arial"/>
                <w:sz w:val="21"/>
              </w:rPr>
            </w:pPr>
          </w:p>
        </w:tc>
        <w:tc>
          <w:tcPr>
            <w:tcW w:w="4085" w:type="dxa"/>
            <w:gridSpan w:val="3"/>
            <w:vAlign w:val="top"/>
          </w:tcPr>
          <w:p w14:paraId="62DCA6AA">
            <w:pPr>
              <w:pStyle w:val="6"/>
              <w:spacing w:before="48" w:line="204" w:lineRule="auto"/>
              <w:ind w:left="680"/>
              <w:rPr>
                <w:sz w:val="20"/>
                <w:szCs w:val="20"/>
              </w:rPr>
            </w:pPr>
            <w:r>
              <w:rPr>
                <w:rFonts w:ascii="Times New Roman" w:hAnsi="Times New Roman" w:eastAsia="Times New Roman" w:cs="Times New Roman"/>
                <w:sz w:val="20"/>
                <w:szCs w:val="20"/>
              </w:rPr>
              <w:t>MAC</w:t>
            </w:r>
            <w:r>
              <w:rPr>
                <w:spacing w:val="10"/>
                <w:sz w:val="20"/>
                <w:szCs w:val="20"/>
              </w:rPr>
              <w:t>（</w:t>
            </w:r>
            <w:r>
              <w:rPr>
                <w:rFonts w:ascii="Times New Roman" w:hAnsi="Times New Roman" w:eastAsia="Times New Roman" w:cs="Times New Roman"/>
                <w:sz w:val="20"/>
                <w:szCs w:val="20"/>
              </w:rPr>
              <w:t>mg</w:t>
            </w:r>
            <w:r>
              <w:rPr>
                <w:rFonts w:ascii="Times New Roman" w:hAnsi="Times New Roman" w:eastAsia="Times New Roman" w:cs="Times New Roman"/>
                <w:spacing w:val="10"/>
                <w:sz w:val="20"/>
                <w:szCs w:val="20"/>
              </w:rPr>
              <w:t>/m</w:t>
            </w:r>
            <w:r>
              <w:rPr>
                <w:rFonts w:ascii="Times New Roman" w:hAnsi="Times New Roman" w:eastAsia="Times New Roman" w:cs="Times New Roman"/>
                <w:spacing w:val="10"/>
                <w:position w:val="1"/>
                <w:sz w:val="13"/>
                <w:szCs w:val="13"/>
              </w:rPr>
              <w:t>3</w:t>
            </w:r>
            <w:r>
              <w:rPr>
                <w:spacing w:val="16"/>
                <w:position w:val="1"/>
                <w:sz w:val="20"/>
                <w:szCs w:val="20"/>
              </w:rPr>
              <w:t>）</w:t>
            </w:r>
            <w:r>
              <w:rPr>
                <w:spacing w:val="16"/>
                <w:sz w:val="20"/>
                <w:szCs w:val="20"/>
              </w:rPr>
              <w:t>：</w:t>
            </w:r>
            <w:r>
              <w:rPr>
                <w:spacing w:val="10"/>
                <w:sz w:val="20"/>
                <w:szCs w:val="20"/>
              </w:rPr>
              <w:t>未制订标准</w:t>
            </w:r>
          </w:p>
        </w:tc>
        <w:tc>
          <w:tcPr>
            <w:tcW w:w="3552" w:type="dxa"/>
            <w:gridSpan w:val="2"/>
            <w:tcBorders>
              <w:right w:val="single" w:color="000000" w:sz="6" w:space="0"/>
            </w:tcBorders>
            <w:vAlign w:val="top"/>
          </w:tcPr>
          <w:p w14:paraId="4A835C04">
            <w:pPr>
              <w:pStyle w:val="6"/>
              <w:spacing w:before="48" w:line="213" w:lineRule="auto"/>
              <w:ind w:left="1269"/>
              <w:rPr>
                <w:rFonts w:ascii="Times New Roman" w:hAnsi="Times New Roman" w:eastAsia="Times New Roman" w:cs="Times New Roman"/>
                <w:sz w:val="20"/>
                <w:szCs w:val="20"/>
              </w:rPr>
            </w:pPr>
            <w:r>
              <w:rPr>
                <w:spacing w:val="7"/>
                <w:sz w:val="20"/>
                <w:szCs w:val="20"/>
              </w:rPr>
              <w:t>居民区：</w:t>
            </w:r>
            <w:r>
              <w:rPr>
                <w:rFonts w:ascii="Times New Roman" w:hAnsi="Times New Roman" w:eastAsia="Times New Roman" w:cs="Times New Roman"/>
                <w:spacing w:val="7"/>
                <w:sz w:val="20"/>
                <w:szCs w:val="20"/>
              </w:rPr>
              <w:t>-</w:t>
            </w:r>
          </w:p>
        </w:tc>
      </w:tr>
      <w:tr w14:paraId="49209D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495" w:type="dxa"/>
            <w:vMerge w:val="continue"/>
            <w:tcBorders>
              <w:top w:val="nil"/>
              <w:left w:val="single" w:color="000000" w:sz="6" w:space="0"/>
              <w:bottom w:val="nil"/>
              <w:right w:val="single" w:color="000000" w:sz="2" w:space="0"/>
            </w:tcBorders>
            <w:vAlign w:val="top"/>
          </w:tcPr>
          <w:p w14:paraId="40C1259F">
            <w:pPr>
              <w:rPr>
                <w:rFonts w:ascii="Arial"/>
                <w:sz w:val="21"/>
              </w:rPr>
            </w:pPr>
          </w:p>
        </w:tc>
        <w:tc>
          <w:tcPr>
            <w:tcW w:w="769" w:type="dxa"/>
            <w:gridSpan w:val="2"/>
            <w:vMerge w:val="continue"/>
            <w:tcBorders>
              <w:top w:val="nil"/>
              <w:left w:val="single" w:color="000000" w:sz="2" w:space="0"/>
              <w:bottom w:val="nil"/>
            </w:tcBorders>
            <w:vAlign w:val="top"/>
          </w:tcPr>
          <w:p w14:paraId="6CAA1B51">
            <w:pPr>
              <w:rPr>
                <w:rFonts w:ascii="Arial"/>
                <w:sz w:val="21"/>
              </w:rPr>
            </w:pPr>
          </w:p>
        </w:tc>
        <w:tc>
          <w:tcPr>
            <w:tcW w:w="1890" w:type="dxa"/>
            <w:vAlign w:val="top"/>
          </w:tcPr>
          <w:p w14:paraId="4446D698">
            <w:pPr>
              <w:pStyle w:val="6"/>
              <w:spacing w:before="47" w:line="214" w:lineRule="auto"/>
              <w:ind w:left="525"/>
              <w:rPr>
                <w:sz w:val="20"/>
                <w:szCs w:val="20"/>
              </w:rPr>
            </w:pPr>
            <w:r>
              <w:rPr>
                <w:spacing w:val="6"/>
                <w:sz w:val="20"/>
                <w:szCs w:val="20"/>
              </w:rPr>
              <w:t>侵入途径</w:t>
            </w:r>
          </w:p>
        </w:tc>
        <w:tc>
          <w:tcPr>
            <w:tcW w:w="5747" w:type="dxa"/>
            <w:gridSpan w:val="4"/>
            <w:tcBorders>
              <w:right w:val="single" w:color="000000" w:sz="6" w:space="0"/>
            </w:tcBorders>
            <w:vAlign w:val="top"/>
          </w:tcPr>
          <w:p w14:paraId="68AF065B">
            <w:pPr>
              <w:pStyle w:val="6"/>
              <w:spacing w:before="47" w:line="214" w:lineRule="auto"/>
              <w:ind w:left="2302"/>
              <w:rPr>
                <w:sz w:val="20"/>
                <w:szCs w:val="20"/>
              </w:rPr>
            </w:pPr>
            <w:r>
              <w:rPr>
                <w:spacing w:val="6"/>
                <w:sz w:val="20"/>
                <w:szCs w:val="20"/>
              </w:rPr>
              <w:t>吸入、误服</w:t>
            </w:r>
          </w:p>
        </w:tc>
      </w:tr>
      <w:tr w14:paraId="590581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495" w:type="dxa"/>
            <w:vMerge w:val="continue"/>
            <w:tcBorders>
              <w:top w:val="nil"/>
              <w:left w:val="single" w:color="000000" w:sz="6" w:space="0"/>
              <w:bottom w:val="nil"/>
              <w:right w:val="single" w:color="000000" w:sz="2" w:space="0"/>
            </w:tcBorders>
            <w:vAlign w:val="top"/>
          </w:tcPr>
          <w:p w14:paraId="1C3F5562">
            <w:pPr>
              <w:rPr>
                <w:rFonts w:ascii="Arial"/>
                <w:sz w:val="21"/>
              </w:rPr>
            </w:pPr>
          </w:p>
        </w:tc>
        <w:tc>
          <w:tcPr>
            <w:tcW w:w="769" w:type="dxa"/>
            <w:gridSpan w:val="2"/>
            <w:vMerge w:val="continue"/>
            <w:tcBorders>
              <w:top w:val="nil"/>
              <w:left w:val="single" w:color="000000" w:sz="2" w:space="0"/>
              <w:bottom w:val="nil"/>
            </w:tcBorders>
            <w:vAlign w:val="top"/>
          </w:tcPr>
          <w:p w14:paraId="4F9EC05C">
            <w:pPr>
              <w:rPr>
                <w:rFonts w:ascii="Arial"/>
                <w:sz w:val="21"/>
              </w:rPr>
            </w:pPr>
          </w:p>
        </w:tc>
        <w:tc>
          <w:tcPr>
            <w:tcW w:w="1890" w:type="dxa"/>
            <w:vAlign w:val="top"/>
          </w:tcPr>
          <w:p w14:paraId="2078AE8F">
            <w:pPr>
              <w:pStyle w:val="6"/>
              <w:spacing w:before="48" w:line="213" w:lineRule="auto"/>
              <w:ind w:left="734"/>
              <w:rPr>
                <w:sz w:val="20"/>
                <w:szCs w:val="20"/>
              </w:rPr>
            </w:pPr>
            <w:r>
              <w:rPr>
                <w:spacing w:val="3"/>
                <w:sz w:val="20"/>
                <w:szCs w:val="20"/>
              </w:rPr>
              <w:t>毒性</w:t>
            </w:r>
          </w:p>
        </w:tc>
        <w:tc>
          <w:tcPr>
            <w:tcW w:w="5747" w:type="dxa"/>
            <w:gridSpan w:val="4"/>
            <w:tcBorders>
              <w:right w:val="single" w:color="000000" w:sz="6" w:space="0"/>
            </w:tcBorders>
            <w:vAlign w:val="top"/>
          </w:tcPr>
          <w:p w14:paraId="61873B76">
            <w:pPr>
              <w:pStyle w:val="6"/>
              <w:spacing w:before="48" w:line="213" w:lineRule="auto"/>
              <w:ind w:left="2195"/>
              <w:rPr>
                <w:sz w:val="20"/>
                <w:szCs w:val="20"/>
              </w:rPr>
            </w:pPr>
            <w:r>
              <w:rPr>
                <w:spacing w:val="7"/>
                <w:sz w:val="20"/>
                <w:szCs w:val="20"/>
              </w:rPr>
              <w:t>具体刺激作用</w:t>
            </w:r>
          </w:p>
        </w:tc>
      </w:tr>
      <w:tr w14:paraId="32182F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trPr>
        <w:tc>
          <w:tcPr>
            <w:tcW w:w="495" w:type="dxa"/>
            <w:vMerge w:val="continue"/>
            <w:tcBorders>
              <w:top w:val="nil"/>
              <w:left w:val="single" w:color="000000" w:sz="6" w:space="0"/>
              <w:bottom w:val="nil"/>
              <w:right w:val="single" w:color="000000" w:sz="2" w:space="0"/>
            </w:tcBorders>
            <w:vAlign w:val="top"/>
          </w:tcPr>
          <w:p w14:paraId="47D2A0CD">
            <w:pPr>
              <w:rPr>
                <w:rFonts w:ascii="Arial"/>
                <w:sz w:val="21"/>
              </w:rPr>
            </w:pPr>
          </w:p>
        </w:tc>
        <w:tc>
          <w:tcPr>
            <w:tcW w:w="769" w:type="dxa"/>
            <w:gridSpan w:val="2"/>
            <w:vMerge w:val="continue"/>
            <w:tcBorders>
              <w:top w:val="nil"/>
              <w:left w:val="single" w:color="000000" w:sz="2" w:space="0"/>
            </w:tcBorders>
            <w:vAlign w:val="top"/>
          </w:tcPr>
          <w:p w14:paraId="5D142758">
            <w:pPr>
              <w:rPr>
                <w:rFonts w:ascii="Arial"/>
                <w:sz w:val="21"/>
              </w:rPr>
            </w:pPr>
          </w:p>
        </w:tc>
        <w:tc>
          <w:tcPr>
            <w:tcW w:w="1890" w:type="dxa"/>
            <w:vAlign w:val="top"/>
          </w:tcPr>
          <w:p w14:paraId="5EB0C6D2">
            <w:pPr>
              <w:pStyle w:val="6"/>
              <w:spacing w:before="295" w:line="228" w:lineRule="auto"/>
              <w:ind w:left="524"/>
              <w:rPr>
                <w:sz w:val="20"/>
                <w:szCs w:val="20"/>
              </w:rPr>
            </w:pPr>
            <w:r>
              <w:rPr>
                <w:spacing w:val="7"/>
                <w:sz w:val="20"/>
                <w:szCs w:val="20"/>
              </w:rPr>
              <w:t>健康危害</w:t>
            </w:r>
          </w:p>
        </w:tc>
        <w:tc>
          <w:tcPr>
            <w:tcW w:w="5747" w:type="dxa"/>
            <w:gridSpan w:val="4"/>
            <w:tcBorders>
              <w:right w:val="single" w:color="000000" w:sz="6" w:space="0"/>
            </w:tcBorders>
            <w:vAlign w:val="top"/>
          </w:tcPr>
          <w:p w14:paraId="1B135A4A">
            <w:pPr>
              <w:pStyle w:val="6"/>
              <w:spacing w:before="36" w:line="227" w:lineRule="auto"/>
              <w:ind w:left="107" w:right="210" w:firstLine="4"/>
              <w:jc w:val="both"/>
              <w:rPr>
                <w:sz w:val="20"/>
                <w:szCs w:val="20"/>
              </w:rPr>
            </w:pPr>
            <w:r>
              <w:rPr>
                <w:spacing w:val="8"/>
                <w:sz w:val="20"/>
                <w:szCs w:val="20"/>
              </w:rPr>
              <w:t>皮肤接触柴油可引起接触性皮炎、油性痤疮，吸入可引起吸入性肺炎和肺的损害。柴油废气可引起眼、鼻刺激症状，头</w:t>
            </w:r>
            <w:r>
              <w:rPr>
                <w:spacing w:val="6"/>
                <w:sz w:val="20"/>
                <w:szCs w:val="20"/>
              </w:rPr>
              <w:t>痛及头晕。</w:t>
            </w:r>
          </w:p>
        </w:tc>
      </w:tr>
      <w:tr w14:paraId="286A1B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3" w:hRule="atLeast"/>
        </w:trPr>
        <w:tc>
          <w:tcPr>
            <w:tcW w:w="495" w:type="dxa"/>
            <w:vMerge w:val="continue"/>
            <w:tcBorders>
              <w:top w:val="nil"/>
              <w:left w:val="single" w:color="000000" w:sz="6" w:space="0"/>
              <w:bottom w:val="nil"/>
              <w:right w:val="single" w:color="000000" w:sz="2" w:space="0"/>
            </w:tcBorders>
            <w:vAlign w:val="top"/>
          </w:tcPr>
          <w:p w14:paraId="2F0B726F">
            <w:pPr>
              <w:rPr>
                <w:rFonts w:ascii="Arial"/>
                <w:sz w:val="21"/>
              </w:rPr>
            </w:pPr>
          </w:p>
        </w:tc>
        <w:tc>
          <w:tcPr>
            <w:tcW w:w="769" w:type="dxa"/>
            <w:gridSpan w:val="2"/>
            <w:tcBorders>
              <w:left w:val="single" w:color="000000" w:sz="2" w:space="0"/>
            </w:tcBorders>
            <w:vAlign w:val="top"/>
          </w:tcPr>
          <w:p w14:paraId="1473F0A4">
            <w:pPr>
              <w:spacing w:line="359" w:lineRule="auto"/>
              <w:rPr>
                <w:rFonts w:ascii="Arial"/>
                <w:sz w:val="21"/>
              </w:rPr>
            </w:pPr>
          </w:p>
          <w:p w14:paraId="3D5AFD94">
            <w:pPr>
              <w:pStyle w:val="6"/>
              <w:spacing w:before="65" w:line="241" w:lineRule="auto"/>
              <w:ind w:left="227" w:right="124" w:firstLine="6"/>
              <w:rPr>
                <w:sz w:val="20"/>
                <w:szCs w:val="20"/>
              </w:rPr>
            </w:pPr>
            <w:r>
              <w:rPr>
                <w:spacing w:val="1"/>
                <w:sz w:val="20"/>
                <w:szCs w:val="20"/>
              </w:rPr>
              <w:t>急救</w:t>
            </w:r>
            <w:r>
              <w:rPr>
                <w:spacing w:val="4"/>
                <w:sz w:val="20"/>
                <w:szCs w:val="20"/>
              </w:rPr>
              <w:t>措施</w:t>
            </w:r>
          </w:p>
        </w:tc>
        <w:tc>
          <w:tcPr>
            <w:tcW w:w="7637" w:type="dxa"/>
            <w:gridSpan w:val="5"/>
            <w:tcBorders>
              <w:right w:val="single" w:color="000000" w:sz="6" w:space="0"/>
            </w:tcBorders>
            <w:vAlign w:val="top"/>
          </w:tcPr>
          <w:p w14:paraId="5EBDDB6E">
            <w:pPr>
              <w:pStyle w:val="6"/>
              <w:spacing w:before="37" w:line="228" w:lineRule="auto"/>
              <w:ind w:left="107"/>
              <w:rPr>
                <w:sz w:val="20"/>
                <w:szCs w:val="20"/>
              </w:rPr>
            </w:pPr>
            <w:r>
              <w:rPr>
                <w:spacing w:val="8"/>
                <w:sz w:val="20"/>
                <w:szCs w:val="20"/>
              </w:rPr>
              <w:t>皮肤接触：脱去污染的衣着，按用大量水冲洗皮肤至少</w:t>
            </w:r>
            <w:r>
              <w:rPr>
                <w:spacing w:val="-21"/>
                <w:sz w:val="20"/>
                <w:szCs w:val="20"/>
              </w:rPr>
              <w:t xml:space="preserve"> </w:t>
            </w:r>
            <w:r>
              <w:rPr>
                <w:rFonts w:ascii="Times New Roman" w:hAnsi="Times New Roman" w:eastAsia="Times New Roman" w:cs="Times New Roman"/>
                <w:spacing w:val="8"/>
                <w:sz w:val="20"/>
                <w:szCs w:val="20"/>
              </w:rPr>
              <w:t xml:space="preserve">15 </w:t>
            </w:r>
            <w:r>
              <w:rPr>
                <w:spacing w:val="8"/>
                <w:sz w:val="20"/>
                <w:szCs w:val="20"/>
              </w:rPr>
              <w:t>分钟。就医。</w:t>
            </w:r>
          </w:p>
          <w:p w14:paraId="228FD5ED">
            <w:pPr>
              <w:pStyle w:val="6"/>
              <w:spacing w:before="12" w:line="227" w:lineRule="auto"/>
              <w:ind w:left="117"/>
              <w:rPr>
                <w:sz w:val="20"/>
                <w:szCs w:val="20"/>
              </w:rPr>
            </w:pPr>
            <w:r>
              <w:rPr>
                <w:spacing w:val="7"/>
                <w:sz w:val="20"/>
                <w:szCs w:val="20"/>
              </w:rPr>
              <w:t>眼睛接触：立即提起眼睑用大量水冲洗眼睛，至少</w:t>
            </w:r>
            <w:r>
              <w:rPr>
                <w:spacing w:val="-4"/>
                <w:sz w:val="20"/>
                <w:szCs w:val="20"/>
              </w:rPr>
              <w:t xml:space="preserve"> </w:t>
            </w:r>
            <w:r>
              <w:rPr>
                <w:rFonts w:ascii="Times New Roman" w:hAnsi="Times New Roman" w:eastAsia="Times New Roman" w:cs="Times New Roman"/>
                <w:spacing w:val="7"/>
                <w:sz w:val="20"/>
                <w:szCs w:val="20"/>
              </w:rPr>
              <w:t xml:space="preserve">15 </w:t>
            </w:r>
            <w:r>
              <w:rPr>
                <w:spacing w:val="7"/>
                <w:sz w:val="20"/>
                <w:szCs w:val="20"/>
              </w:rPr>
              <w:t>分钟。就医。</w:t>
            </w:r>
          </w:p>
          <w:p w14:paraId="3DD6ADA2">
            <w:pPr>
              <w:pStyle w:val="6"/>
              <w:spacing w:before="14"/>
              <w:ind w:left="105" w:right="230" w:firstLine="7"/>
              <w:rPr>
                <w:sz w:val="20"/>
                <w:szCs w:val="20"/>
              </w:rPr>
            </w:pPr>
            <w:r>
              <w:rPr>
                <w:spacing w:val="8"/>
                <w:sz w:val="20"/>
                <w:szCs w:val="20"/>
              </w:rPr>
              <w:t>吸入：迅速撤离现场到空气新鲜处；如呼吸停止，进行人工呼吸；如呼吸困难，</w:t>
            </w:r>
            <w:r>
              <w:rPr>
                <w:spacing w:val="9"/>
                <w:sz w:val="20"/>
                <w:szCs w:val="20"/>
              </w:rPr>
              <w:t>给输氧（如有适当的解毒剂，立即服用）。就医。</w:t>
            </w:r>
          </w:p>
          <w:p w14:paraId="3C05884B">
            <w:pPr>
              <w:pStyle w:val="6"/>
              <w:spacing w:line="199" w:lineRule="auto"/>
              <w:ind w:left="104"/>
              <w:rPr>
                <w:sz w:val="20"/>
                <w:szCs w:val="20"/>
              </w:rPr>
            </w:pPr>
            <w:r>
              <w:rPr>
                <w:spacing w:val="9"/>
                <w:sz w:val="20"/>
                <w:szCs w:val="20"/>
              </w:rPr>
              <w:t>食入：误服者立即漱口，饮足量温水，尽快洗胃。就医</w:t>
            </w:r>
          </w:p>
        </w:tc>
      </w:tr>
      <w:tr w14:paraId="18C741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4" w:hRule="atLeast"/>
        </w:trPr>
        <w:tc>
          <w:tcPr>
            <w:tcW w:w="495" w:type="dxa"/>
            <w:vMerge w:val="continue"/>
            <w:tcBorders>
              <w:top w:val="nil"/>
              <w:left w:val="single" w:color="000000" w:sz="6" w:space="0"/>
              <w:bottom w:val="nil"/>
              <w:right w:val="single" w:color="000000" w:sz="2" w:space="0"/>
            </w:tcBorders>
            <w:vAlign w:val="top"/>
          </w:tcPr>
          <w:p w14:paraId="07007473">
            <w:pPr>
              <w:rPr>
                <w:rFonts w:ascii="Arial"/>
                <w:sz w:val="21"/>
              </w:rPr>
            </w:pPr>
          </w:p>
        </w:tc>
        <w:tc>
          <w:tcPr>
            <w:tcW w:w="769" w:type="dxa"/>
            <w:gridSpan w:val="2"/>
            <w:tcBorders>
              <w:left w:val="single" w:color="000000" w:sz="2" w:space="0"/>
            </w:tcBorders>
            <w:vAlign w:val="top"/>
          </w:tcPr>
          <w:p w14:paraId="164A2AF2">
            <w:pPr>
              <w:pStyle w:val="6"/>
              <w:spacing w:before="247" w:line="243" w:lineRule="auto"/>
              <w:ind w:left="227" w:right="124" w:firstLine="3"/>
              <w:jc w:val="both"/>
              <w:rPr>
                <w:sz w:val="20"/>
                <w:szCs w:val="20"/>
              </w:rPr>
            </w:pPr>
            <w:r>
              <w:rPr>
                <w:spacing w:val="3"/>
                <w:sz w:val="20"/>
                <w:szCs w:val="20"/>
              </w:rPr>
              <w:t>泄漏</w:t>
            </w:r>
            <w:r>
              <w:rPr>
                <w:spacing w:val="4"/>
                <w:sz w:val="20"/>
                <w:szCs w:val="20"/>
              </w:rPr>
              <w:t>应急处理</w:t>
            </w:r>
          </w:p>
        </w:tc>
        <w:tc>
          <w:tcPr>
            <w:tcW w:w="7637" w:type="dxa"/>
            <w:gridSpan w:val="5"/>
            <w:tcBorders>
              <w:right w:val="single" w:color="000000" w:sz="6" w:space="0"/>
            </w:tcBorders>
            <w:vAlign w:val="top"/>
          </w:tcPr>
          <w:p w14:paraId="208B4D5E">
            <w:pPr>
              <w:pStyle w:val="6"/>
              <w:spacing w:before="23" w:line="216" w:lineRule="auto"/>
              <w:ind w:left="105" w:right="210"/>
              <w:jc w:val="both"/>
              <w:rPr>
                <w:sz w:val="20"/>
                <w:szCs w:val="20"/>
              </w:rPr>
            </w:pPr>
            <w:r>
              <w:rPr>
                <w:spacing w:val="9"/>
                <w:sz w:val="20"/>
                <w:szCs w:val="20"/>
              </w:rPr>
              <w:t>疏散泄漏污染区人员至安全区，禁止无关人员进入污染区</w:t>
            </w:r>
            <w:r>
              <w:rPr>
                <w:spacing w:val="8"/>
                <w:sz w:val="20"/>
                <w:szCs w:val="20"/>
              </w:rPr>
              <w:t>，切断火源。应急处理</w:t>
            </w:r>
            <w:r>
              <w:rPr>
                <w:spacing w:val="9"/>
                <w:sz w:val="20"/>
                <w:szCs w:val="20"/>
              </w:rPr>
              <w:t>人员戴自给式呼吸器，穿一般消防防护服。在确保安全情况下</w:t>
            </w:r>
            <w:r>
              <w:rPr>
                <w:spacing w:val="8"/>
                <w:sz w:val="20"/>
                <w:szCs w:val="20"/>
              </w:rPr>
              <w:t>堵漏。喷水雾可减</w:t>
            </w:r>
            <w:r>
              <w:rPr>
                <w:spacing w:val="9"/>
                <w:sz w:val="20"/>
                <w:szCs w:val="20"/>
              </w:rPr>
              <w:t>少蒸发。用活性炭或其他惰性材料吸收，然后收集运至废</w:t>
            </w:r>
            <w:r>
              <w:rPr>
                <w:spacing w:val="8"/>
                <w:sz w:val="20"/>
                <w:szCs w:val="20"/>
              </w:rPr>
              <w:t>物处理场所。也可以用</w:t>
            </w:r>
            <w:r>
              <w:rPr>
                <w:spacing w:val="9"/>
                <w:sz w:val="20"/>
                <w:szCs w:val="20"/>
              </w:rPr>
              <w:t>大量水冲洗，经稀释的洗液放入放心水系统。如大量泄漏</w:t>
            </w:r>
            <w:r>
              <w:rPr>
                <w:spacing w:val="8"/>
                <w:sz w:val="20"/>
                <w:szCs w:val="20"/>
              </w:rPr>
              <w:t>，利用围堤收容，然后</w:t>
            </w:r>
            <w:r>
              <w:rPr>
                <w:spacing w:val="9"/>
                <w:sz w:val="20"/>
                <w:szCs w:val="20"/>
              </w:rPr>
              <w:t>收集、转移、回收或无害处理后废弃</w:t>
            </w:r>
          </w:p>
        </w:tc>
      </w:tr>
      <w:tr w14:paraId="50949C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4" w:hRule="atLeast"/>
        </w:trPr>
        <w:tc>
          <w:tcPr>
            <w:tcW w:w="495" w:type="dxa"/>
            <w:vMerge w:val="continue"/>
            <w:tcBorders>
              <w:top w:val="nil"/>
              <w:left w:val="single" w:color="000000" w:sz="6" w:space="0"/>
              <w:bottom w:val="nil"/>
              <w:right w:val="single" w:color="000000" w:sz="2" w:space="0"/>
            </w:tcBorders>
            <w:vAlign w:val="top"/>
          </w:tcPr>
          <w:p w14:paraId="1ECC0665">
            <w:pPr>
              <w:rPr>
                <w:rFonts w:ascii="Arial"/>
                <w:sz w:val="21"/>
              </w:rPr>
            </w:pPr>
          </w:p>
        </w:tc>
        <w:tc>
          <w:tcPr>
            <w:tcW w:w="769" w:type="dxa"/>
            <w:gridSpan w:val="2"/>
            <w:tcBorders>
              <w:left w:val="single" w:color="000000" w:sz="2" w:space="0"/>
            </w:tcBorders>
            <w:vAlign w:val="top"/>
          </w:tcPr>
          <w:p w14:paraId="08617D05">
            <w:pPr>
              <w:pStyle w:val="6"/>
              <w:spacing w:before="247" w:line="242" w:lineRule="auto"/>
              <w:ind w:left="226" w:right="124"/>
              <w:jc w:val="both"/>
              <w:rPr>
                <w:sz w:val="20"/>
                <w:szCs w:val="20"/>
              </w:rPr>
            </w:pPr>
            <w:r>
              <w:rPr>
                <w:spacing w:val="5"/>
                <w:sz w:val="20"/>
                <w:szCs w:val="20"/>
              </w:rPr>
              <w:t>储存</w:t>
            </w:r>
            <w:r>
              <w:rPr>
                <w:spacing w:val="4"/>
                <w:sz w:val="20"/>
                <w:szCs w:val="20"/>
              </w:rPr>
              <w:t>注意事项</w:t>
            </w:r>
          </w:p>
        </w:tc>
        <w:tc>
          <w:tcPr>
            <w:tcW w:w="7637" w:type="dxa"/>
            <w:gridSpan w:val="5"/>
            <w:tcBorders>
              <w:right w:val="single" w:color="000000" w:sz="6" w:space="0"/>
            </w:tcBorders>
            <w:vAlign w:val="top"/>
          </w:tcPr>
          <w:p w14:paraId="0807DF7E">
            <w:pPr>
              <w:pStyle w:val="6"/>
              <w:spacing w:before="23" w:line="216" w:lineRule="auto"/>
              <w:ind w:left="103" w:right="142"/>
              <w:jc w:val="both"/>
              <w:rPr>
                <w:sz w:val="20"/>
                <w:szCs w:val="20"/>
              </w:rPr>
            </w:pPr>
            <w:r>
              <w:rPr>
                <w:spacing w:val="3"/>
                <w:sz w:val="20"/>
                <w:szCs w:val="20"/>
              </w:rPr>
              <w:t>储运于阴凉、通风仓间内。远离火种、热源。仓温不宜超过</w:t>
            </w:r>
            <w:r>
              <w:rPr>
                <w:spacing w:val="-36"/>
                <w:sz w:val="20"/>
                <w:szCs w:val="20"/>
              </w:rPr>
              <w:t xml:space="preserve"> </w:t>
            </w:r>
            <w:r>
              <w:rPr>
                <w:rFonts w:ascii="Times New Roman" w:hAnsi="Times New Roman" w:eastAsia="Times New Roman" w:cs="Times New Roman"/>
                <w:spacing w:val="3"/>
                <w:sz w:val="20"/>
                <w:szCs w:val="20"/>
              </w:rPr>
              <w:t>30℃</w:t>
            </w:r>
            <w:r>
              <w:rPr>
                <w:spacing w:val="3"/>
                <w:sz w:val="20"/>
                <w:szCs w:val="20"/>
              </w:rPr>
              <w:t>。防止阳光直</w:t>
            </w:r>
            <w:r>
              <w:rPr>
                <w:spacing w:val="2"/>
                <w:sz w:val="20"/>
                <w:szCs w:val="20"/>
              </w:rPr>
              <w:t>射。</w:t>
            </w:r>
            <w:r>
              <w:rPr>
                <w:spacing w:val="9"/>
                <w:sz w:val="20"/>
                <w:szCs w:val="20"/>
              </w:rPr>
              <w:t>保持容器密封。储存间内的照明、通风等设施应采用防爆型</w:t>
            </w:r>
            <w:r>
              <w:rPr>
                <w:spacing w:val="8"/>
                <w:sz w:val="20"/>
                <w:szCs w:val="20"/>
              </w:rPr>
              <w:t>。配备相应品种和数</w:t>
            </w:r>
            <w:r>
              <w:rPr>
                <w:spacing w:val="9"/>
                <w:sz w:val="20"/>
                <w:szCs w:val="20"/>
              </w:rPr>
              <w:t>量的消防器材。罐储时要有防火防爆技术措施。禁止使用易</w:t>
            </w:r>
            <w:r>
              <w:rPr>
                <w:spacing w:val="8"/>
                <w:sz w:val="20"/>
                <w:szCs w:val="20"/>
              </w:rPr>
              <w:t>产生火花的机械设备</w:t>
            </w:r>
            <w:r>
              <w:rPr>
                <w:spacing w:val="9"/>
                <w:sz w:val="20"/>
                <w:szCs w:val="20"/>
              </w:rPr>
              <w:t>和工具。灌装时注意流速（不超过</w:t>
            </w:r>
            <w:r>
              <w:rPr>
                <w:rFonts w:ascii="Times New Roman" w:hAnsi="Times New Roman" w:eastAsia="Times New Roman" w:cs="Times New Roman"/>
                <w:spacing w:val="9"/>
                <w:sz w:val="20"/>
                <w:szCs w:val="20"/>
              </w:rPr>
              <w:t>3m/s</w:t>
            </w:r>
            <w:r>
              <w:rPr>
                <w:spacing w:val="2"/>
                <w:sz w:val="20"/>
                <w:szCs w:val="20"/>
              </w:rPr>
              <w:t>），</w:t>
            </w:r>
            <w:r>
              <w:rPr>
                <w:spacing w:val="9"/>
                <w:sz w:val="20"/>
                <w:szCs w:val="20"/>
              </w:rPr>
              <w:t>且有接地装置，防止静电积聚</w:t>
            </w:r>
            <w:r>
              <w:rPr>
                <w:spacing w:val="8"/>
                <w:sz w:val="20"/>
                <w:szCs w:val="20"/>
              </w:rPr>
              <w:t>。搬运时要轻装轻卸，防止包装及容器损坏。</w:t>
            </w:r>
          </w:p>
        </w:tc>
      </w:tr>
      <w:tr w14:paraId="7B13A6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495" w:type="dxa"/>
            <w:vMerge w:val="continue"/>
            <w:tcBorders>
              <w:top w:val="nil"/>
              <w:left w:val="single" w:color="000000" w:sz="6" w:space="0"/>
              <w:bottom w:val="single" w:color="000000" w:sz="6" w:space="0"/>
              <w:right w:val="single" w:color="000000" w:sz="2" w:space="0"/>
            </w:tcBorders>
            <w:vAlign w:val="top"/>
          </w:tcPr>
          <w:p w14:paraId="5A893AD1">
            <w:pPr>
              <w:rPr>
                <w:rFonts w:ascii="Arial"/>
                <w:sz w:val="21"/>
              </w:rPr>
            </w:pPr>
          </w:p>
        </w:tc>
        <w:tc>
          <w:tcPr>
            <w:tcW w:w="769" w:type="dxa"/>
            <w:gridSpan w:val="2"/>
            <w:tcBorders>
              <w:left w:val="single" w:color="000000" w:sz="2" w:space="0"/>
              <w:bottom w:val="single" w:color="000000" w:sz="6" w:space="0"/>
            </w:tcBorders>
            <w:vAlign w:val="top"/>
          </w:tcPr>
          <w:p w14:paraId="39F1152E">
            <w:pPr>
              <w:pStyle w:val="6"/>
              <w:spacing w:before="40" w:line="228" w:lineRule="auto"/>
              <w:ind w:left="240"/>
              <w:rPr>
                <w:sz w:val="20"/>
                <w:szCs w:val="20"/>
              </w:rPr>
            </w:pPr>
            <w:r>
              <w:rPr>
                <w:spacing w:val="-2"/>
                <w:sz w:val="20"/>
                <w:szCs w:val="20"/>
              </w:rPr>
              <w:t>防护</w:t>
            </w:r>
          </w:p>
        </w:tc>
        <w:tc>
          <w:tcPr>
            <w:tcW w:w="7637" w:type="dxa"/>
            <w:gridSpan w:val="5"/>
            <w:tcBorders>
              <w:bottom w:val="single" w:color="000000" w:sz="6" w:space="0"/>
              <w:right w:val="single" w:color="000000" w:sz="6" w:space="0"/>
            </w:tcBorders>
            <w:vAlign w:val="top"/>
          </w:tcPr>
          <w:p w14:paraId="2642B323">
            <w:pPr>
              <w:pStyle w:val="6"/>
              <w:spacing w:before="33" w:line="227" w:lineRule="auto"/>
              <w:ind w:left="106"/>
              <w:rPr>
                <w:sz w:val="20"/>
                <w:szCs w:val="20"/>
              </w:rPr>
            </w:pPr>
            <w:r>
              <w:rPr>
                <w:spacing w:val="8"/>
                <w:sz w:val="20"/>
                <w:szCs w:val="20"/>
              </w:rPr>
              <w:t>工程控制：采用通风装置。</w:t>
            </w:r>
          </w:p>
        </w:tc>
      </w:tr>
    </w:tbl>
    <w:p w14:paraId="5EB5845C">
      <w:pPr>
        <w:spacing w:line="225" w:lineRule="exact"/>
        <w:rPr>
          <w:rFonts w:ascii="Arial"/>
          <w:sz w:val="19"/>
        </w:rPr>
      </w:pPr>
    </w:p>
    <w:p w14:paraId="562DECB2">
      <w:pPr>
        <w:spacing w:line="225" w:lineRule="exact"/>
        <w:rPr>
          <w:rFonts w:ascii="Arial" w:hAnsi="Arial" w:eastAsia="Arial" w:cs="Arial"/>
          <w:sz w:val="19"/>
          <w:szCs w:val="19"/>
        </w:rPr>
        <w:sectPr>
          <w:footerReference r:id="rId81" w:type="default"/>
          <w:pgSz w:w="11906" w:h="16839"/>
          <w:pgMar w:top="400" w:right="1410" w:bottom="1237" w:left="1579" w:header="0" w:footer="1078" w:gutter="0"/>
          <w:cols w:space="720" w:num="1"/>
        </w:sectPr>
      </w:pPr>
    </w:p>
    <w:p w14:paraId="38B67C71">
      <w:pPr>
        <w:spacing w:before="56"/>
      </w:pPr>
    </w:p>
    <w:p w14:paraId="436CE5CB">
      <w:pPr>
        <w:spacing w:before="56"/>
      </w:pPr>
    </w:p>
    <w:p w14:paraId="2657F35E">
      <w:pPr>
        <w:spacing w:before="55"/>
      </w:pPr>
    </w:p>
    <w:p w14:paraId="3637B410">
      <w:pPr>
        <w:spacing w:before="55"/>
      </w:pPr>
    </w:p>
    <w:tbl>
      <w:tblPr>
        <w:tblStyle w:val="5"/>
        <w:tblW w:w="8901"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5"/>
        <w:gridCol w:w="609"/>
        <w:gridCol w:w="104"/>
        <w:gridCol w:w="56"/>
        <w:gridCol w:w="2019"/>
        <w:gridCol w:w="787"/>
        <w:gridCol w:w="587"/>
        <w:gridCol w:w="255"/>
        <w:gridCol w:w="1895"/>
        <w:gridCol w:w="456"/>
        <w:gridCol w:w="1638"/>
      </w:tblGrid>
      <w:tr w14:paraId="041EED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3" w:hRule="atLeast"/>
        </w:trPr>
        <w:tc>
          <w:tcPr>
            <w:tcW w:w="495" w:type="dxa"/>
            <w:vMerge w:val="restart"/>
            <w:tcBorders>
              <w:top w:val="single" w:color="000000" w:sz="6" w:space="0"/>
              <w:left w:val="single" w:color="000000" w:sz="6" w:space="0"/>
              <w:bottom w:val="nil"/>
              <w:right w:val="single" w:color="000000" w:sz="2" w:space="0"/>
            </w:tcBorders>
            <w:vAlign w:val="top"/>
          </w:tcPr>
          <w:p w14:paraId="0B32CEB5">
            <w:pPr>
              <w:rPr>
                <w:rFonts w:ascii="Arial"/>
                <w:sz w:val="21"/>
              </w:rPr>
            </w:pPr>
          </w:p>
        </w:tc>
        <w:tc>
          <w:tcPr>
            <w:tcW w:w="769" w:type="dxa"/>
            <w:gridSpan w:val="3"/>
            <w:tcBorders>
              <w:top w:val="single" w:color="000000" w:sz="6" w:space="0"/>
              <w:left w:val="single" w:color="000000" w:sz="2" w:space="0"/>
              <w:bottom w:val="single" w:color="000000" w:sz="10" w:space="0"/>
            </w:tcBorders>
            <w:vAlign w:val="top"/>
          </w:tcPr>
          <w:p w14:paraId="45D24750">
            <w:pPr>
              <w:pStyle w:val="6"/>
              <w:spacing w:before="47" w:line="228" w:lineRule="auto"/>
              <w:ind w:left="227"/>
              <w:rPr>
                <w:sz w:val="20"/>
                <w:szCs w:val="20"/>
              </w:rPr>
            </w:pPr>
            <w:r>
              <w:rPr>
                <w:spacing w:val="4"/>
                <w:sz w:val="20"/>
                <w:szCs w:val="20"/>
              </w:rPr>
              <w:t>措施</w:t>
            </w:r>
          </w:p>
        </w:tc>
        <w:tc>
          <w:tcPr>
            <w:tcW w:w="7637" w:type="dxa"/>
            <w:gridSpan w:val="7"/>
            <w:tcBorders>
              <w:top w:val="single" w:color="000000" w:sz="6" w:space="0"/>
              <w:bottom w:val="single" w:color="000000" w:sz="10" w:space="0"/>
              <w:right w:val="single" w:color="000000" w:sz="6" w:space="0"/>
            </w:tcBorders>
            <w:vAlign w:val="top"/>
          </w:tcPr>
          <w:p w14:paraId="7AA4FF2B">
            <w:pPr>
              <w:pStyle w:val="6"/>
              <w:spacing w:before="31" w:line="222" w:lineRule="auto"/>
              <w:ind w:left="105" w:right="210" w:firstLine="9"/>
              <w:rPr>
                <w:sz w:val="20"/>
                <w:szCs w:val="20"/>
              </w:rPr>
            </w:pPr>
            <w:r>
              <w:rPr>
                <w:spacing w:val="8"/>
                <w:sz w:val="20"/>
                <w:szCs w:val="20"/>
              </w:rPr>
              <w:t>呼吸系统防护：高浓度环境中，应该佩戴防毒口罩，紧急事态抢救或撤离时，建议佩戴自给式呼吸器</w:t>
            </w:r>
          </w:p>
          <w:p w14:paraId="5475620E">
            <w:pPr>
              <w:pStyle w:val="6"/>
              <w:spacing w:line="221" w:lineRule="auto"/>
              <w:ind w:left="117"/>
              <w:rPr>
                <w:sz w:val="20"/>
                <w:szCs w:val="20"/>
              </w:rPr>
            </w:pPr>
            <w:r>
              <w:rPr>
                <w:spacing w:val="8"/>
                <w:sz w:val="20"/>
                <w:szCs w:val="20"/>
              </w:rPr>
              <w:t>眼睛防护：化学安全防护眼镜</w:t>
            </w:r>
          </w:p>
          <w:p w14:paraId="7F34B30B">
            <w:pPr>
              <w:pStyle w:val="6"/>
              <w:spacing w:line="221" w:lineRule="auto"/>
              <w:ind w:left="109"/>
              <w:rPr>
                <w:sz w:val="20"/>
                <w:szCs w:val="20"/>
              </w:rPr>
            </w:pPr>
            <w:r>
              <w:rPr>
                <w:spacing w:val="8"/>
                <w:sz w:val="20"/>
                <w:szCs w:val="20"/>
              </w:rPr>
              <w:t>身体防护：橡胶工作服</w:t>
            </w:r>
          </w:p>
          <w:p w14:paraId="491CCC3F">
            <w:pPr>
              <w:pStyle w:val="6"/>
              <w:spacing w:line="212" w:lineRule="auto"/>
              <w:ind w:left="104"/>
              <w:rPr>
                <w:sz w:val="20"/>
                <w:szCs w:val="20"/>
              </w:rPr>
            </w:pPr>
            <w:r>
              <w:rPr>
                <w:spacing w:val="9"/>
                <w:sz w:val="20"/>
                <w:szCs w:val="20"/>
              </w:rPr>
              <w:t>手防护：防护手套。其他：工作后，沐浴更衣。注意个人清洁卫生。</w:t>
            </w:r>
          </w:p>
        </w:tc>
      </w:tr>
      <w:tr w14:paraId="234C59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495" w:type="dxa"/>
            <w:vMerge w:val="continue"/>
            <w:tcBorders>
              <w:top w:val="nil"/>
              <w:left w:val="single" w:color="000000" w:sz="6" w:space="0"/>
              <w:bottom w:val="nil"/>
              <w:right w:val="single" w:color="000000" w:sz="2" w:space="0"/>
            </w:tcBorders>
            <w:vAlign w:val="top"/>
          </w:tcPr>
          <w:p w14:paraId="20A42778">
            <w:pPr>
              <w:rPr>
                <w:rFonts w:ascii="Arial"/>
                <w:sz w:val="21"/>
              </w:rPr>
            </w:pPr>
          </w:p>
        </w:tc>
        <w:tc>
          <w:tcPr>
            <w:tcW w:w="8406" w:type="dxa"/>
            <w:gridSpan w:val="10"/>
            <w:tcBorders>
              <w:top w:val="single" w:color="000000" w:sz="10" w:space="0"/>
              <w:left w:val="single" w:color="000000" w:sz="2" w:space="0"/>
              <w:bottom w:val="single" w:color="000000" w:sz="10" w:space="0"/>
              <w:right w:val="single" w:color="000000" w:sz="6" w:space="0"/>
            </w:tcBorders>
            <w:vAlign w:val="top"/>
          </w:tcPr>
          <w:p w14:paraId="328CC3CD">
            <w:pPr>
              <w:spacing w:before="27" w:line="215" w:lineRule="auto"/>
              <w:ind w:left="2848"/>
              <w:rPr>
                <w:rFonts w:ascii="黑体" w:hAnsi="黑体" w:eastAsia="黑体" w:cs="黑体"/>
                <w:sz w:val="24"/>
                <w:szCs w:val="24"/>
              </w:rPr>
            </w:pPr>
            <w:r>
              <w:rPr>
                <w:rFonts w:ascii="黑体" w:hAnsi="黑体" w:eastAsia="黑体" w:cs="黑体"/>
                <w:spacing w:val="-3"/>
                <w:sz w:val="24"/>
                <w:szCs w:val="24"/>
              </w:rPr>
              <w:t>表</w:t>
            </w:r>
            <w:r>
              <w:rPr>
                <w:rFonts w:ascii="Times New Roman" w:hAnsi="Times New Roman" w:eastAsia="Times New Roman" w:cs="Times New Roman"/>
                <w:spacing w:val="-3"/>
                <w:sz w:val="24"/>
                <w:szCs w:val="24"/>
              </w:rPr>
              <w:t>4-</w:t>
            </w:r>
            <w:r>
              <w:rPr>
                <w:rFonts w:ascii="Times New Roman" w:hAnsi="Times New Roman" w:eastAsia="Times New Roman" w:cs="Times New Roman"/>
                <w:spacing w:val="-24"/>
                <w:sz w:val="24"/>
                <w:szCs w:val="24"/>
              </w:rPr>
              <w:t xml:space="preserve"> </w:t>
            </w:r>
            <w:r>
              <w:rPr>
                <w:rFonts w:ascii="Times New Roman" w:hAnsi="Times New Roman" w:eastAsia="Times New Roman" w:cs="Times New Roman"/>
                <w:spacing w:val="-3"/>
                <w:sz w:val="24"/>
                <w:szCs w:val="24"/>
              </w:rPr>
              <w:t xml:space="preserve">15  </w:t>
            </w:r>
            <w:r>
              <w:rPr>
                <w:rFonts w:ascii="黑体" w:hAnsi="黑体" w:eastAsia="黑体" w:cs="黑体"/>
                <w:spacing w:val="-3"/>
                <w:sz w:val="24"/>
                <w:szCs w:val="24"/>
              </w:rPr>
              <w:t>天然气（甲烷）特性表</w:t>
            </w:r>
          </w:p>
        </w:tc>
      </w:tr>
      <w:tr w14:paraId="497073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495" w:type="dxa"/>
            <w:tcBorders>
              <w:top w:val="nil"/>
              <w:left w:val="single" w:color="000000" w:sz="6" w:space="0"/>
              <w:bottom w:val="nil"/>
              <w:right w:val="single" w:color="000000" w:sz="2" w:space="0"/>
            </w:tcBorders>
            <w:vAlign w:val="top"/>
          </w:tcPr>
          <w:p w14:paraId="48BB0D8E">
            <w:pPr>
              <w:rPr>
                <w:rFonts w:ascii="Arial"/>
                <w:sz w:val="21"/>
              </w:rPr>
            </w:pPr>
          </w:p>
        </w:tc>
        <w:tc>
          <w:tcPr>
            <w:tcW w:w="609" w:type="dxa"/>
            <w:tcBorders>
              <w:top w:val="single" w:color="000000" w:sz="10" w:space="0"/>
              <w:left w:val="single" w:color="000000" w:sz="2" w:space="0"/>
              <w:bottom w:val="nil"/>
            </w:tcBorders>
            <w:vAlign w:val="top"/>
          </w:tcPr>
          <w:p w14:paraId="45225E49">
            <w:pPr>
              <w:rPr>
                <w:rFonts w:ascii="Arial"/>
                <w:sz w:val="21"/>
              </w:rPr>
            </w:pPr>
          </w:p>
        </w:tc>
        <w:tc>
          <w:tcPr>
            <w:tcW w:w="3553" w:type="dxa"/>
            <w:gridSpan w:val="5"/>
            <w:tcBorders>
              <w:top w:val="single" w:color="000000" w:sz="10" w:space="0"/>
            </w:tcBorders>
            <w:shd w:val="clear" w:color="auto" w:fill="D9D9D9"/>
            <w:vAlign w:val="top"/>
          </w:tcPr>
          <w:p w14:paraId="5C003F79">
            <w:pPr>
              <w:pStyle w:val="6"/>
              <w:spacing w:before="41" w:line="228" w:lineRule="auto"/>
              <w:ind w:left="461"/>
              <w:rPr>
                <w:rFonts w:ascii="Times New Roman" w:hAnsi="Times New Roman" w:eastAsia="Times New Roman" w:cs="Times New Roman"/>
                <w:sz w:val="13"/>
                <w:szCs w:val="13"/>
              </w:rPr>
            </w:pPr>
            <w:r>
              <w:rPr>
                <w:spacing w:val="4"/>
                <w:sz w:val="20"/>
                <w:szCs w:val="20"/>
              </w:rPr>
              <w:t>中文名：</w:t>
            </w:r>
            <w:r>
              <w:rPr>
                <w:spacing w:val="-52"/>
                <w:sz w:val="20"/>
                <w:szCs w:val="20"/>
              </w:rPr>
              <w:t xml:space="preserve"> </w:t>
            </w:r>
            <w:r>
              <w:rPr>
                <w:spacing w:val="4"/>
                <w:sz w:val="20"/>
                <w:szCs w:val="20"/>
              </w:rPr>
              <w:t>甲烷；分子式：</w:t>
            </w:r>
            <w:r>
              <w:rPr>
                <w:rFonts w:ascii="Times New Roman" w:hAnsi="Times New Roman" w:eastAsia="Times New Roman" w:cs="Times New Roman"/>
                <w:sz w:val="20"/>
                <w:szCs w:val="20"/>
              </w:rPr>
              <w:t>CH</w:t>
            </w:r>
            <w:r>
              <w:rPr>
                <w:rFonts w:ascii="Times New Roman" w:hAnsi="Times New Roman" w:eastAsia="Times New Roman" w:cs="Times New Roman"/>
                <w:spacing w:val="4"/>
                <w:position w:val="-1"/>
                <w:sz w:val="13"/>
                <w:szCs w:val="13"/>
              </w:rPr>
              <w:t>4</w:t>
            </w:r>
          </w:p>
        </w:tc>
        <w:tc>
          <w:tcPr>
            <w:tcW w:w="4244" w:type="dxa"/>
            <w:gridSpan w:val="4"/>
            <w:tcBorders>
              <w:top w:val="single" w:color="000000" w:sz="10" w:space="0"/>
              <w:right w:val="single" w:color="000000" w:sz="6" w:space="0"/>
            </w:tcBorders>
            <w:shd w:val="clear" w:color="auto" w:fill="D9D9D9"/>
            <w:vAlign w:val="top"/>
          </w:tcPr>
          <w:p w14:paraId="632A8BDC">
            <w:pPr>
              <w:pStyle w:val="6"/>
              <w:spacing w:before="40" w:line="221" w:lineRule="auto"/>
              <w:ind w:left="835"/>
              <w:rPr>
                <w:rFonts w:ascii="Times New Roman" w:hAnsi="Times New Roman" w:eastAsia="Times New Roman" w:cs="Times New Roman"/>
                <w:sz w:val="20"/>
                <w:szCs w:val="20"/>
              </w:rPr>
            </w:pPr>
            <w:r>
              <w:rPr>
                <w:spacing w:val="17"/>
                <w:sz w:val="20"/>
                <w:szCs w:val="20"/>
              </w:rPr>
              <w:t>英文名：</w:t>
            </w:r>
            <w:r>
              <w:rPr>
                <w:rFonts w:ascii="Times New Roman" w:hAnsi="Times New Roman" w:eastAsia="Times New Roman" w:cs="Times New Roman"/>
                <w:sz w:val="20"/>
                <w:szCs w:val="20"/>
              </w:rPr>
              <w:t>methane</w:t>
            </w:r>
            <w:r>
              <w:rPr>
                <w:rFonts w:ascii="Times New Roman" w:hAnsi="Times New Roman" w:eastAsia="Times New Roman" w:cs="Times New Roman"/>
                <w:spacing w:val="17"/>
                <w:sz w:val="20"/>
                <w:szCs w:val="20"/>
              </w:rPr>
              <w:t>;</w:t>
            </w:r>
            <w:r>
              <w:rPr>
                <w:rFonts w:ascii="Times New Roman" w:hAnsi="Times New Roman" w:eastAsia="Times New Roman" w:cs="Times New Roman"/>
                <w:sz w:val="20"/>
                <w:szCs w:val="20"/>
              </w:rPr>
              <w:t>Marsh</w:t>
            </w:r>
            <w:r>
              <w:rPr>
                <w:rFonts w:ascii="Times New Roman" w:hAnsi="Times New Roman" w:eastAsia="Times New Roman" w:cs="Times New Roman"/>
                <w:spacing w:val="17"/>
                <w:sz w:val="20"/>
                <w:szCs w:val="20"/>
              </w:rPr>
              <w:t xml:space="preserve"> </w:t>
            </w:r>
            <w:r>
              <w:rPr>
                <w:rFonts w:ascii="Times New Roman" w:hAnsi="Times New Roman" w:eastAsia="Times New Roman" w:cs="Times New Roman"/>
                <w:sz w:val="20"/>
                <w:szCs w:val="20"/>
              </w:rPr>
              <w:t>gas</w:t>
            </w:r>
          </w:p>
        </w:tc>
      </w:tr>
      <w:tr w14:paraId="43A53A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495" w:type="dxa"/>
            <w:vMerge w:val="restart"/>
            <w:tcBorders>
              <w:top w:val="nil"/>
              <w:left w:val="single" w:color="000000" w:sz="6" w:space="0"/>
              <w:bottom w:val="nil"/>
              <w:right w:val="single" w:color="000000" w:sz="2" w:space="0"/>
            </w:tcBorders>
            <w:vAlign w:val="top"/>
          </w:tcPr>
          <w:p w14:paraId="4C77BD1E">
            <w:pPr>
              <w:rPr>
                <w:rFonts w:ascii="Arial"/>
                <w:sz w:val="21"/>
              </w:rPr>
            </w:pPr>
          </w:p>
        </w:tc>
        <w:tc>
          <w:tcPr>
            <w:tcW w:w="609" w:type="dxa"/>
            <w:vMerge w:val="restart"/>
            <w:tcBorders>
              <w:top w:val="nil"/>
              <w:left w:val="single" w:color="000000" w:sz="2" w:space="0"/>
              <w:bottom w:val="nil"/>
            </w:tcBorders>
            <w:vAlign w:val="top"/>
          </w:tcPr>
          <w:p w14:paraId="23BC641D">
            <w:pPr>
              <w:pStyle w:val="6"/>
              <w:spacing w:before="50" w:line="228" w:lineRule="auto"/>
              <w:ind w:left="144"/>
              <w:rPr>
                <w:sz w:val="20"/>
                <w:szCs w:val="20"/>
              </w:rPr>
            </w:pPr>
            <w:r>
              <w:rPr>
                <w:spacing w:val="4"/>
                <w:sz w:val="20"/>
                <w:szCs w:val="20"/>
              </w:rPr>
              <w:t>标识</w:t>
            </w:r>
          </w:p>
        </w:tc>
        <w:tc>
          <w:tcPr>
            <w:tcW w:w="3553" w:type="dxa"/>
            <w:gridSpan w:val="5"/>
            <w:vAlign w:val="top"/>
          </w:tcPr>
          <w:p w14:paraId="6141F270">
            <w:pPr>
              <w:pStyle w:val="6"/>
              <w:spacing w:before="49" w:line="228" w:lineRule="auto"/>
              <w:ind w:left="333"/>
              <w:rPr>
                <w:sz w:val="20"/>
                <w:szCs w:val="20"/>
              </w:rPr>
            </w:pPr>
            <w:r>
              <w:rPr>
                <w:spacing w:val="5"/>
                <w:sz w:val="20"/>
                <w:szCs w:val="20"/>
              </w:rPr>
              <w:t>危险性类别：第</w:t>
            </w:r>
            <w:r>
              <w:rPr>
                <w:spacing w:val="-30"/>
                <w:sz w:val="20"/>
                <w:szCs w:val="20"/>
              </w:rPr>
              <w:t xml:space="preserve"> </w:t>
            </w:r>
            <w:r>
              <w:rPr>
                <w:rFonts w:ascii="Times New Roman" w:hAnsi="Times New Roman" w:eastAsia="Times New Roman" w:cs="Times New Roman"/>
                <w:spacing w:val="5"/>
                <w:sz w:val="20"/>
                <w:szCs w:val="20"/>
              </w:rPr>
              <w:t>2.</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 xml:space="preserve">1 </w:t>
            </w:r>
            <w:r>
              <w:rPr>
                <w:spacing w:val="5"/>
                <w:sz w:val="20"/>
                <w:szCs w:val="20"/>
              </w:rPr>
              <w:t>类易燃气体</w:t>
            </w:r>
          </w:p>
        </w:tc>
        <w:tc>
          <w:tcPr>
            <w:tcW w:w="2606" w:type="dxa"/>
            <w:gridSpan w:val="3"/>
            <w:vAlign w:val="top"/>
          </w:tcPr>
          <w:p w14:paraId="64A8A10F">
            <w:pPr>
              <w:pStyle w:val="6"/>
              <w:spacing w:before="50" w:line="227" w:lineRule="auto"/>
              <w:ind w:left="313"/>
              <w:rPr>
                <w:rFonts w:ascii="Times New Roman" w:hAnsi="Times New Roman" w:eastAsia="Times New Roman" w:cs="Times New Roman"/>
                <w:sz w:val="20"/>
                <w:szCs w:val="20"/>
              </w:rPr>
            </w:pPr>
            <w:r>
              <w:rPr>
                <w:spacing w:val="8"/>
                <w:sz w:val="20"/>
                <w:szCs w:val="20"/>
              </w:rPr>
              <w:t>危险货物包装标志：</w:t>
            </w:r>
            <w:r>
              <w:rPr>
                <w:rFonts w:ascii="Times New Roman" w:hAnsi="Times New Roman" w:eastAsia="Times New Roman" w:cs="Times New Roman"/>
                <w:spacing w:val="8"/>
                <w:sz w:val="20"/>
                <w:szCs w:val="20"/>
              </w:rPr>
              <w:t>4</w:t>
            </w:r>
          </w:p>
        </w:tc>
        <w:tc>
          <w:tcPr>
            <w:tcW w:w="1638" w:type="dxa"/>
            <w:tcBorders>
              <w:right w:val="single" w:color="000000" w:sz="6" w:space="0"/>
            </w:tcBorders>
            <w:vAlign w:val="top"/>
          </w:tcPr>
          <w:p w14:paraId="451EA48B">
            <w:pPr>
              <w:pStyle w:val="6"/>
              <w:spacing w:before="49" w:line="228" w:lineRule="auto"/>
              <w:ind w:left="62"/>
              <w:rPr>
                <w:rFonts w:ascii="Times New Roman" w:hAnsi="Times New Roman" w:eastAsia="Times New Roman" w:cs="Times New Roman"/>
                <w:sz w:val="20"/>
                <w:szCs w:val="20"/>
              </w:rPr>
            </w:pPr>
            <w:r>
              <w:rPr>
                <w:rFonts w:ascii="Times New Roman" w:hAnsi="Times New Roman" w:eastAsia="Times New Roman" w:cs="Times New Roman"/>
                <w:sz w:val="20"/>
                <w:szCs w:val="20"/>
              </w:rPr>
              <w:t>UN</w:t>
            </w:r>
            <w:r>
              <w:rPr>
                <w:rFonts w:ascii="Times New Roman" w:hAnsi="Times New Roman" w:eastAsia="Times New Roman" w:cs="Times New Roman"/>
                <w:spacing w:val="8"/>
                <w:sz w:val="20"/>
                <w:szCs w:val="20"/>
              </w:rPr>
              <w:t xml:space="preserve"> </w:t>
            </w:r>
            <w:r>
              <w:rPr>
                <w:spacing w:val="8"/>
                <w:sz w:val="20"/>
                <w:szCs w:val="20"/>
              </w:rPr>
              <w:t>编号：</w:t>
            </w:r>
            <w:r>
              <w:rPr>
                <w:rFonts w:ascii="Times New Roman" w:hAnsi="Times New Roman" w:eastAsia="Times New Roman" w:cs="Times New Roman"/>
                <w:spacing w:val="8"/>
                <w:sz w:val="20"/>
                <w:szCs w:val="20"/>
              </w:rPr>
              <w:t>1971</w:t>
            </w:r>
          </w:p>
        </w:tc>
      </w:tr>
      <w:tr w14:paraId="4F22C0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495" w:type="dxa"/>
            <w:vMerge w:val="continue"/>
            <w:tcBorders>
              <w:top w:val="nil"/>
              <w:left w:val="single" w:color="000000" w:sz="6" w:space="0"/>
              <w:bottom w:val="nil"/>
              <w:right w:val="single" w:color="000000" w:sz="2" w:space="0"/>
            </w:tcBorders>
            <w:vAlign w:val="top"/>
          </w:tcPr>
          <w:p w14:paraId="34AFD4FD">
            <w:pPr>
              <w:rPr>
                <w:rFonts w:ascii="Arial"/>
                <w:sz w:val="21"/>
              </w:rPr>
            </w:pPr>
          </w:p>
        </w:tc>
        <w:tc>
          <w:tcPr>
            <w:tcW w:w="609" w:type="dxa"/>
            <w:vMerge w:val="continue"/>
            <w:tcBorders>
              <w:top w:val="nil"/>
              <w:left w:val="single" w:color="000000" w:sz="2" w:space="0"/>
            </w:tcBorders>
            <w:vAlign w:val="top"/>
          </w:tcPr>
          <w:p w14:paraId="31DB6406">
            <w:pPr>
              <w:rPr>
                <w:rFonts w:ascii="Arial"/>
                <w:sz w:val="21"/>
              </w:rPr>
            </w:pPr>
          </w:p>
        </w:tc>
        <w:tc>
          <w:tcPr>
            <w:tcW w:w="3553" w:type="dxa"/>
            <w:gridSpan w:val="5"/>
            <w:vAlign w:val="top"/>
          </w:tcPr>
          <w:p w14:paraId="4E864880">
            <w:pPr>
              <w:pStyle w:val="6"/>
              <w:spacing w:before="51" w:line="227" w:lineRule="auto"/>
              <w:ind w:left="782"/>
              <w:rPr>
                <w:rFonts w:ascii="Times New Roman" w:hAnsi="Times New Roman" w:eastAsia="Times New Roman" w:cs="Times New Roman"/>
                <w:sz w:val="20"/>
                <w:szCs w:val="20"/>
              </w:rPr>
            </w:pPr>
            <w:r>
              <w:rPr>
                <w:spacing w:val="6"/>
                <w:sz w:val="20"/>
                <w:szCs w:val="20"/>
              </w:rPr>
              <w:t>危险货物编号：</w:t>
            </w:r>
            <w:r>
              <w:rPr>
                <w:rFonts w:ascii="Times New Roman" w:hAnsi="Times New Roman" w:eastAsia="Times New Roman" w:cs="Times New Roman"/>
                <w:spacing w:val="6"/>
                <w:sz w:val="20"/>
                <w:szCs w:val="20"/>
              </w:rPr>
              <w:t>21007</w:t>
            </w:r>
          </w:p>
        </w:tc>
        <w:tc>
          <w:tcPr>
            <w:tcW w:w="2606" w:type="dxa"/>
            <w:gridSpan w:val="3"/>
            <w:vAlign w:val="top"/>
          </w:tcPr>
          <w:p w14:paraId="7EFDFA5B">
            <w:pPr>
              <w:pStyle w:val="6"/>
              <w:spacing w:before="52" w:line="229" w:lineRule="auto"/>
              <w:ind w:left="253"/>
              <w:rPr>
                <w:rFonts w:ascii="Times New Roman" w:hAnsi="Times New Roman" w:eastAsia="Times New Roman" w:cs="Times New Roman"/>
                <w:sz w:val="20"/>
                <w:szCs w:val="20"/>
              </w:rPr>
            </w:pPr>
            <w:r>
              <w:rPr>
                <w:rFonts w:ascii="Times New Roman" w:hAnsi="Times New Roman" w:eastAsia="Times New Roman" w:cs="Times New Roman"/>
                <w:sz w:val="20"/>
                <w:szCs w:val="20"/>
              </w:rPr>
              <w:t>RTECS</w:t>
            </w:r>
            <w:r>
              <w:rPr>
                <w:rFonts w:ascii="Times New Roman" w:hAnsi="Times New Roman" w:eastAsia="Times New Roman" w:cs="Times New Roman"/>
                <w:spacing w:val="21"/>
                <w:sz w:val="20"/>
                <w:szCs w:val="20"/>
              </w:rPr>
              <w:t xml:space="preserve"> </w:t>
            </w:r>
            <w:r>
              <w:rPr>
                <w:spacing w:val="5"/>
                <w:sz w:val="20"/>
                <w:szCs w:val="20"/>
              </w:rPr>
              <w:t>号：</w:t>
            </w:r>
            <w:r>
              <w:rPr>
                <w:rFonts w:ascii="Times New Roman" w:hAnsi="Times New Roman" w:eastAsia="Times New Roman" w:cs="Times New Roman"/>
                <w:sz w:val="20"/>
                <w:szCs w:val="20"/>
              </w:rPr>
              <w:t>PA</w:t>
            </w:r>
            <w:r>
              <w:rPr>
                <w:rFonts w:ascii="Times New Roman" w:hAnsi="Times New Roman" w:eastAsia="Times New Roman" w:cs="Times New Roman"/>
                <w:spacing w:val="5"/>
                <w:sz w:val="20"/>
                <w:szCs w:val="20"/>
              </w:rPr>
              <w:t>1490000</w:t>
            </w:r>
          </w:p>
        </w:tc>
        <w:tc>
          <w:tcPr>
            <w:tcW w:w="1638" w:type="dxa"/>
            <w:tcBorders>
              <w:right w:val="single" w:color="000000" w:sz="6" w:space="0"/>
            </w:tcBorders>
            <w:vAlign w:val="top"/>
          </w:tcPr>
          <w:p w14:paraId="27C42401">
            <w:pPr>
              <w:pStyle w:val="6"/>
              <w:spacing w:before="52" w:line="229" w:lineRule="auto"/>
              <w:ind w:left="13"/>
              <w:rPr>
                <w:rFonts w:ascii="Times New Roman" w:hAnsi="Times New Roman" w:eastAsia="Times New Roman" w:cs="Times New Roman"/>
                <w:sz w:val="20"/>
                <w:szCs w:val="20"/>
              </w:rPr>
            </w:pPr>
            <w:r>
              <w:rPr>
                <w:rFonts w:ascii="Times New Roman" w:hAnsi="Times New Roman" w:eastAsia="Times New Roman" w:cs="Times New Roman"/>
                <w:sz w:val="20"/>
                <w:szCs w:val="20"/>
              </w:rPr>
              <w:t>CAS</w:t>
            </w:r>
            <w:r>
              <w:rPr>
                <w:rFonts w:ascii="Times New Roman" w:hAnsi="Times New Roman" w:eastAsia="Times New Roman" w:cs="Times New Roman"/>
                <w:spacing w:val="25"/>
                <w:w w:val="101"/>
                <w:sz w:val="20"/>
                <w:szCs w:val="20"/>
              </w:rPr>
              <w:t xml:space="preserve"> </w:t>
            </w:r>
            <w:r>
              <w:rPr>
                <w:spacing w:val="1"/>
                <w:sz w:val="20"/>
                <w:szCs w:val="20"/>
              </w:rPr>
              <w:t>号：</w:t>
            </w:r>
            <w:r>
              <w:rPr>
                <w:rFonts w:ascii="Times New Roman" w:hAnsi="Times New Roman" w:eastAsia="Times New Roman" w:cs="Times New Roman"/>
                <w:spacing w:val="1"/>
                <w:sz w:val="20"/>
                <w:szCs w:val="20"/>
              </w:rPr>
              <w:t>74-82-8</w:t>
            </w:r>
          </w:p>
        </w:tc>
      </w:tr>
      <w:tr w14:paraId="039178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495" w:type="dxa"/>
            <w:vMerge w:val="continue"/>
            <w:tcBorders>
              <w:top w:val="nil"/>
              <w:left w:val="single" w:color="000000" w:sz="6" w:space="0"/>
              <w:bottom w:val="nil"/>
              <w:right w:val="single" w:color="000000" w:sz="2" w:space="0"/>
            </w:tcBorders>
            <w:vAlign w:val="top"/>
          </w:tcPr>
          <w:p w14:paraId="2B8193AE">
            <w:pPr>
              <w:rPr>
                <w:rFonts w:ascii="Arial"/>
                <w:sz w:val="21"/>
              </w:rPr>
            </w:pPr>
          </w:p>
        </w:tc>
        <w:tc>
          <w:tcPr>
            <w:tcW w:w="609" w:type="dxa"/>
            <w:vMerge w:val="restart"/>
            <w:tcBorders>
              <w:left w:val="single" w:color="000000" w:sz="2" w:space="0"/>
              <w:bottom w:val="nil"/>
            </w:tcBorders>
            <w:vAlign w:val="top"/>
          </w:tcPr>
          <w:p w14:paraId="3D013CA8">
            <w:pPr>
              <w:spacing w:line="339" w:lineRule="auto"/>
              <w:rPr>
                <w:rFonts w:ascii="Arial"/>
                <w:sz w:val="21"/>
              </w:rPr>
            </w:pPr>
          </w:p>
          <w:p w14:paraId="023C6962">
            <w:pPr>
              <w:pStyle w:val="6"/>
              <w:spacing w:before="65" w:line="252" w:lineRule="auto"/>
              <w:ind w:left="143" w:right="48" w:firstLine="2"/>
              <w:rPr>
                <w:sz w:val="20"/>
                <w:szCs w:val="20"/>
              </w:rPr>
            </w:pPr>
            <w:r>
              <w:rPr>
                <w:spacing w:val="3"/>
                <w:sz w:val="20"/>
                <w:szCs w:val="20"/>
              </w:rPr>
              <w:t>理化</w:t>
            </w:r>
            <w:r>
              <w:rPr>
                <w:spacing w:val="4"/>
                <w:sz w:val="20"/>
                <w:szCs w:val="20"/>
              </w:rPr>
              <w:t>特性</w:t>
            </w:r>
          </w:p>
        </w:tc>
        <w:tc>
          <w:tcPr>
            <w:tcW w:w="7797" w:type="dxa"/>
            <w:gridSpan w:val="9"/>
            <w:tcBorders>
              <w:right w:val="single" w:color="000000" w:sz="6" w:space="0"/>
            </w:tcBorders>
            <w:vAlign w:val="top"/>
          </w:tcPr>
          <w:p w14:paraId="72BA73FD">
            <w:pPr>
              <w:pStyle w:val="6"/>
              <w:spacing w:before="51" w:line="228" w:lineRule="auto"/>
              <w:ind w:left="2591"/>
              <w:rPr>
                <w:sz w:val="20"/>
                <w:szCs w:val="20"/>
              </w:rPr>
            </w:pPr>
            <w:r>
              <w:rPr>
                <w:spacing w:val="8"/>
                <w:sz w:val="20"/>
                <w:szCs w:val="20"/>
              </w:rPr>
              <w:t>外观与性状：无色无臭气体</w:t>
            </w:r>
          </w:p>
        </w:tc>
      </w:tr>
      <w:tr w14:paraId="0F56DD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495" w:type="dxa"/>
            <w:vMerge w:val="continue"/>
            <w:tcBorders>
              <w:top w:val="nil"/>
              <w:left w:val="single" w:color="000000" w:sz="6" w:space="0"/>
              <w:bottom w:val="nil"/>
              <w:right w:val="single" w:color="000000" w:sz="2" w:space="0"/>
            </w:tcBorders>
            <w:vAlign w:val="top"/>
          </w:tcPr>
          <w:p w14:paraId="4B9FAFE8">
            <w:pPr>
              <w:rPr>
                <w:rFonts w:ascii="Arial"/>
                <w:sz w:val="21"/>
              </w:rPr>
            </w:pPr>
          </w:p>
        </w:tc>
        <w:tc>
          <w:tcPr>
            <w:tcW w:w="609" w:type="dxa"/>
            <w:vMerge w:val="continue"/>
            <w:tcBorders>
              <w:top w:val="nil"/>
              <w:left w:val="single" w:color="000000" w:sz="2" w:space="0"/>
              <w:bottom w:val="nil"/>
            </w:tcBorders>
            <w:vAlign w:val="top"/>
          </w:tcPr>
          <w:p w14:paraId="2976E644">
            <w:pPr>
              <w:rPr>
                <w:rFonts w:ascii="Arial"/>
                <w:sz w:val="21"/>
              </w:rPr>
            </w:pPr>
          </w:p>
        </w:tc>
        <w:tc>
          <w:tcPr>
            <w:tcW w:w="7797" w:type="dxa"/>
            <w:gridSpan w:val="9"/>
            <w:tcBorders>
              <w:right w:val="single" w:color="000000" w:sz="6" w:space="0"/>
            </w:tcBorders>
            <w:vAlign w:val="top"/>
          </w:tcPr>
          <w:p w14:paraId="5383F3DA">
            <w:pPr>
              <w:pStyle w:val="6"/>
              <w:spacing w:before="50" w:line="229" w:lineRule="auto"/>
              <w:ind w:left="1459"/>
              <w:rPr>
                <w:rFonts w:ascii="Times New Roman" w:hAnsi="Times New Roman" w:eastAsia="Times New Roman" w:cs="Times New Roman"/>
                <w:sz w:val="20"/>
                <w:szCs w:val="20"/>
              </w:rPr>
            </w:pPr>
            <w:r>
              <w:rPr>
                <w:spacing w:val="1"/>
                <w:sz w:val="20"/>
                <w:szCs w:val="20"/>
              </w:rPr>
              <w:t>溶点</w:t>
            </w:r>
            <w:r>
              <w:rPr>
                <w:rFonts w:ascii="Times New Roman" w:hAnsi="Times New Roman" w:eastAsia="Times New Roman" w:cs="Times New Roman"/>
                <w:spacing w:val="1"/>
                <w:sz w:val="20"/>
                <w:szCs w:val="20"/>
              </w:rPr>
              <w:t>/℃</w:t>
            </w:r>
            <w:r>
              <w:rPr>
                <w:spacing w:val="1"/>
                <w:sz w:val="20"/>
                <w:szCs w:val="20"/>
              </w:rPr>
              <w:t>：</w:t>
            </w:r>
            <w:r>
              <w:rPr>
                <w:rFonts w:ascii="Times New Roman" w:hAnsi="Times New Roman" w:eastAsia="Times New Roman" w:cs="Times New Roman"/>
                <w:spacing w:val="1"/>
                <w:sz w:val="20"/>
                <w:szCs w:val="20"/>
              </w:rPr>
              <w:t>-</w:t>
            </w:r>
            <w:r>
              <w:rPr>
                <w:rFonts w:ascii="Times New Roman" w:hAnsi="Times New Roman" w:eastAsia="Times New Roman" w:cs="Times New Roman"/>
                <w:spacing w:val="-11"/>
                <w:sz w:val="20"/>
                <w:szCs w:val="20"/>
              </w:rPr>
              <w:t xml:space="preserve"> </w:t>
            </w:r>
            <w:r>
              <w:rPr>
                <w:rFonts w:ascii="Times New Roman" w:hAnsi="Times New Roman" w:eastAsia="Times New Roman" w:cs="Times New Roman"/>
                <w:spacing w:val="1"/>
                <w:sz w:val="20"/>
                <w:szCs w:val="20"/>
              </w:rPr>
              <w:t>182</w:t>
            </w:r>
            <w:r>
              <w:rPr>
                <w:rFonts w:ascii="Times New Roman" w:hAnsi="Times New Roman" w:eastAsia="Times New Roman" w:cs="Times New Roman"/>
                <w:spacing w:val="-24"/>
                <w:sz w:val="20"/>
                <w:szCs w:val="20"/>
              </w:rPr>
              <w:t xml:space="preserve"> </w:t>
            </w:r>
            <w:r>
              <w:rPr>
                <w:spacing w:val="1"/>
                <w:sz w:val="20"/>
                <w:szCs w:val="20"/>
              </w:rPr>
              <w:t>．</w:t>
            </w:r>
            <w:r>
              <w:rPr>
                <w:rFonts w:ascii="Times New Roman" w:hAnsi="Times New Roman" w:eastAsia="Times New Roman" w:cs="Times New Roman"/>
                <w:spacing w:val="1"/>
                <w:sz w:val="20"/>
                <w:szCs w:val="20"/>
              </w:rPr>
              <w:t xml:space="preserve">5                               </w:t>
            </w:r>
            <w:r>
              <w:rPr>
                <w:spacing w:val="1"/>
                <w:sz w:val="20"/>
                <w:szCs w:val="20"/>
              </w:rPr>
              <w:t>沸点</w:t>
            </w:r>
            <w:r>
              <w:rPr>
                <w:rFonts w:ascii="Times New Roman" w:hAnsi="Times New Roman" w:eastAsia="Times New Roman" w:cs="Times New Roman"/>
                <w:spacing w:val="1"/>
                <w:sz w:val="20"/>
                <w:szCs w:val="20"/>
              </w:rPr>
              <w:t>/℃</w:t>
            </w:r>
            <w:r>
              <w:rPr>
                <w:spacing w:val="1"/>
                <w:sz w:val="20"/>
                <w:szCs w:val="20"/>
              </w:rPr>
              <w:t>：</w:t>
            </w:r>
            <w:r>
              <w:rPr>
                <w:rFonts w:ascii="Times New Roman" w:hAnsi="Times New Roman" w:eastAsia="Times New Roman" w:cs="Times New Roman"/>
                <w:spacing w:val="1"/>
                <w:sz w:val="20"/>
                <w:szCs w:val="20"/>
              </w:rPr>
              <w:t>-</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161</w:t>
            </w:r>
            <w:r>
              <w:rPr>
                <w:rFonts w:ascii="Times New Roman" w:hAnsi="Times New Roman" w:eastAsia="Times New Roman" w:cs="Times New Roman"/>
                <w:spacing w:val="-24"/>
                <w:sz w:val="20"/>
                <w:szCs w:val="20"/>
              </w:rPr>
              <w:t xml:space="preserve"> </w:t>
            </w:r>
            <w:r>
              <w:rPr>
                <w:spacing w:val="1"/>
                <w:sz w:val="20"/>
                <w:szCs w:val="20"/>
              </w:rPr>
              <w:t>．</w:t>
            </w:r>
            <w:r>
              <w:rPr>
                <w:rFonts w:ascii="Times New Roman" w:hAnsi="Times New Roman" w:eastAsia="Times New Roman" w:cs="Times New Roman"/>
                <w:spacing w:val="1"/>
                <w:sz w:val="20"/>
                <w:szCs w:val="20"/>
              </w:rPr>
              <w:t>5</w:t>
            </w:r>
          </w:p>
        </w:tc>
      </w:tr>
      <w:tr w14:paraId="706119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495" w:type="dxa"/>
            <w:vMerge w:val="continue"/>
            <w:tcBorders>
              <w:top w:val="nil"/>
              <w:left w:val="single" w:color="000000" w:sz="6" w:space="0"/>
              <w:bottom w:val="nil"/>
              <w:right w:val="single" w:color="000000" w:sz="2" w:space="0"/>
            </w:tcBorders>
            <w:vAlign w:val="top"/>
          </w:tcPr>
          <w:p w14:paraId="6AE57AFC">
            <w:pPr>
              <w:rPr>
                <w:rFonts w:ascii="Arial"/>
                <w:sz w:val="21"/>
              </w:rPr>
            </w:pPr>
          </w:p>
        </w:tc>
        <w:tc>
          <w:tcPr>
            <w:tcW w:w="609" w:type="dxa"/>
            <w:vMerge w:val="continue"/>
            <w:tcBorders>
              <w:top w:val="nil"/>
              <w:left w:val="single" w:color="000000" w:sz="2" w:space="0"/>
              <w:bottom w:val="nil"/>
            </w:tcBorders>
            <w:vAlign w:val="top"/>
          </w:tcPr>
          <w:p w14:paraId="79D1CE94">
            <w:pPr>
              <w:rPr>
                <w:rFonts w:ascii="Arial"/>
                <w:sz w:val="21"/>
              </w:rPr>
            </w:pPr>
          </w:p>
        </w:tc>
        <w:tc>
          <w:tcPr>
            <w:tcW w:w="7797" w:type="dxa"/>
            <w:gridSpan w:val="9"/>
            <w:tcBorders>
              <w:right w:val="single" w:color="000000" w:sz="6" w:space="0"/>
            </w:tcBorders>
            <w:vAlign w:val="top"/>
          </w:tcPr>
          <w:p w14:paraId="238B0E77">
            <w:pPr>
              <w:pStyle w:val="6"/>
              <w:spacing w:before="49" w:line="228" w:lineRule="auto"/>
              <w:ind w:left="2064"/>
              <w:rPr>
                <w:sz w:val="20"/>
                <w:szCs w:val="20"/>
              </w:rPr>
            </w:pPr>
            <w:r>
              <w:rPr>
                <w:spacing w:val="8"/>
                <w:sz w:val="20"/>
                <w:szCs w:val="20"/>
              </w:rPr>
              <w:t>溶解性：微溶于水，溶于乙醇、乙醚。</w:t>
            </w:r>
          </w:p>
        </w:tc>
      </w:tr>
      <w:tr w14:paraId="6B47F1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495" w:type="dxa"/>
            <w:vMerge w:val="continue"/>
            <w:tcBorders>
              <w:top w:val="nil"/>
              <w:left w:val="single" w:color="000000" w:sz="6" w:space="0"/>
              <w:bottom w:val="nil"/>
              <w:right w:val="single" w:color="000000" w:sz="2" w:space="0"/>
            </w:tcBorders>
            <w:vAlign w:val="top"/>
          </w:tcPr>
          <w:p w14:paraId="2E1A39C9">
            <w:pPr>
              <w:rPr>
                <w:rFonts w:ascii="Arial"/>
                <w:sz w:val="21"/>
              </w:rPr>
            </w:pPr>
          </w:p>
        </w:tc>
        <w:tc>
          <w:tcPr>
            <w:tcW w:w="609" w:type="dxa"/>
            <w:vMerge w:val="continue"/>
            <w:tcBorders>
              <w:top w:val="nil"/>
              <w:left w:val="single" w:color="000000" w:sz="2" w:space="0"/>
            </w:tcBorders>
            <w:vAlign w:val="top"/>
          </w:tcPr>
          <w:p w14:paraId="16C02EFE">
            <w:pPr>
              <w:rPr>
                <w:rFonts w:ascii="Arial"/>
                <w:sz w:val="21"/>
              </w:rPr>
            </w:pPr>
          </w:p>
        </w:tc>
        <w:tc>
          <w:tcPr>
            <w:tcW w:w="2966" w:type="dxa"/>
            <w:gridSpan w:val="4"/>
            <w:vAlign w:val="top"/>
          </w:tcPr>
          <w:p w14:paraId="754870FD">
            <w:pPr>
              <w:pStyle w:val="6"/>
              <w:spacing w:before="51" w:line="228" w:lineRule="auto"/>
              <w:ind w:left="748"/>
              <w:rPr>
                <w:sz w:val="20"/>
                <w:szCs w:val="20"/>
              </w:rPr>
            </w:pPr>
            <w:r>
              <w:rPr>
                <w:spacing w:val="8"/>
                <w:sz w:val="20"/>
                <w:szCs w:val="20"/>
              </w:rPr>
              <w:t>侵入途径：吸入</w:t>
            </w:r>
          </w:p>
        </w:tc>
        <w:tc>
          <w:tcPr>
            <w:tcW w:w="4831" w:type="dxa"/>
            <w:gridSpan w:val="5"/>
            <w:tcBorders>
              <w:right w:val="single" w:color="000000" w:sz="6" w:space="0"/>
            </w:tcBorders>
            <w:vAlign w:val="top"/>
          </w:tcPr>
          <w:p w14:paraId="49FC97ED">
            <w:pPr>
              <w:pStyle w:val="6"/>
              <w:spacing w:before="14" w:line="281" w:lineRule="exact"/>
              <w:ind w:left="1126"/>
              <w:rPr>
                <w:rFonts w:ascii="Times New Roman" w:hAnsi="Times New Roman" w:eastAsia="Times New Roman" w:cs="Times New Roman"/>
                <w:sz w:val="20"/>
                <w:szCs w:val="20"/>
              </w:rPr>
            </w:pPr>
            <w:r>
              <w:rPr>
                <w:spacing w:val="6"/>
                <w:position w:val="1"/>
                <w:sz w:val="20"/>
                <w:szCs w:val="20"/>
              </w:rPr>
              <w:t>相对密度（空气</w:t>
            </w:r>
            <w:r>
              <w:rPr>
                <w:rFonts w:ascii="Times New Roman" w:hAnsi="Times New Roman" w:eastAsia="Times New Roman" w:cs="Times New Roman"/>
                <w:spacing w:val="6"/>
                <w:position w:val="1"/>
                <w:sz w:val="20"/>
                <w:szCs w:val="20"/>
              </w:rPr>
              <w:t>=1</w:t>
            </w:r>
            <w:r>
              <w:rPr>
                <w:spacing w:val="15"/>
                <w:position w:val="1"/>
                <w:sz w:val="20"/>
                <w:szCs w:val="20"/>
              </w:rPr>
              <w:t>）：</w:t>
            </w:r>
            <w:r>
              <w:rPr>
                <w:rFonts w:ascii="Times New Roman" w:hAnsi="Times New Roman" w:eastAsia="Times New Roman" w:cs="Times New Roman"/>
                <w:spacing w:val="6"/>
                <w:position w:val="1"/>
                <w:sz w:val="20"/>
                <w:szCs w:val="20"/>
              </w:rPr>
              <w:t>0.55</w:t>
            </w:r>
          </w:p>
        </w:tc>
      </w:tr>
      <w:tr w14:paraId="389F4B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495" w:type="dxa"/>
            <w:vMerge w:val="continue"/>
            <w:tcBorders>
              <w:top w:val="nil"/>
              <w:left w:val="single" w:color="000000" w:sz="6" w:space="0"/>
              <w:bottom w:val="nil"/>
              <w:right w:val="single" w:color="000000" w:sz="2" w:space="0"/>
            </w:tcBorders>
            <w:vAlign w:val="top"/>
          </w:tcPr>
          <w:p w14:paraId="76361573">
            <w:pPr>
              <w:rPr>
                <w:rFonts w:ascii="Arial"/>
                <w:sz w:val="21"/>
              </w:rPr>
            </w:pPr>
          </w:p>
        </w:tc>
        <w:tc>
          <w:tcPr>
            <w:tcW w:w="609" w:type="dxa"/>
            <w:vMerge w:val="restart"/>
            <w:tcBorders>
              <w:left w:val="single" w:color="000000" w:sz="2" w:space="0"/>
              <w:bottom w:val="nil"/>
            </w:tcBorders>
            <w:vAlign w:val="top"/>
          </w:tcPr>
          <w:p w14:paraId="5309F811">
            <w:pPr>
              <w:spacing w:line="242" w:lineRule="auto"/>
              <w:rPr>
                <w:rFonts w:ascii="Arial"/>
                <w:sz w:val="21"/>
              </w:rPr>
            </w:pPr>
          </w:p>
          <w:p w14:paraId="5A6EC275">
            <w:pPr>
              <w:spacing w:line="242" w:lineRule="auto"/>
              <w:rPr>
                <w:rFonts w:ascii="Arial"/>
                <w:sz w:val="21"/>
              </w:rPr>
            </w:pPr>
          </w:p>
          <w:p w14:paraId="55F88669">
            <w:pPr>
              <w:spacing w:line="242" w:lineRule="auto"/>
              <w:rPr>
                <w:rFonts w:ascii="Arial"/>
                <w:sz w:val="21"/>
              </w:rPr>
            </w:pPr>
          </w:p>
          <w:p w14:paraId="020ED5D8">
            <w:pPr>
              <w:pStyle w:val="6"/>
              <w:spacing w:before="65" w:line="252" w:lineRule="auto"/>
              <w:ind w:left="107" w:right="84"/>
              <w:jc w:val="both"/>
              <w:rPr>
                <w:sz w:val="20"/>
                <w:szCs w:val="20"/>
              </w:rPr>
            </w:pPr>
            <w:r>
              <w:rPr>
                <w:spacing w:val="4"/>
                <w:sz w:val="20"/>
                <w:szCs w:val="20"/>
              </w:rPr>
              <w:t>燃烧爆炸危险</w:t>
            </w:r>
            <w:r>
              <w:rPr>
                <w:sz w:val="20"/>
                <w:szCs w:val="20"/>
              </w:rPr>
              <w:t>性</w:t>
            </w:r>
          </w:p>
        </w:tc>
        <w:tc>
          <w:tcPr>
            <w:tcW w:w="2179" w:type="dxa"/>
            <w:gridSpan w:val="3"/>
            <w:vAlign w:val="top"/>
          </w:tcPr>
          <w:p w14:paraId="6D9D2C73">
            <w:pPr>
              <w:pStyle w:val="6"/>
              <w:spacing w:before="51" w:line="227" w:lineRule="auto"/>
              <w:ind w:left="459"/>
              <w:rPr>
                <w:sz w:val="20"/>
                <w:szCs w:val="20"/>
              </w:rPr>
            </w:pPr>
            <w:r>
              <w:rPr>
                <w:spacing w:val="8"/>
                <w:sz w:val="20"/>
                <w:szCs w:val="20"/>
              </w:rPr>
              <w:t>燃烧性：易燃</w:t>
            </w:r>
          </w:p>
        </w:tc>
        <w:tc>
          <w:tcPr>
            <w:tcW w:w="3524" w:type="dxa"/>
            <w:gridSpan w:val="4"/>
            <w:vAlign w:val="top"/>
          </w:tcPr>
          <w:p w14:paraId="6AF6FCE9">
            <w:pPr>
              <w:pStyle w:val="6"/>
              <w:spacing w:before="51" w:line="227" w:lineRule="auto"/>
              <w:jc w:val="right"/>
              <w:rPr>
                <w:sz w:val="20"/>
                <w:szCs w:val="20"/>
              </w:rPr>
            </w:pPr>
            <w:r>
              <w:rPr>
                <w:spacing w:val="6"/>
                <w:sz w:val="20"/>
                <w:szCs w:val="20"/>
              </w:rPr>
              <w:t>燃烧分解产物：一氧化碳、二氧化碳。</w:t>
            </w:r>
          </w:p>
        </w:tc>
        <w:tc>
          <w:tcPr>
            <w:tcW w:w="2094" w:type="dxa"/>
            <w:gridSpan w:val="2"/>
            <w:tcBorders>
              <w:right w:val="single" w:color="000000" w:sz="6" w:space="0"/>
            </w:tcBorders>
            <w:vAlign w:val="top"/>
          </w:tcPr>
          <w:p w14:paraId="54A35EE0">
            <w:pPr>
              <w:pStyle w:val="6"/>
              <w:spacing w:before="51" w:line="228" w:lineRule="auto"/>
              <w:ind w:left="168"/>
              <w:rPr>
                <w:sz w:val="20"/>
                <w:szCs w:val="20"/>
              </w:rPr>
            </w:pPr>
            <w:r>
              <w:rPr>
                <w:spacing w:val="7"/>
                <w:sz w:val="20"/>
                <w:szCs w:val="20"/>
              </w:rPr>
              <w:t>聚合危害不能出现</w:t>
            </w:r>
          </w:p>
        </w:tc>
      </w:tr>
      <w:tr w14:paraId="63E562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495" w:type="dxa"/>
            <w:vMerge w:val="continue"/>
            <w:tcBorders>
              <w:top w:val="nil"/>
              <w:left w:val="single" w:color="000000" w:sz="6" w:space="0"/>
              <w:bottom w:val="nil"/>
              <w:right w:val="single" w:color="000000" w:sz="2" w:space="0"/>
            </w:tcBorders>
            <w:vAlign w:val="top"/>
          </w:tcPr>
          <w:p w14:paraId="2221A718">
            <w:pPr>
              <w:rPr>
                <w:rFonts w:ascii="Arial"/>
                <w:sz w:val="21"/>
              </w:rPr>
            </w:pPr>
          </w:p>
        </w:tc>
        <w:tc>
          <w:tcPr>
            <w:tcW w:w="609" w:type="dxa"/>
            <w:vMerge w:val="continue"/>
            <w:tcBorders>
              <w:top w:val="nil"/>
              <w:left w:val="single" w:color="000000" w:sz="2" w:space="0"/>
              <w:bottom w:val="nil"/>
            </w:tcBorders>
            <w:vAlign w:val="top"/>
          </w:tcPr>
          <w:p w14:paraId="67B461C7">
            <w:pPr>
              <w:rPr>
                <w:rFonts w:ascii="Arial"/>
                <w:sz w:val="21"/>
              </w:rPr>
            </w:pPr>
          </w:p>
        </w:tc>
        <w:tc>
          <w:tcPr>
            <w:tcW w:w="2179" w:type="dxa"/>
            <w:gridSpan w:val="3"/>
            <w:vAlign w:val="top"/>
          </w:tcPr>
          <w:p w14:paraId="41A8D135">
            <w:pPr>
              <w:pStyle w:val="6"/>
              <w:spacing w:before="152" w:line="228" w:lineRule="auto"/>
              <w:ind w:left="463"/>
              <w:rPr>
                <w:rFonts w:ascii="Times New Roman" w:hAnsi="Times New Roman" w:eastAsia="Times New Roman" w:cs="Times New Roman"/>
                <w:sz w:val="20"/>
                <w:szCs w:val="20"/>
              </w:rPr>
            </w:pPr>
            <w:r>
              <w:rPr>
                <w:spacing w:val="1"/>
                <w:sz w:val="20"/>
                <w:szCs w:val="20"/>
              </w:rPr>
              <w:t>闪点</w:t>
            </w:r>
            <w:r>
              <w:rPr>
                <w:rFonts w:ascii="Times New Roman" w:hAnsi="Times New Roman" w:eastAsia="Times New Roman" w:cs="Times New Roman"/>
                <w:spacing w:val="1"/>
                <w:sz w:val="20"/>
                <w:szCs w:val="20"/>
              </w:rPr>
              <w:t>/℃</w:t>
            </w:r>
            <w:r>
              <w:rPr>
                <w:spacing w:val="1"/>
                <w:sz w:val="20"/>
                <w:szCs w:val="20"/>
              </w:rPr>
              <w:t>：</w:t>
            </w:r>
            <w:r>
              <w:rPr>
                <w:rFonts w:ascii="Times New Roman" w:hAnsi="Times New Roman" w:eastAsia="Times New Roman" w:cs="Times New Roman"/>
                <w:spacing w:val="1"/>
                <w:sz w:val="20"/>
                <w:szCs w:val="20"/>
              </w:rPr>
              <w:t>-</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1"/>
                <w:sz w:val="20"/>
                <w:szCs w:val="20"/>
              </w:rPr>
              <w:t>188</w:t>
            </w:r>
          </w:p>
        </w:tc>
        <w:tc>
          <w:tcPr>
            <w:tcW w:w="3524" w:type="dxa"/>
            <w:gridSpan w:val="4"/>
            <w:vAlign w:val="top"/>
          </w:tcPr>
          <w:p w14:paraId="5CCCBEBA">
            <w:pPr>
              <w:pStyle w:val="6"/>
              <w:spacing w:before="152" w:line="228" w:lineRule="auto"/>
              <w:ind w:left="800"/>
              <w:rPr>
                <w:rFonts w:ascii="Times New Roman" w:hAnsi="Times New Roman" w:eastAsia="Times New Roman" w:cs="Times New Roman"/>
                <w:sz w:val="20"/>
                <w:szCs w:val="20"/>
              </w:rPr>
            </w:pPr>
            <w:r>
              <w:rPr>
                <w:spacing w:val="-2"/>
                <w:sz w:val="20"/>
                <w:szCs w:val="20"/>
              </w:rPr>
              <w:t>自燃温度</w:t>
            </w:r>
            <w:r>
              <w:rPr>
                <w:spacing w:val="30"/>
                <w:sz w:val="20"/>
                <w:szCs w:val="20"/>
              </w:rPr>
              <w:t xml:space="preserve"> </w:t>
            </w:r>
            <w:r>
              <w:rPr>
                <w:spacing w:val="-2"/>
                <w:sz w:val="20"/>
                <w:szCs w:val="20"/>
              </w:rPr>
              <w:t>(</w:t>
            </w:r>
            <w:r>
              <w:rPr>
                <w:rFonts w:ascii="Times New Roman" w:hAnsi="Times New Roman" w:eastAsia="Times New Roman" w:cs="Times New Roman"/>
                <w:spacing w:val="-2"/>
                <w:sz w:val="20"/>
                <w:szCs w:val="20"/>
              </w:rPr>
              <w:t>℃</w:t>
            </w:r>
            <w:r>
              <w:rPr>
                <w:spacing w:val="-2"/>
                <w:sz w:val="20"/>
                <w:szCs w:val="20"/>
              </w:rPr>
              <w:t>)</w:t>
            </w:r>
            <w:r>
              <w:rPr>
                <w:spacing w:val="44"/>
                <w:sz w:val="20"/>
                <w:szCs w:val="20"/>
              </w:rPr>
              <w:t xml:space="preserve"> </w:t>
            </w:r>
            <w:r>
              <w:rPr>
                <w:spacing w:val="-2"/>
                <w:sz w:val="20"/>
                <w:szCs w:val="20"/>
              </w:rPr>
              <w:t>：</w:t>
            </w:r>
            <w:r>
              <w:rPr>
                <w:rFonts w:ascii="Times New Roman" w:hAnsi="Times New Roman" w:eastAsia="Times New Roman" w:cs="Times New Roman"/>
                <w:spacing w:val="-2"/>
                <w:sz w:val="20"/>
                <w:szCs w:val="20"/>
              </w:rPr>
              <w:t>538</w:t>
            </w:r>
          </w:p>
        </w:tc>
        <w:tc>
          <w:tcPr>
            <w:tcW w:w="2094" w:type="dxa"/>
            <w:gridSpan w:val="2"/>
            <w:tcBorders>
              <w:right w:val="single" w:color="000000" w:sz="6" w:space="0"/>
            </w:tcBorders>
            <w:vAlign w:val="top"/>
          </w:tcPr>
          <w:p w14:paraId="0FE041C0">
            <w:pPr>
              <w:pStyle w:val="6"/>
              <w:spacing w:before="31" w:line="226" w:lineRule="auto"/>
              <w:ind w:left="153"/>
              <w:rPr>
                <w:sz w:val="20"/>
                <w:szCs w:val="20"/>
              </w:rPr>
            </w:pPr>
            <w:r>
              <w:rPr>
                <w:spacing w:val="7"/>
                <w:sz w:val="20"/>
                <w:szCs w:val="20"/>
              </w:rPr>
              <w:t>爆炸上限（</w:t>
            </w:r>
            <w:r>
              <w:rPr>
                <w:rFonts w:ascii="Times New Roman" w:hAnsi="Times New Roman" w:eastAsia="Times New Roman" w:cs="Times New Roman"/>
                <w:spacing w:val="7"/>
                <w:sz w:val="20"/>
                <w:szCs w:val="20"/>
              </w:rPr>
              <w:t>V%</w:t>
            </w:r>
            <w:r>
              <w:rPr>
                <w:spacing w:val="2"/>
                <w:sz w:val="20"/>
                <w:szCs w:val="20"/>
              </w:rPr>
              <w:t>）：</w:t>
            </w:r>
          </w:p>
          <w:p w14:paraId="495545FE">
            <w:pPr>
              <w:spacing w:before="48" w:line="191" w:lineRule="auto"/>
              <w:ind w:left="96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r>
      <w:tr w14:paraId="707C23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495" w:type="dxa"/>
            <w:vMerge w:val="continue"/>
            <w:tcBorders>
              <w:top w:val="nil"/>
              <w:left w:val="single" w:color="000000" w:sz="6" w:space="0"/>
              <w:bottom w:val="nil"/>
              <w:right w:val="single" w:color="000000" w:sz="2" w:space="0"/>
            </w:tcBorders>
            <w:vAlign w:val="top"/>
          </w:tcPr>
          <w:p w14:paraId="08E5B470">
            <w:pPr>
              <w:rPr>
                <w:rFonts w:ascii="Arial"/>
                <w:sz w:val="21"/>
              </w:rPr>
            </w:pPr>
          </w:p>
        </w:tc>
        <w:tc>
          <w:tcPr>
            <w:tcW w:w="609" w:type="dxa"/>
            <w:vMerge w:val="continue"/>
            <w:tcBorders>
              <w:top w:val="nil"/>
              <w:left w:val="single" w:color="000000" w:sz="2" w:space="0"/>
              <w:bottom w:val="nil"/>
            </w:tcBorders>
            <w:vAlign w:val="top"/>
          </w:tcPr>
          <w:p w14:paraId="0A0F0CFD">
            <w:pPr>
              <w:rPr>
                <w:rFonts w:ascii="Arial"/>
                <w:sz w:val="21"/>
              </w:rPr>
            </w:pPr>
          </w:p>
        </w:tc>
        <w:tc>
          <w:tcPr>
            <w:tcW w:w="2179" w:type="dxa"/>
            <w:gridSpan w:val="3"/>
            <w:vAlign w:val="top"/>
          </w:tcPr>
          <w:p w14:paraId="32D5725F">
            <w:pPr>
              <w:pStyle w:val="6"/>
              <w:spacing w:before="52" w:line="228" w:lineRule="auto"/>
              <w:ind w:left="459"/>
              <w:rPr>
                <w:sz w:val="20"/>
                <w:szCs w:val="20"/>
              </w:rPr>
            </w:pPr>
            <w:r>
              <w:rPr>
                <w:spacing w:val="8"/>
                <w:sz w:val="20"/>
                <w:szCs w:val="20"/>
              </w:rPr>
              <w:t>稳定性：稳定</w:t>
            </w:r>
          </w:p>
        </w:tc>
        <w:tc>
          <w:tcPr>
            <w:tcW w:w="3524" w:type="dxa"/>
            <w:gridSpan w:val="4"/>
            <w:vAlign w:val="top"/>
          </w:tcPr>
          <w:p w14:paraId="0865C688">
            <w:pPr>
              <w:pStyle w:val="6"/>
              <w:spacing w:before="53" w:line="227" w:lineRule="auto"/>
              <w:ind w:left="401"/>
              <w:rPr>
                <w:sz w:val="20"/>
                <w:szCs w:val="20"/>
              </w:rPr>
            </w:pPr>
            <w:r>
              <w:rPr>
                <w:spacing w:val="8"/>
                <w:sz w:val="20"/>
                <w:szCs w:val="20"/>
              </w:rPr>
              <w:t>禁忌物：强氧化剂、氟、氯。</w:t>
            </w:r>
          </w:p>
        </w:tc>
        <w:tc>
          <w:tcPr>
            <w:tcW w:w="2094" w:type="dxa"/>
            <w:gridSpan w:val="2"/>
            <w:tcBorders>
              <w:right w:val="single" w:color="000000" w:sz="6" w:space="0"/>
            </w:tcBorders>
            <w:vAlign w:val="top"/>
          </w:tcPr>
          <w:p w14:paraId="31E676F2">
            <w:pPr>
              <w:pStyle w:val="6"/>
              <w:spacing w:before="53" w:line="226" w:lineRule="auto"/>
              <w:ind w:left="14"/>
              <w:rPr>
                <w:rFonts w:ascii="Times New Roman" w:hAnsi="Times New Roman" w:eastAsia="Times New Roman" w:cs="Times New Roman"/>
                <w:sz w:val="20"/>
                <w:szCs w:val="20"/>
              </w:rPr>
            </w:pPr>
            <w:r>
              <w:rPr>
                <w:spacing w:val="2"/>
                <w:sz w:val="20"/>
                <w:szCs w:val="20"/>
              </w:rPr>
              <w:t>爆炸下限（</w:t>
            </w:r>
            <w:r>
              <w:rPr>
                <w:rFonts w:ascii="Times New Roman" w:hAnsi="Times New Roman" w:eastAsia="Times New Roman" w:cs="Times New Roman"/>
                <w:spacing w:val="2"/>
                <w:sz w:val="20"/>
                <w:szCs w:val="20"/>
              </w:rPr>
              <w:t>V%</w:t>
            </w:r>
            <w:r>
              <w:rPr>
                <w:spacing w:val="-9"/>
                <w:sz w:val="20"/>
                <w:szCs w:val="20"/>
              </w:rPr>
              <w:t>）：</w:t>
            </w:r>
            <w:r>
              <w:rPr>
                <w:rFonts w:ascii="Times New Roman" w:hAnsi="Times New Roman" w:eastAsia="Times New Roman" w:cs="Times New Roman"/>
                <w:spacing w:val="2"/>
                <w:sz w:val="20"/>
                <w:szCs w:val="20"/>
              </w:rPr>
              <w:t>5.3</w:t>
            </w:r>
          </w:p>
        </w:tc>
      </w:tr>
      <w:tr w14:paraId="3104A9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495" w:type="dxa"/>
            <w:vMerge w:val="continue"/>
            <w:tcBorders>
              <w:top w:val="nil"/>
              <w:left w:val="single" w:color="000000" w:sz="6" w:space="0"/>
              <w:bottom w:val="nil"/>
              <w:right w:val="single" w:color="000000" w:sz="2" w:space="0"/>
            </w:tcBorders>
            <w:vAlign w:val="top"/>
          </w:tcPr>
          <w:p w14:paraId="3D29C4C6">
            <w:pPr>
              <w:rPr>
                <w:rFonts w:ascii="Arial"/>
                <w:sz w:val="21"/>
              </w:rPr>
            </w:pPr>
          </w:p>
        </w:tc>
        <w:tc>
          <w:tcPr>
            <w:tcW w:w="609" w:type="dxa"/>
            <w:vMerge w:val="continue"/>
            <w:tcBorders>
              <w:top w:val="nil"/>
              <w:left w:val="single" w:color="000000" w:sz="2" w:space="0"/>
              <w:bottom w:val="nil"/>
            </w:tcBorders>
            <w:vAlign w:val="top"/>
          </w:tcPr>
          <w:p w14:paraId="48934B6D">
            <w:pPr>
              <w:rPr>
                <w:rFonts w:ascii="Arial"/>
                <w:sz w:val="21"/>
              </w:rPr>
            </w:pPr>
          </w:p>
        </w:tc>
        <w:tc>
          <w:tcPr>
            <w:tcW w:w="2179" w:type="dxa"/>
            <w:gridSpan w:val="3"/>
            <w:vAlign w:val="top"/>
          </w:tcPr>
          <w:p w14:paraId="6E003770">
            <w:pPr>
              <w:pStyle w:val="6"/>
              <w:spacing w:before="52" w:line="228" w:lineRule="auto"/>
              <w:ind w:left="38"/>
              <w:rPr>
                <w:rFonts w:ascii="Times New Roman" w:hAnsi="Times New Roman" w:eastAsia="Times New Roman" w:cs="Times New Roman"/>
                <w:sz w:val="20"/>
                <w:szCs w:val="20"/>
              </w:rPr>
            </w:pPr>
            <w:r>
              <w:rPr>
                <w:spacing w:val="1"/>
                <w:sz w:val="20"/>
                <w:szCs w:val="20"/>
              </w:rPr>
              <w:t>临界温度</w:t>
            </w:r>
            <w:r>
              <w:rPr>
                <w:spacing w:val="23"/>
                <w:sz w:val="20"/>
                <w:szCs w:val="20"/>
              </w:rPr>
              <w:t xml:space="preserve"> </w:t>
            </w:r>
            <w:r>
              <w:rPr>
                <w:spacing w:val="1"/>
                <w:sz w:val="20"/>
                <w:szCs w:val="20"/>
              </w:rPr>
              <w:t>(</w:t>
            </w:r>
            <w:r>
              <w:rPr>
                <w:rFonts w:ascii="Times New Roman" w:hAnsi="Times New Roman" w:eastAsia="Times New Roman" w:cs="Times New Roman"/>
                <w:spacing w:val="1"/>
                <w:sz w:val="20"/>
                <w:szCs w:val="20"/>
              </w:rPr>
              <w:t>℃</w:t>
            </w:r>
            <w:r>
              <w:rPr>
                <w:spacing w:val="1"/>
                <w:sz w:val="20"/>
                <w:szCs w:val="20"/>
              </w:rPr>
              <w:t>)</w:t>
            </w:r>
            <w:r>
              <w:rPr>
                <w:spacing w:val="44"/>
                <w:sz w:val="20"/>
                <w:szCs w:val="20"/>
              </w:rPr>
              <w:t xml:space="preserve"> </w:t>
            </w:r>
            <w:r>
              <w:rPr>
                <w:spacing w:val="1"/>
                <w:sz w:val="20"/>
                <w:szCs w:val="20"/>
              </w:rPr>
              <w:t>：</w:t>
            </w:r>
            <w:r>
              <w:rPr>
                <w:rFonts w:ascii="Times New Roman" w:hAnsi="Times New Roman" w:eastAsia="Times New Roman" w:cs="Times New Roman"/>
                <w:spacing w:val="1"/>
                <w:sz w:val="20"/>
                <w:szCs w:val="20"/>
              </w:rPr>
              <w:t>-82.6</w:t>
            </w:r>
          </w:p>
        </w:tc>
        <w:tc>
          <w:tcPr>
            <w:tcW w:w="3524" w:type="dxa"/>
            <w:gridSpan w:val="4"/>
            <w:vAlign w:val="top"/>
          </w:tcPr>
          <w:p w14:paraId="3C72CCFF">
            <w:pPr>
              <w:pStyle w:val="6"/>
              <w:spacing w:before="52" w:line="228" w:lineRule="auto"/>
              <w:ind w:left="659"/>
              <w:rPr>
                <w:rFonts w:ascii="Times New Roman" w:hAnsi="Times New Roman" w:eastAsia="Times New Roman" w:cs="Times New Roman"/>
                <w:sz w:val="20"/>
                <w:szCs w:val="20"/>
              </w:rPr>
            </w:pPr>
            <w:r>
              <w:rPr>
                <w:spacing w:val="7"/>
                <w:sz w:val="20"/>
                <w:szCs w:val="20"/>
              </w:rPr>
              <w:t>临界压力（</w:t>
            </w:r>
            <w:r>
              <w:rPr>
                <w:rFonts w:ascii="Times New Roman" w:hAnsi="Times New Roman" w:eastAsia="Times New Roman" w:cs="Times New Roman"/>
                <w:sz w:val="20"/>
                <w:szCs w:val="20"/>
              </w:rPr>
              <w:t>MPa</w:t>
            </w:r>
            <w:r>
              <w:rPr>
                <w:spacing w:val="12"/>
                <w:sz w:val="20"/>
                <w:szCs w:val="20"/>
              </w:rPr>
              <w:t>）：</w:t>
            </w:r>
            <w:r>
              <w:rPr>
                <w:rFonts w:ascii="Times New Roman" w:hAnsi="Times New Roman" w:eastAsia="Times New Roman" w:cs="Times New Roman"/>
                <w:spacing w:val="7"/>
                <w:sz w:val="20"/>
                <w:szCs w:val="20"/>
              </w:rPr>
              <w:t>4.59</w:t>
            </w:r>
          </w:p>
        </w:tc>
        <w:tc>
          <w:tcPr>
            <w:tcW w:w="2094" w:type="dxa"/>
            <w:gridSpan w:val="2"/>
            <w:tcBorders>
              <w:right w:val="single" w:color="000000" w:sz="6" w:space="0"/>
            </w:tcBorders>
            <w:vAlign w:val="top"/>
          </w:tcPr>
          <w:p w14:paraId="3E47EFFF">
            <w:pPr>
              <w:pStyle w:val="6"/>
              <w:spacing w:before="52" w:line="221" w:lineRule="auto"/>
              <w:ind w:left="14"/>
              <w:rPr>
                <w:rFonts w:ascii="Times New Roman" w:hAnsi="Times New Roman" w:eastAsia="Times New Roman" w:cs="Times New Roman"/>
                <w:sz w:val="20"/>
                <w:szCs w:val="20"/>
              </w:rPr>
            </w:pPr>
            <w:r>
              <w:rPr>
                <w:spacing w:val="-3"/>
                <w:sz w:val="20"/>
                <w:szCs w:val="20"/>
              </w:rPr>
              <w:t>燃烧热（</w:t>
            </w:r>
            <w:r>
              <w:rPr>
                <w:rFonts w:ascii="Times New Roman" w:hAnsi="Times New Roman" w:eastAsia="Times New Roman" w:cs="Times New Roman"/>
                <w:spacing w:val="-3"/>
                <w:sz w:val="20"/>
                <w:szCs w:val="20"/>
              </w:rPr>
              <w:t>kj/mol</w:t>
            </w:r>
            <w:r>
              <w:rPr>
                <w:spacing w:val="-43"/>
                <w:w w:val="80"/>
                <w:sz w:val="20"/>
                <w:szCs w:val="20"/>
              </w:rPr>
              <w:t>）：</w:t>
            </w:r>
            <w:r>
              <w:rPr>
                <w:rFonts w:ascii="Times New Roman" w:hAnsi="Times New Roman" w:eastAsia="Times New Roman" w:cs="Times New Roman"/>
                <w:spacing w:val="-3"/>
                <w:sz w:val="20"/>
                <w:szCs w:val="20"/>
              </w:rPr>
              <w:t>889.5</w:t>
            </w:r>
          </w:p>
        </w:tc>
      </w:tr>
      <w:tr w14:paraId="55E752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495" w:type="dxa"/>
            <w:vMerge w:val="continue"/>
            <w:tcBorders>
              <w:top w:val="nil"/>
              <w:left w:val="single" w:color="000000" w:sz="6" w:space="0"/>
              <w:bottom w:val="nil"/>
              <w:right w:val="single" w:color="000000" w:sz="2" w:space="0"/>
            </w:tcBorders>
            <w:vAlign w:val="top"/>
          </w:tcPr>
          <w:p w14:paraId="1A653B1C">
            <w:pPr>
              <w:rPr>
                <w:rFonts w:ascii="Arial"/>
                <w:sz w:val="21"/>
              </w:rPr>
            </w:pPr>
          </w:p>
        </w:tc>
        <w:tc>
          <w:tcPr>
            <w:tcW w:w="609" w:type="dxa"/>
            <w:vMerge w:val="continue"/>
            <w:tcBorders>
              <w:top w:val="nil"/>
              <w:left w:val="single" w:color="000000" w:sz="2" w:space="0"/>
              <w:bottom w:val="nil"/>
            </w:tcBorders>
            <w:vAlign w:val="top"/>
          </w:tcPr>
          <w:p w14:paraId="43E39924">
            <w:pPr>
              <w:rPr>
                <w:rFonts w:ascii="Arial"/>
                <w:sz w:val="21"/>
              </w:rPr>
            </w:pPr>
          </w:p>
        </w:tc>
        <w:tc>
          <w:tcPr>
            <w:tcW w:w="7797" w:type="dxa"/>
            <w:gridSpan w:val="9"/>
            <w:tcBorders>
              <w:right w:val="single" w:color="000000" w:sz="6" w:space="0"/>
            </w:tcBorders>
            <w:vAlign w:val="top"/>
          </w:tcPr>
          <w:p w14:paraId="14A89E1B">
            <w:pPr>
              <w:pStyle w:val="6"/>
              <w:spacing w:before="32" w:line="234" w:lineRule="auto"/>
              <w:ind w:left="7" w:right="34"/>
              <w:rPr>
                <w:sz w:val="20"/>
                <w:szCs w:val="20"/>
              </w:rPr>
            </w:pPr>
            <w:r>
              <w:rPr>
                <w:spacing w:val="4"/>
                <w:sz w:val="20"/>
                <w:szCs w:val="20"/>
              </w:rPr>
              <w:t>危险特性：与空气混合能形成爆炸性混合物，遇点火源、高热</w:t>
            </w:r>
            <w:r>
              <w:rPr>
                <w:spacing w:val="3"/>
                <w:sz w:val="20"/>
                <w:szCs w:val="20"/>
              </w:rPr>
              <w:t>能引起燃烧爆炸。与氟、</w:t>
            </w:r>
            <w:r>
              <w:rPr>
                <w:spacing w:val="9"/>
                <w:sz w:val="20"/>
                <w:szCs w:val="20"/>
              </w:rPr>
              <w:t>氯等能发生剧烈的化学反应。若遇高热，容器内压增大，有开裂和爆炸的危险。</w:t>
            </w:r>
          </w:p>
        </w:tc>
      </w:tr>
      <w:tr w14:paraId="6C9D68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trPr>
        <w:tc>
          <w:tcPr>
            <w:tcW w:w="495" w:type="dxa"/>
            <w:vMerge w:val="continue"/>
            <w:tcBorders>
              <w:top w:val="nil"/>
              <w:left w:val="single" w:color="000000" w:sz="6" w:space="0"/>
              <w:bottom w:val="nil"/>
              <w:right w:val="single" w:color="000000" w:sz="2" w:space="0"/>
            </w:tcBorders>
            <w:vAlign w:val="top"/>
          </w:tcPr>
          <w:p w14:paraId="5262A314">
            <w:pPr>
              <w:rPr>
                <w:rFonts w:ascii="Arial"/>
                <w:sz w:val="21"/>
              </w:rPr>
            </w:pPr>
          </w:p>
        </w:tc>
        <w:tc>
          <w:tcPr>
            <w:tcW w:w="609" w:type="dxa"/>
            <w:vMerge w:val="continue"/>
            <w:tcBorders>
              <w:top w:val="nil"/>
              <w:left w:val="single" w:color="000000" w:sz="2" w:space="0"/>
            </w:tcBorders>
            <w:vAlign w:val="top"/>
          </w:tcPr>
          <w:p w14:paraId="0AA77260">
            <w:pPr>
              <w:rPr>
                <w:rFonts w:ascii="Arial"/>
                <w:sz w:val="21"/>
              </w:rPr>
            </w:pPr>
          </w:p>
        </w:tc>
        <w:tc>
          <w:tcPr>
            <w:tcW w:w="7797" w:type="dxa"/>
            <w:gridSpan w:val="9"/>
            <w:tcBorders>
              <w:right w:val="single" w:color="000000" w:sz="6" w:space="0"/>
            </w:tcBorders>
            <w:vAlign w:val="top"/>
          </w:tcPr>
          <w:p w14:paraId="5D4DF721">
            <w:pPr>
              <w:pStyle w:val="6"/>
              <w:spacing w:before="32" w:line="227" w:lineRule="auto"/>
              <w:ind w:left="8"/>
              <w:rPr>
                <w:sz w:val="20"/>
                <w:szCs w:val="20"/>
              </w:rPr>
            </w:pPr>
            <w:r>
              <w:rPr>
                <w:spacing w:val="7"/>
                <w:sz w:val="20"/>
                <w:szCs w:val="20"/>
              </w:rPr>
              <w:t>灭火方法：切断气源。若不能立即切断气源，则不允许熄灭正在燃烧的气体。喷水冷</w:t>
            </w:r>
          </w:p>
          <w:p w14:paraId="65B03006">
            <w:pPr>
              <w:pStyle w:val="6"/>
              <w:spacing w:before="25" w:line="216" w:lineRule="auto"/>
              <w:ind w:left="491"/>
              <w:rPr>
                <w:sz w:val="20"/>
                <w:szCs w:val="20"/>
              </w:rPr>
            </w:pPr>
            <w:r>
              <w:rPr>
                <w:spacing w:val="9"/>
                <w:sz w:val="20"/>
                <w:szCs w:val="20"/>
              </w:rPr>
              <w:t>却容器，可能的话将容器从火场移至空旷处。雾状水、泡沫、二氧化碳。</w:t>
            </w:r>
          </w:p>
        </w:tc>
      </w:tr>
      <w:tr w14:paraId="6F76A4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1" w:hRule="atLeast"/>
        </w:trPr>
        <w:tc>
          <w:tcPr>
            <w:tcW w:w="495" w:type="dxa"/>
            <w:vMerge w:val="continue"/>
            <w:tcBorders>
              <w:top w:val="nil"/>
              <w:left w:val="single" w:color="000000" w:sz="6" w:space="0"/>
              <w:bottom w:val="nil"/>
              <w:right w:val="single" w:color="000000" w:sz="2" w:space="0"/>
            </w:tcBorders>
            <w:vAlign w:val="top"/>
          </w:tcPr>
          <w:p w14:paraId="42360AF2">
            <w:pPr>
              <w:rPr>
                <w:rFonts w:ascii="Arial"/>
                <w:sz w:val="21"/>
              </w:rPr>
            </w:pPr>
          </w:p>
        </w:tc>
        <w:tc>
          <w:tcPr>
            <w:tcW w:w="609" w:type="dxa"/>
            <w:tcBorders>
              <w:left w:val="single" w:color="000000" w:sz="2" w:space="0"/>
            </w:tcBorders>
            <w:vAlign w:val="top"/>
          </w:tcPr>
          <w:p w14:paraId="5FA27E2D">
            <w:pPr>
              <w:pStyle w:val="6"/>
              <w:spacing w:before="171" w:line="252" w:lineRule="auto"/>
              <w:ind w:left="145" w:right="48" w:hanging="2"/>
              <w:rPr>
                <w:sz w:val="20"/>
                <w:szCs w:val="20"/>
              </w:rPr>
            </w:pPr>
            <w:r>
              <w:rPr>
                <w:spacing w:val="4"/>
                <w:sz w:val="20"/>
                <w:szCs w:val="20"/>
              </w:rPr>
              <w:t>健康</w:t>
            </w:r>
            <w:r>
              <w:rPr>
                <w:spacing w:val="3"/>
                <w:sz w:val="20"/>
                <w:szCs w:val="20"/>
              </w:rPr>
              <w:t>危害</w:t>
            </w:r>
          </w:p>
        </w:tc>
        <w:tc>
          <w:tcPr>
            <w:tcW w:w="7797" w:type="dxa"/>
            <w:gridSpan w:val="9"/>
            <w:tcBorders>
              <w:right w:val="single" w:color="000000" w:sz="6" w:space="0"/>
            </w:tcBorders>
            <w:vAlign w:val="top"/>
          </w:tcPr>
          <w:p w14:paraId="16C42461">
            <w:pPr>
              <w:pStyle w:val="6"/>
              <w:spacing w:before="34" w:line="239" w:lineRule="auto"/>
              <w:ind w:left="10" w:right="53" w:firstLine="1"/>
              <w:jc w:val="both"/>
              <w:rPr>
                <w:sz w:val="20"/>
                <w:szCs w:val="20"/>
              </w:rPr>
            </w:pPr>
            <w:r>
              <w:rPr>
                <w:spacing w:val="11"/>
                <w:sz w:val="20"/>
                <w:szCs w:val="20"/>
              </w:rPr>
              <w:t>空气中甲烷浓度过高，能使人窒息。当空气中甲烷达</w:t>
            </w:r>
            <w:r>
              <w:rPr>
                <w:spacing w:val="-41"/>
                <w:sz w:val="20"/>
                <w:szCs w:val="20"/>
              </w:rPr>
              <w:t xml:space="preserve"> </w:t>
            </w:r>
            <w:r>
              <w:rPr>
                <w:rFonts w:ascii="Times New Roman" w:hAnsi="Times New Roman" w:eastAsia="Times New Roman" w:cs="Times New Roman"/>
                <w:spacing w:val="11"/>
                <w:sz w:val="20"/>
                <w:szCs w:val="20"/>
              </w:rPr>
              <w:t>25</w:t>
            </w:r>
            <w:r>
              <w:rPr>
                <w:spacing w:val="11"/>
                <w:sz w:val="20"/>
                <w:szCs w:val="20"/>
              </w:rPr>
              <w:t>～</w:t>
            </w:r>
            <w:r>
              <w:rPr>
                <w:rFonts w:ascii="Times New Roman" w:hAnsi="Times New Roman" w:eastAsia="Times New Roman" w:cs="Times New Roman"/>
                <w:spacing w:val="11"/>
                <w:sz w:val="20"/>
                <w:szCs w:val="20"/>
              </w:rPr>
              <w:t>3</w:t>
            </w:r>
            <w:r>
              <w:rPr>
                <w:rFonts w:ascii="Times New Roman" w:hAnsi="Times New Roman" w:eastAsia="Times New Roman" w:cs="Times New Roman"/>
                <w:spacing w:val="10"/>
                <w:sz w:val="20"/>
                <w:szCs w:val="20"/>
              </w:rPr>
              <w:t>0</w:t>
            </w:r>
            <w:r>
              <w:rPr>
                <w:spacing w:val="10"/>
                <w:sz w:val="20"/>
                <w:szCs w:val="20"/>
              </w:rPr>
              <w:t>％时，可引起头痛、头</w:t>
            </w:r>
            <w:r>
              <w:rPr>
                <w:spacing w:val="9"/>
                <w:sz w:val="20"/>
                <w:szCs w:val="20"/>
              </w:rPr>
              <w:t>晕、乏力、注意力不集中、呼吸和心跳加速、精细动作</w:t>
            </w:r>
            <w:r>
              <w:rPr>
                <w:spacing w:val="8"/>
                <w:sz w:val="20"/>
                <w:szCs w:val="20"/>
              </w:rPr>
              <w:t>障碍等，甚至因缺氧而窒息、</w:t>
            </w:r>
            <w:r>
              <w:rPr>
                <w:spacing w:val="1"/>
                <w:sz w:val="20"/>
                <w:szCs w:val="20"/>
              </w:rPr>
              <w:t>昏迷。</w:t>
            </w:r>
          </w:p>
        </w:tc>
      </w:tr>
      <w:tr w14:paraId="60DB59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495" w:type="dxa"/>
            <w:vMerge w:val="continue"/>
            <w:tcBorders>
              <w:top w:val="nil"/>
              <w:left w:val="single" w:color="000000" w:sz="6" w:space="0"/>
              <w:bottom w:val="nil"/>
              <w:right w:val="single" w:color="000000" w:sz="2" w:space="0"/>
            </w:tcBorders>
            <w:vAlign w:val="top"/>
          </w:tcPr>
          <w:p w14:paraId="2E9681F4">
            <w:pPr>
              <w:rPr>
                <w:rFonts w:ascii="Arial"/>
                <w:sz w:val="21"/>
              </w:rPr>
            </w:pPr>
          </w:p>
        </w:tc>
        <w:tc>
          <w:tcPr>
            <w:tcW w:w="609" w:type="dxa"/>
            <w:tcBorders>
              <w:left w:val="single" w:color="000000" w:sz="2" w:space="0"/>
            </w:tcBorders>
            <w:vAlign w:val="top"/>
          </w:tcPr>
          <w:p w14:paraId="0A4E265A">
            <w:pPr>
              <w:pStyle w:val="6"/>
              <w:spacing w:before="170" w:line="228" w:lineRule="auto"/>
              <w:ind w:left="150"/>
              <w:rPr>
                <w:sz w:val="20"/>
                <w:szCs w:val="20"/>
              </w:rPr>
            </w:pPr>
            <w:r>
              <w:rPr>
                <w:spacing w:val="1"/>
                <w:sz w:val="20"/>
                <w:szCs w:val="20"/>
              </w:rPr>
              <w:t>急救</w:t>
            </w:r>
          </w:p>
        </w:tc>
        <w:tc>
          <w:tcPr>
            <w:tcW w:w="7797" w:type="dxa"/>
            <w:gridSpan w:val="9"/>
            <w:tcBorders>
              <w:right w:val="single" w:color="000000" w:sz="6" w:space="0"/>
            </w:tcBorders>
            <w:vAlign w:val="top"/>
          </w:tcPr>
          <w:p w14:paraId="0BF3B6C4">
            <w:pPr>
              <w:pStyle w:val="6"/>
              <w:spacing w:before="36" w:line="232" w:lineRule="auto"/>
              <w:ind w:left="5" w:right="105" w:firstLine="8"/>
              <w:rPr>
                <w:sz w:val="20"/>
                <w:szCs w:val="20"/>
              </w:rPr>
            </w:pPr>
            <w:r>
              <w:rPr>
                <w:rFonts w:ascii="Times New Roman" w:hAnsi="Times New Roman" w:eastAsia="Times New Roman" w:cs="Times New Roman"/>
                <w:spacing w:val="9"/>
                <w:sz w:val="20"/>
                <w:szCs w:val="20"/>
              </w:rPr>
              <w:t>[</w:t>
            </w:r>
            <w:r>
              <w:rPr>
                <w:spacing w:val="9"/>
                <w:sz w:val="20"/>
                <w:szCs w:val="20"/>
              </w:rPr>
              <w:t>吸入</w:t>
            </w:r>
            <w:r>
              <w:rPr>
                <w:rFonts w:ascii="Times New Roman" w:hAnsi="Times New Roman" w:eastAsia="Times New Roman" w:cs="Times New Roman"/>
                <w:spacing w:val="9"/>
                <w:sz w:val="20"/>
                <w:szCs w:val="20"/>
              </w:rPr>
              <w:t>]</w:t>
            </w:r>
            <w:r>
              <w:rPr>
                <w:spacing w:val="9"/>
                <w:sz w:val="20"/>
                <w:szCs w:val="20"/>
              </w:rPr>
              <w:t>：迅速脱离现场至空气新鲜处。注意保暖，呼吸困难</w:t>
            </w:r>
            <w:r>
              <w:rPr>
                <w:spacing w:val="8"/>
                <w:sz w:val="20"/>
                <w:szCs w:val="20"/>
              </w:rPr>
              <w:t>时给输氧。呼吸及心跳停止者立即进行人工呼吸和心脏按压术。就医。</w:t>
            </w:r>
          </w:p>
        </w:tc>
      </w:tr>
      <w:tr w14:paraId="701E14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7" w:hRule="atLeast"/>
        </w:trPr>
        <w:tc>
          <w:tcPr>
            <w:tcW w:w="495" w:type="dxa"/>
            <w:vMerge w:val="continue"/>
            <w:tcBorders>
              <w:top w:val="nil"/>
              <w:left w:val="single" w:color="000000" w:sz="6" w:space="0"/>
              <w:bottom w:val="nil"/>
              <w:right w:val="single" w:color="000000" w:sz="2" w:space="0"/>
            </w:tcBorders>
            <w:vAlign w:val="top"/>
          </w:tcPr>
          <w:p w14:paraId="0D5939F4">
            <w:pPr>
              <w:rPr>
                <w:rFonts w:ascii="Arial"/>
                <w:sz w:val="21"/>
              </w:rPr>
            </w:pPr>
          </w:p>
        </w:tc>
        <w:tc>
          <w:tcPr>
            <w:tcW w:w="609" w:type="dxa"/>
            <w:tcBorders>
              <w:left w:val="single" w:color="000000" w:sz="2" w:space="0"/>
            </w:tcBorders>
            <w:vAlign w:val="top"/>
          </w:tcPr>
          <w:p w14:paraId="413E682F">
            <w:pPr>
              <w:spacing w:line="324" w:lineRule="auto"/>
              <w:rPr>
                <w:rFonts w:ascii="Arial"/>
                <w:sz w:val="21"/>
              </w:rPr>
            </w:pPr>
          </w:p>
          <w:p w14:paraId="002A1287">
            <w:pPr>
              <w:spacing w:line="325" w:lineRule="auto"/>
              <w:rPr>
                <w:rFonts w:ascii="Arial"/>
                <w:sz w:val="21"/>
              </w:rPr>
            </w:pPr>
          </w:p>
          <w:p w14:paraId="49C49BB6">
            <w:pPr>
              <w:pStyle w:val="6"/>
              <w:spacing w:before="65" w:line="228" w:lineRule="auto"/>
              <w:ind w:left="156"/>
              <w:rPr>
                <w:sz w:val="20"/>
                <w:szCs w:val="20"/>
              </w:rPr>
            </w:pPr>
            <w:r>
              <w:rPr>
                <w:spacing w:val="-2"/>
                <w:sz w:val="20"/>
                <w:szCs w:val="20"/>
              </w:rPr>
              <w:t>防护</w:t>
            </w:r>
          </w:p>
        </w:tc>
        <w:tc>
          <w:tcPr>
            <w:tcW w:w="7797" w:type="dxa"/>
            <w:gridSpan w:val="9"/>
            <w:tcBorders>
              <w:right w:val="single" w:color="000000" w:sz="6" w:space="0"/>
            </w:tcBorders>
            <w:vAlign w:val="top"/>
          </w:tcPr>
          <w:p w14:paraId="7DD086FC">
            <w:pPr>
              <w:pStyle w:val="6"/>
              <w:spacing w:before="36" w:line="221" w:lineRule="auto"/>
              <w:ind w:left="14"/>
              <w:rPr>
                <w:sz w:val="20"/>
                <w:szCs w:val="20"/>
              </w:rPr>
            </w:pPr>
            <w:r>
              <w:rPr>
                <w:rFonts w:ascii="Times New Roman" w:hAnsi="Times New Roman" w:eastAsia="Times New Roman" w:cs="Times New Roman"/>
                <w:spacing w:val="7"/>
                <w:sz w:val="20"/>
                <w:szCs w:val="20"/>
              </w:rPr>
              <w:t>[</w:t>
            </w:r>
            <w:r>
              <w:rPr>
                <w:spacing w:val="7"/>
                <w:sz w:val="20"/>
                <w:szCs w:val="20"/>
              </w:rPr>
              <w:t>工程控制</w:t>
            </w:r>
            <w:r>
              <w:rPr>
                <w:rFonts w:ascii="Times New Roman" w:hAnsi="Times New Roman" w:eastAsia="Times New Roman" w:cs="Times New Roman"/>
                <w:spacing w:val="7"/>
                <w:sz w:val="20"/>
                <w:szCs w:val="20"/>
              </w:rPr>
              <w:t>]</w:t>
            </w:r>
            <w:r>
              <w:rPr>
                <w:spacing w:val="7"/>
                <w:sz w:val="20"/>
                <w:szCs w:val="20"/>
              </w:rPr>
              <w:t>：生产过程密闭，全面通风。</w:t>
            </w:r>
          </w:p>
          <w:p w14:paraId="2C9C6F91">
            <w:pPr>
              <w:pStyle w:val="6"/>
              <w:spacing w:before="34" w:line="221" w:lineRule="auto"/>
              <w:ind w:left="14"/>
              <w:rPr>
                <w:sz w:val="20"/>
                <w:szCs w:val="20"/>
              </w:rPr>
            </w:pPr>
            <w:r>
              <w:rPr>
                <w:rFonts w:ascii="Times New Roman" w:hAnsi="Times New Roman" w:eastAsia="Times New Roman" w:cs="Times New Roman"/>
                <w:spacing w:val="8"/>
                <w:sz w:val="20"/>
                <w:szCs w:val="20"/>
              </w:rPr>
              <w:t>[</w:t>
            </w:r>
            <w:r>
              <w:rPr>
                <w:spacing w:val="8"/>
                <w:sz w:val="20"/>
                <w:szCs w:val="20"/>
              </w:rPr>
              <w:t>呼吸系统防护</w:t>
            </w:r>
            <w:r>
              <w:rPr>
                <w:rFonts w:ascii="Times New Roman" w:hAnsi="Times New Roman" w:eastAsia="Times New Roman" w:cs="Times New Roman"/>
                <w:spacing w:val="8"/>
                <w:sz w:val="20"/>
                <w:szCs w:val="20"/>
              </w:rPr>
              <w:t>]</w:t>
            </w:r>
            <w:r>
              <w:rPr>
                <w:spacing w:val="8"/>
                <w:sz w:val="20"/>
                <w:szCs w:val="20"/>
              </w:rPr>
              <w:t>：高浓度环境中，佩戴供气式呼吸器。</w:t>
            </w:r>
          </w:p>
          <w:p w14:paraId="32570068">
            <w:pPr>
              <w:pStyle w:val="6"/>
              <w:spacing w:before="31" w:line="244" w:lineRule="auto"/>
              <w:ind w:left="14" w:right="1594"/>
              <w:rPr>
                <w:sz w:val="20"/>
                <w:szCs w:val="20"/>
              </w:rPr>
            </w:pPr>
            <w:r>
              <w:rPr>
                <w:rFonts w:ascii="Times New Roman" w:hAnsi="Times New Roman" w:eastAsia="Times New Roman" w:cs="Times New Roman"/>
                <w:spacing w:val="8"/>
                <w:sz w:val="20"/>
                <w:szCs w:val="20"/>
              </w:rPr>
              <w:t>[</w:t>
            </w:r>
            <w:r>
              <w:rPr>
                <w:spacing w:val="8"/>
                <w:sz w:val="20"/>
                <w:szCs w:val="20"/>
              </w:rPr>
              <w:t>眼睛防护</w:t>
            </w:r>
            <w:r>
              <w:rPr>
                <w:rFonts w:ascii="Times New Roman" w:hAnsi="Times New Roman" w:eastAsia="Times New Roman" w:cs="Times New Roman"/>
                <w:spacing w:val="8"/>
                <w:sz w:val="20"/>
                <w:szCs w:val="20"/>
              </w:rPr>
              <w:t>]</w:t>
            </w:r>
            <w:r>
              <w:rPr>
                <w:spacing w:val="8"/>
                <w:sz w:val="20"/>
                <w:szCs w:val="20"/>
              </w:rPr>
              <w:t>：一般不需特殊防护，高浓度接触时可戴</w:t>
            </w:r>
            <w:r>
              <w:rPr>
                <w:spacing w:val="7"/>
                <w:sz w:val="20"/>
                <w:szCs w:val="20"/>
              </w:rPr>
              <w:t>安全防护眼镜。</w:t>
            </w:r>
            <w:r>
              <w:rPr>
                <w:sz w:val="20"/>
                <w:szCs w:val="20"/>
              </w:rPr>
              <w:t xml:space="preserve"> </w:t>
            </w:r>
            <w:r>
              <w:rPr>
                <w:rFonts w:ascii="Times New Roman" w:hAnsi="Times New Roman" w:eastAsia="Times New Roman" w:cs="Times New Roman"/>
                <w:spacing w:val="6"/>
                <w:sz w:val="20"/>
                <w:szCs w:val="20"/>
              </w:rPr>
              <w:t>[</w:t>
            </w:r>
            <w:r>
              <w:rPr>
                <w:spacing w:val="6"/>
                <w:sz w:val="20"/>
                <w:szCs w:val="20"/>
              </w:rPr>
              <w:t>防护服</w:t>
            </w:r>
            <w:r>
              <w:rPr>
                <w:rFonts w:ascii="Times New Roman" w:hAnsi="Times New Roman" w:eastAsia="Times New Roman" w:cs="Times New Roman"/>
                <w:spacing w:val="6"/>
                <w:sz w:val="20"/>
                <w:szCs w:val="20"/>
              </w:rPr>
              <w:t>]</w:t>
            </w:r>
            <w:r>
              <w:rPr>
                <w:spacing w:val="6"/>
                <w:sz w:val="20"/>
                <w:szCs w:val="20"/>
              </w:rPr>
              <w:t>：穿工作服。</w:t>
            </w:r>
          </w:p>
          <w:p w14:paraId="639FD64D">
            <w:pPr>
              <w:pStyle w:val="6"/>
              <w:spacing w:before="15" w:line="221" w:lineRule="auto"/>
              <w:ind w:left="14"/>
              <w:rPr>
                <w:sz w:val="20"/>
                <w:szCs w:val="20"/>
              </w:rPr>
            </w:pPr>
            <w:r>
              <w:rPr>
                <w:rFonts w:ascii="Times New Roman" w:hAnsi="Times New Roman" w:eastAsia="Times New Roman" w:cs="Times New Roman"/>
                <w:spacing w:val="8"/>
                <w:sz w:val="20"/>
                <w:szCs w:val="20"/>
              </w:rPr>
              <w:t>[</w:t>
            </w:r>
            <w:r>
              <w:rPr>
                <w:spacing w:val="8"/>
                <w:sz w:val="20"/>
                <w:szCs w:val="20"/>
              </w:rPr>
              <w:t>手防护</w:t>
            </w:r>
            <w:r>
              <w:rPr>
                <w:rFonts w:ascii="Times New Roman" w:hAnsi="Times New Roman" w:eastAsia="Times New Roman" w:cs="Times New Roman"/>
                <w:spacing w:val="8"/>
                <w:sz w:val="20"/>
                <w:szCs w:val="20"/>
              </w:rPr>
              <w:t>]</w:t>
            </w:r>
            <w:r>
              <w:rPr>
                <w:spacing w:val="8"/>
                <w:sz w:val="20"/>
                <w:szCs w:val="20"/>
              </w:rPr>
              <w:t>：一般不需特殊防护，高浓度接触时可戴防护手套。</w:t>
            </w:r>
          </w:p>
          <w:p w14:paraId="271684EE">
            <w:pPr>
              <w:pStyle w:val="6"/>
              <w:spacing w:before="34" w:line="210" w:lineRule="auto"/>
              <w:ind w:left="14"/>
              <w:rPr>
                <w:sz w:val="20"/>
                <w:szCs w:val="20"/>
              </w:rPr>
            </w:pPr>
            <w:r>
              <w:rPr>
                <w:rFonts w:ascii="Times New Roman" w:hAnsi="Times New Roman" w:eastAsia="Times New Roman" w:cs="Times New Roman"/>
                <w:spacing w:val="7"/>
                <w:sz w:val="20"/>
                <w:szCs w:val="20"/>
              </w:rPr>
              <w:t>[</w:t>
            </w:r>
            <w:r>
              <w:rPr>
                <w:spacing w:val="7"/>
                <w:sz w:val="20"/>
                <w:szCs w:val="20"/>
              </w:rPr>
              <w:t>皮肤接触</w:t>
            </w:r>
            <w:r>
              <w:rPr>
                <w:rFonts w:ascii="Times New Roman" w:hAnsi="Times New Roman" w:eastAsia="Times New Roman" w:cs="Times New Roman"/>
                <w:spacing w:val="7"/>
                <w:sz w:val="20"/>
                <w:szCs w:val="20"/>
              </w:rPr>
              <w:t>]</w:t>
            </w:r>
            <w:r>
              <w:rPr>
                <w:spacing w:val="7"/>
                <w:sz w:val="20"/>
                <w:szCs w:val="20"/>
              </w:rPr>
              <w:t>：若有冻伤，就医治疗。</w:t>
            </w:r>
          </w:p>
        </w:tc>
      </w:tr>
      <w:tr w14:paraId="0C337F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1" w:hRule="atLeast"/>
        </w:trPr>
        <w:tc>
          <w:tcPr>
            <w:tcW w:w="495" w:type="dxa"/>
            <w:vMerge w:val="continue"/>
            <w:tcBorders>
              <w:top w:val="nil"/>
              <w:left w:val="single" w:color="000000" w:sz="6" w:space="0"/>
              <w:bottom w:val="nil"/>
              <w:right w:val="single" w:color="000000" w:sz="2" w:space="0"/>
            </w:tcBorders>
            <w:vAlign w:val="top"/>
          </w:tcPr>
          <w:p w14:paraId="4B516206">
            <w:pPr>
              <w:rPr>
                <w:rFonts w:ascii="Arial"/>
                <w:sz w:val="21"/>
              </w:rPr>
            </w:pPr>
          </w:p>
        </w:tc>
        <w:tc>
          <w:tcPr>
            <w:tcW w:w="609" w:type="dxa"/>
            <w:tcBorders>
              <w:left w:val="single" w:color="000000" w:sz="2" w:space="0"/>
            </w:tcBorders>
            <w:vAlign w:val="top"/>
          </w:tcPr>
          <w:p w14:paraId="5AE5A175">
            <w:pPr>
              <w:spacing w:line="407" w:lineRule="auto"/>
              <w:rPr>
                <w:rFonts w:ascii="Arial"/>
                <w:sz w:val="21"/>
              </w:rPr>
            </w:pPr>
          </w:p>
          <w:p w14:paraId="09625A7D">
            <w:pPr>
              <w:pStyle w:val="6"/>
              <w:spacing w:before="65" w:line="256" w:lineRule="auto"/>
              <w:ind w:left="147" w:right="48"/>
              <w:rPr>
                <w:sz w:val="20"/>
                <w:szCs w:val="20"/>
              </w:rPr>
            </w:pPr>
            <w:r>
              <w:rPr>
                <w:spacing w:val="3"/>
                <w:sz w:val="20"/>
                <w:szCs w:val="20"/>
              </w:rPr>
              <w:t>泄漏</w:t>
            </w:r>
            <w:r>
              <w:rPr>
                <w:spacing w:val="2"/>
                <w:sz w:val="20"/>
                <w:szCs w:val="20"/>
              </w:rPr>
              <w:t>处理</w:t>
            </w:r>
          </w:p>
        </w:tc>
        <w:tc>
          <w:tcPr>
            <w:tcW w:w="7797" w:type="dxa"/>
            <w:gridSpan w:val="9"/>
            <w:tcBorders>
              <w:right w:val="single" w:color="000000" w:sz="6" w:space="0"/>
            </w:tcBorders>
            <w:vAlign w:val="top"/>
          </w:tcPr>
          <w:p w14:paraId="1F106985">
            <w:pPr>
              <w:pStyle w:val="6"/>
              <w:spacing w:before="67" w:line="248" w:lineRule="auto"/>
              <w:ind w:left="5" w:right="102"/>
              <w:jc w:val="both"/>
              <w:rPr>
                <w:sz w:val="20"/>
                <w:szCs w:val="20"/>
              </w:rPr>
            </w:pPr>
            <w:r>
              <w:rPr>
                <w:spacing w:val="7"/>
                <w:sz w:val="20"/>
                <w:szCs w:val="20"/>
              </w:rPr>
              <w:t>迅速撤离泄漏污染区人员至上风处，并隔离直至气体散尽，切断火源。建议应急处理</w:t>
            </w:r>
            <w:r>
              <w:rPr>
                <w:spacing w:val="2"/>
                <w:sz w:val="20"/>
                <w:szCs w:val="20"/>
              </w:rPr>
              <w:t>人员戴自给式呼吸器，穿一般消防防护服。切断气源，喷雾状水稀释、溶解，抽排（室</w:t>
            </w:r>
            <w:r>
              <w:rPr>
                <w:spacing w:val="7"/>
                <w:sz w:val="20"/>
                <w:szCs w:val="20"/>
              </w:rPr>
              <w:t>内）或强力通风（室外）。如有可能，将漏出气用排风机送至空旷地方或装设适当喷头烧掉。也可以将漏气的容器移至空旷处，注意通风。漏气容器不能再用，且要经过</w:t>
            </w:r>
            <w:r>
              <w:rPr>
                <w:spacing w:val="8"/>
                <w:sz w:val="20"/>
                <w:szCs w:val="20"/>
              </w:rPr>
              <w:t>技术处理以清除可能剩下的气体。</w:t>
            </w:r>
          </w:p>
        </w:tc>
      </w:tr>
      <w:tr w14:paraId="04D70B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7" w:hRule="atLeast"/>
        </w:trPr>
        <w:tc>
          <w:tcPr>
            <w:tcW w:w="495" w:type="dxa"/>
            <w:vMerge w:val="continue"/>
            <w:tcBorders>
              <w:top w:val="nil"/>
              <w:left w:val="single" w:color="000000" w:sz="6" w:space="0"/>
              <w:bottom w:val="nil"/>
              <w:right w:val="single" w:color="000000" w:sz="2" w:space="0"/>
            </w:tcBorders>
            <w:vAlign w:val="top"/>
          </w:tcPr>
          <w:p w14:paraId="346D1D40">
            <w:pPr>
              <w:rPr>
                <w:rFonts w:ascii="Arial"/>
                <w:sz w:val="21"/>
              </w:rPr>
            </w:pPr>
          </w:p>
        </w:tc>
        <w:tc>
          <w:tcPr>
            <w:tcW w:w="609" w:type="dxa"/>
            <w:tcBorders>
              <w:left w:val="single" w:color="000000" w:sz="2" w:space="0"/>
            </w:tcBorders>
            <w:vAlign w:val="top"/>
          </w:tcPr>
          <w:p w14:paraId="54AA18DE">
            <w:pPr>
              <w:spacing w:line="326" w:lineRule="auto"/>
              <w:rPr>
                <w:rFonts w:ascii="Arial"/>
                <w:sz w:val="21"/>
              </w:rPr>
            </w:pPr>
          </w:p>
          <w:p w14:paraId="7CE91473">
            <w:pPr>
              <w:spacing w:line="326" w:lineRule="auto"/>
              <w:rPr>
                <w:rFonts w:ascii="Arial"/>
                <w:sz w:val="21"/>
              </w:rPr>
            </w:pPr>
          </w:p>
          <w:p w14:paraId="64016726">
            <w:pPr>
              <w:pStyle w:val="6"/>
              <w:spacing w:before="65" w:line="228" w:lineRule="auto"/>
              <w:ind w:left="142"/>
              <w:rPr>
                <w:sz w:val="20"/>
                <w:szCs w:val="20"/>
              </w:rPr>
            </w:pPr>
            <w:r>
              <w:rPr>
                <w:spacing w:val="5"/>
                <w:sz w:val="20"/>
                <w:szCs w:val="20"/>
              </w:rPr>
              <w:t>储运</w:t>
            </w:r>
          </w:p>
        </w:tc>
        <w:tc>
          <w:tcPr>
            <w:tcW w:w="7797" w:type="dxa"/>
            <w:gridSpan w:val="9"/>
            <w:tcBorders>
              <w:right w:val="single" w:color="000000" w:sz="6" w:space="0"/>
            </w:tcBorders>
            <w:vAlign w:val="top"/>
          </w:tcPr>
          <w:p w14:paraId="28BF420F">
            <w:pPr>
              <w:pStyle w:val="6"/>
              <w:spacing w:before="40" w:line="244" w:lineRule="auto"/>
              <w:ind w:left="5" w:right="102" w:firstLine="13"/>
              <w:rPr>
                <w:sz w:val="20"/>
                <w:szCs w:val="20"/>
              </w:rPr>
            </w:pPr>
            <w:r>
              <w:rPr>
                <w:spacing w:val="10"/>
                <w:sz w:val="20"/>
                <w:szCs w:val="20"/>
              </w:rPr>
              <w:t>易燃压缩气体。储存于阴凉、通风仓间内。仓温不宜超过</w:t>
            </w:r>
            <w:r>
              <w:rPr>
                <w:spacing w:val="-36"/>
                <w:sz w:val="20"/>
                <w:szCs w:val="20"/>
              </w:rPr>
              <w:t xml:space="preserve"> </w:t>
            </w:r>
            <w:r>
              <w:rPr>
                <w:rFonts w:ascii="Times New Roman" w:hAnsi="Times New Roman" w:eastAsia="Times New Roman" w:cs="Times New Roman"/>
                <w:spacing w:val="10"/>
                <w:sz w:val="20"/>
                <w:szCs w:val="20"/>
              </w:rPr>
              <w:t>30</w:t>
            </w:r>
            <w:r>
              <w:rPr>
                <w:rFonts w:ascii="Times New Roman" w:hAnsi="Times New Roman" w:eastAsia="Times New Roman" w:cs="Times New Roman"/>
                <w:spacing w:val="9"/>
                <w:sz w:val="20"/>
                <w:szCs w:val="20"/>
              </w:rPr>
              <w:t>℃</w:t>
            </w:r>
            <w:r>
              <w:rPr>
                <w:rFonts w:ascii="Times New Roman" w:hAnsi="Times New Roman" w:eastAsia="Times New Roman" w:cs="Times New Roman"/>
                <w:spacing w:val="-17"/>
                <w:sz w:val="20"/>
                <w:szCs w:val="20"/>
              </w:rPr>
              <w:t xml:space="preserve"> </w:t>
            </w:r>
            <w:r>
              <w:rPr>
                <w:spacing w:val="9"/>
                <w:sz w:val="20"/>
                <w:szCs w:val="20"/>
              </w:rPr>
              <w:t>。远离火种、热源。</w:t>
            </w:r>
            <w:r>
              <w:rPr>
                <w:spacing w:val="7"/>
                <w:sz w:val="20"/>
                <w:szCs w:val="20"/>
              </w:rPr>
              <w:t>防止阳光直射。应与氧气、压缩空气、卤素（氟、氯、溴）等分开存放。切忌混储混运。储存间内的照明、通风等设施应采用防爆型，开关设在仓外。配备相应品种和数量的消防器材。罐储时要有防火防爆技术措施。露天贮罐夏季要有降温措施。禁止使用易产生火花的机械设备和工具。验收时要注意品名，注意验瓶日期，先进仓的先发</w:t>
            </w:r>
            <w:r>
              <w:rPr>
                <w:spacing w:val="9"/>
                <w:sz w:val="20"/>
                <w:szCs w:val="20"/>
              </w:rPr>
              <w:t>用。搬运时轻装轻卸，防止钢瓶及附件破损。</w:t>
            </w:r>
          </w:p>
        </w:tc>
      </w:tr>
      <w:tr w14:paraId="62A0AB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495" w:type="dxa"/>
            <w:vMerge w:val="continue"/>
            <w:tcBorders>
              <w:top w:val="nil"/>
              <w:left w:val="single" w:color="000000" w:sz="6" w:space="0"/>
              <w:bottom w:val="nil"/>
              <w:right w:val="single" w:color="000000" w:sz="2" w:space="0"/>
            </w:tcBorders>
            <w:vAlign w:val="top"/>
          </w:tcPr>
          <w:p w14:paraId="300CC0A0">
            <w:pPr>
              <w:rPr>
                <w:rFonts w:ascii="Arial"/>
                <w:sz w:val="21"/>
              </w:rPr>
            </w:pPr>
          </w:p>
        </w:tc>
        <w:tc>
          <w:tcPr>
            <w:tcW w:w="609" w:type="dxa"/>
            <w:tcBorders>
              <w:left w:val="single" w:color="000000" w:sz="2" w:space="0"/>
              <w:bottom w:val="single" w:color="000000" w:sz="10" w:space="0"/>
            </w:tcBorders>
            <w:vAlign w:val="top"/>
          </w:tcPr>
          <w:p w14:paraId="4C2C886F">
            <w:pPr>
              <w:pStyle w:val="6"/>
              <w:spacing w:before="142" w:line="228" w:lineRule="auto"/>
              <w:ind w:left="108"/>
              <w:rPr>
                <w:sz w:val="20"/>
                <w:szCs w:val="20"/>
              </w:rPr>
            </w:pPr>
            <w:r>
              <w:rPr>
                <w:spacing w:val="4"/>
                <w:sz w:val="20"/>
                <w:szCs w:val="20"/>
              </w:rPr>
              <w:t>其他</w:t>
            </w:r>
          </w:p>
        </w:tc>
        <w:tc>
          <w:tcPr>
            <w:tcW w:w="7797" w:type="dxa"/>
            <w:gridSpan w:val="9"/>
            <w:tcBorders>
              <w:bottom w:val="single" w:color="000000" w:sz="10" w:space="0"/>
              <w:right w:val="single" w:color="000000" w:sz="6" w:space="0"/>
            </w:tcBorders>
            <w:vAlign w:val="top"/>
          </w:tcPr>
          <w:p w14:paraId="5D84281B">
            <w:pPr>
              <w:pStyle w:val="6"/>
              <w:spacing w:before="142" w:line="228" w:lineRule="auto"/>
              <w:ind w:left="7"/>
              <w:rPr>
                <w:sz w:val="20"/>
                <w:szCs w:val="20"/>
              </w:rPr>
            </w:pPr>
            <w:r>
              <w:rPr>
                <w:spacing w:val="9"/>
                <w:sz w:val="20"/>
                <w:szCs w:val="20"/>
              </w:rPr>
              <w:t>工作现场严禁吸烟。避免长期反复接触。进入罐或其它高浓度区作业，须有人监护。</w:t>
            </w:r>
          </w:p>
        </w:tc>
      </w:tr>
      <w:tr w14:paraId="00589B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495" w:type="dxa"/>
            <w:vMerge w:val="continue"/>
            <w:tcBorders>
              <w:top w:val="nil"/>
              <w:left w:val="single" w:color="000000" w:sz="6" w:space="0"/>
              <w:bottom w:val="nil"/>
              <w:right w:val="single" w:color="000000" w:sz="2" w:space="0"/>
            </w:tcBorders>
            <w:vAlign w:val="top"/>
          </w:tcPr>
          <w:p w14:paraId="210A3EC8">
            <w:pPr>
              <w:rPr>
                <w:rFonts w:ascii="Arial"/>
                <w:sz w:val="21"/>
              </w:rPr>
            </w:pPr>
          </w:p>
        </w:tc>
        <w:tc>
          <w:tcPr>
            <w:tcW w:w="8406" w:type="dxa"/>
            <w:gridSpan w:val="10"/>
            <w:tcBorders>
              <w:top w:val="single" w:color="000000" w:sz="10" w:space="0"/>
              <w:left w:val="single" w:color="000000" w:sz="2" w:space="0"/>
              <w:bottom w:val="single" w:color="000000" w:sz="10" w:space="0"/>
              <w:right w:val="single" w:color="000000" w:sz="6" w:space="0"/>
            </w:tcBorders>
            <w:vAlign w:val="top"/>
          </w:tcPr>
          <w:p w14:paraId="423A2D8F">
            <w:pPr>
              <w:spacing w:before="40" w:line="204" w:lineRule="auto"/>
              <w:ind w:left="2937"/>
              <w:rPr>
                <w:rFonts w:ascii="黑体" w:hAnsi="黑体" w:eastAsia="黑体" w:cs="黑体"/>
                <w:sz w:val="24"/>
                <w:szCs w:val="24"/>
              </w:rPr>
            </w:pPr>
            <w:r>
              <w:rPr>
                <w:rFonts w:ascii="黑体" w:hAnsi="黑体" w:eastAsia="黑体" w:cs="黑体"/>
                <w:spacing w:val="-4"/>
                <w:sz w:val="24"/>
                <w:szCs w:val="24"/>
              </w:rPr>
              <w:t>表</w:t>
            </w:r>
            <w:r>
              <w:rPr>
                <w:rFonts w:ascii="黑体" w:hAnsi="黑体" w:eastAsia="黑体" w:cs="黑体"/>
                <w:spacing w:val="-47"/>
                <w:sz w:val="24"/>
                <w:szCs w:val="24"/>
              </w:rPr>
              <w:t xml:space="preserve"> </w:t>
            </w:r>
            <w:r>
              <w:rPr>
                <w:rFonts w:ascii="Times New Roman" w:hAnsi="Times New Roman" w:eastAsia="Times New Roman" w:cs="Times New Roman"/>
                <w:spacing w:val="-4"/>
                <w:sz w:val="24"/>
                <w:szCs w:val="24"/>
              </w:rPr>
              <w:t>4-</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4"/>
                <w:sz w:val="24"/>
                <w:szCs w:val="24"/>
              </w:rPr>
              <w:t xml:space="preserve">16  </w:t>
            </w:r>
            <w:r>
              <w:rPr>
                <w:rFonts w:ascii="黑体" w:hAnsi="黑体" w:eastAsia="黑体" w:cs="黑体"/>
                <w:spacing w:val="-4"/>
                <w:sz w:val="24"/>
                <w:szCs w:val="24"/>
              </w:rPr>
              <w:t>氢氧化钠特性表</w:t>
            </w:r>
          </w:p>
        </w:tc>
      </w:tr>
      <w:tr w14:paraId="6DB732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495" w:type="dxa"/>
            <w:vMerge w:val="continue"/>
            <w:tcBorders>
              <w:top w:val="nil"/>
              <w:left w:val="single" w:color="000000" w:sz="6" w:space="0"/>
              <w:bottom w:val="single" w:color="000000" w:sz="6" w:space="0"/>
              <w:right w:val="single" w:color="000000" w:sz="2" w:space="0"/>
            </w:tcBorders>
            <w:vAlign w:val="top"/>
          </w:tcPr>
          <w:p w14:paraId="5EDE2AEF">
            <w:pPr>
              <w:rPr>
                <w:rFonts w:ascii="Arial"/>
                <w:sz w:val="21"/>
              </w:rPr>
            </w:pPr>
          </w:p>
        </w:tc>
        <w:tc>
          <w:tcPr>
            <w:tcW w:w="713" w:type="dxa"/>
            <w:gridSpan w:val="2"/>
            <w:tcBorders>
              <w:top w:val="single" w:color="000000" w:sz="10" w:space="0"/>
              <w:left w:val="single" w:color="000000" w:sz="2" w:space="0"/>
              <w:bottom w:val="single" w:color="000000" w:sz="6" w:space="0"/>
            </w:tcBorders>
            <w:vAlign w:val="top"/>
          </w:tcPr>
          <w:p w14:paraId="0A6A8D69">
            <w:pPr>
              <w:pStyle w:val="6"/>
              <w:spacing w:before="36" w:line="216" w:lineRule="auto"/>
              <w:ind w:left="305"/>
              <w:rPr>
                <w:sz w:val="20"/>
                <w:szCs w:val="20"/>
              </w:rPr>
            </w:pPr>
            <w:r>
              <w:rPr>
                <w:sz w:val="20"/>
                <w:szCs w:val="20"/>
              </w:rPr>
              <w:t>标</w:t>
            </w:r>
          </w:p>
        </w:tc>
        <w:tc>
          <w:tcPr>
            <w:tcW w:w="3704" w:type="dxa"/>
            <w:gridSpan w:val="5"/>
            <w:tcBorders>
              <w:top w:val="single" w:color="000000" w:sz="10" w:space="0"/>
              <w:bottom w:val="single" w:color="000000" w:sz="6" w:space="0"/>
            </w:tcBorders>
            <w:vAlign w:val="top"/>
          </w:tcPr>
          <w:p w14:paraId="3AFE8E8D">
            <w:pPr>
              <w:pStyle w:val="6"/>
              <w:spacing w:before="36" w:line="216" w:lineRule="auto"/>
              <w:ind w:left="124"/>
              <w:rPr>
                <w:sz w:val="20"/>
                <w:szCs w:val="20"/>
              </w:rPr>
            </w:pPr>
            <w:r>
              <w:rPr>
                <w:spacing w:val="6"/>
                <w:sz w:val="20"/>
                <w:szCs w:val="20"/>
              </w:rPr>
              <w:t>中文名：氢氧化钠</w:t>
            </w:r>
          </w:p>
        </w:tc>
        <w:tc>
          <w:tcPr>
            <w:tcW w:w="3989" w:type="dxa"/>
            <w:gridSpan w:val="3"/>
            <w:tcBorders>
              <w:top w:val="single" w:color="000000" w:sz="10" w:space="0"/>
              <w:bottom w:val="single" w:color="000000" w:sz="6" w:space="0"/>
              <w:right w:val="single" w:color="000000" w:sz="6" w:space="0"/>
            </w:tcBorders>
            <w:vAlign w:val="top"/>
          </w:tcPr>
          <w:p w14:paraId="5BDB0A5A">
            <w:pPr>
              <w:pStyle w:val="6"/>
              <w:spacing w:before="36" w:line="216" w:lineRule="auto"/>
              <w:ind w:left="112"/>
              <w:rPr>
                <w:rFonts w:ascii="Times New Roman" w:hAnsi="Times New Roman" w:eastAsia="Times New Roman" w:cs="Times New Roman"/>
                <w:sz w:val="20"/>
                <w:szCs w:val="20"/>
              </w:rPr>
            </w:pPr>
            <w:r>
              <w:rPr>
                <w:spacing w:val="19"/>
                <w:sz w:val="20"/>
                <w:szCs w:val="20"/>
              </w:rPr>
              <w:t>英文名：</w:t>
            </w:r>
            <w:r>
              <w:rPr>
                <w:rFonts w:ascii="Times New Roman" w:hAnsi="Times New Roman" w:eastAsia="Times New Roman" w:cs="Times New Roman"/>
                <w:sz w:val="20"/>
                <w:szCs w:val="20"/>
              </w:rPr>
              <w:t>sodiun</w:t>
            </w:r>
            <w:r>
              <w:rPr>
                <w:rFonts w:ascii="Times New Roman" w:hAnsi="Times New Roman" w:eastAsia="Times New Roman" w:cs="Times New Roman"/>
                <w:spacing w:val="19"/>
                <w:sz w:val="20"/>
                <w:szCs w:val="20"/>
              </w:rPr>
              <w:t xml:space="preserve"> </w:t>
            </w:r>
            <w:r>
              <w:rPr>
                <w:rFonts w:ascii="Times New Roman" w:hAnsi="Times New Roman" w:eastAsia="Times New Roman" w:cs="Times New Roman"/>
                <w:sz w:val="20"/>
                <w:szCs w:val="20"/>
              </w:rPr>
              <w:t>hydroxide</w:t>
            </w:r>
          </w:p>
        </w:tc>
      </w:tr>
    </w:tbl>
    <w:p w14:paraId="77CE6338">
      <w:pPr>
        <w:spacing w:line="219" w:lineRule="exact"/>
        <w:rPr>
          <w:rFonts w:ascii="Arial"/>
          <w:sz w:val="19"/>
        </w:rPr>
      </w:pPr>
    </w:p>
    <w:p w14:paraId="1B9DF6FB">
      <w:pPr>
        <w:spacing w:line="219" w:lineRule="exact"/>
        <w:rPr>
          <w:rFonts w:ascii="Arial" w:hAnsi="Arial" w:eastAsia="Arial" w:cs="Arial"/>
          <w:sz w:val="19"/>
          <w:szCs w:val="19"/>
        </w:rPr>
        <w:sectPr>
          <w:footerReference r:id="rId82" w:type="default"/>
          <w:pgSz w:w="11906" w:h="16839"/>
          <w:pgMar w:top="400" w:right="1410" w:bottom="1240" w:left="1579" w:header="0" w:footer="1078" w:gutter="0"/>
          <w:cols w:space="720" w:num="1"/>
        </w:sectPr>
      </w:pPr>
    </w:p>
    <w:p w14:paraId="3A2B55F2">
      <w:pPr>
        <w:spacing w:before="56"/>
      </w:pPr>
    </w:p>
    <w:p w14:paraId="4350B31C">
      <w:pPr>
        <w:spacing w:before="56"/>
      </w:pPr>
    </w:p>
    <w:p w14:paraId="4588067B">
      <w:pPr>
        <w:spacing w:before="55"/>
      </w:pPr>
    </w:p>
    <w:p w14:paraId="291BE47F">
      <w:pPr>
        <w:spacing w:before="55"/>
      </w:pPr>
    </w:p>
    <w:tbl>
      <w:tblPr>
        <w:tblStyle w:val="5"/>
        <w:tblW w:w="8901"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5"/>
        <w:gridCol w:w="713"/>
        <w:gridCol w:w="3705"/>
        <w:gridCol w:w="1515"/>
        <w:gridCol w:w="2473"/>
      </w:tblGrid>
      <w:tr w14:paraId="7C9F01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495" w:type="dxa"/>
            <w:vMerge w:val="restart"/>
            <w:tcBorders>
              <w:top w:val="single" w:color="000000" w:sz="6" w:space="0"/>
              <w:left w:val="single" w:color="000000" w:sz="6" w:space="0"/>
              <w:bottom w:val="nil"/>
              <w:right w:val="single" w:color="000000" w:sz="2" w:space="0"/>
            </w:tcBorders>
            <w:vAlign w:val="top"/>
          </w:tcPr>
          <w:p w14:paraId="1258962B">
            <w:pPr>
              <w:rPr>
                <w:rFonts w:ascii="Arial"/>
                <w:sz w:val="21"/>
              </w:rPr>
            </w:pPr>
          </w:p>
        </w:tc>
        <w:tc>
          <w:tcPr>
            <w:tcW w:w="713" w:type="dxa"/>
            <w:vMerge w:val="restart"/>
            <w:tcBorders>
              <w:top w:val="single" w:color="000000" w:sz="6" w:space="0"/>
              <w:left w:val="single" w:color="000000" w:sz="2" w:space="0"/>
              <w:bottom w:val="nil"/>
            </w:tcBorders>
            <w:vAlign w:val="top"/>
          </w:tcPr>
          <w:p w14:paraId="20F8A832">
            <w:pPr>
              <w:pStyle w:val="6"/>
              <w:spacing w:before="66" w:line="232" w:lineRule="auto"/>
              <w:ind w:left="306"/>
              <w:rPr>
                <w:sz w:val="20"/>
                <w:szCs w:val="20"/>
              </w:rPr>
            </w:pPr>
            <w:r>
              <w:rPr>
                <w:sz w:val="20"/>
                <w:szCs w:val="20"/>
              </w:rPr>
              <w:t>识</w:t>
            </w:r>
          </w:p>
        </w:tc>
        <w:tc>
          <w:tcPr>
            <w:tcW w:w="3705" w:type="dxa"/>
            <w:tcBorders>
              <w:top w:val="single" w:color="000000" w:sz="6" w:space="0"/>
            </w:tcBorders>
            <w:vAlign w:val="top"/>
          </w:tcPr>
          <w:p w14:paraId="2E47BB5F">
            <w:pPr>
              <w:pStyle w:val="6"/>
              <w:spacing w:before="66" w:line="219" w:lineRule="auto"/>
              <w:ind w:left="107"/>
              <w:rPr>
                <w:sz w:val="20"/>
                <w:szCs w:val="20"/>
              </w:rPr>
            </w:pPr>
            <w:r>
              <w:rPr>
                <w:spacing w:val="7"/>
                <w:sz w:val="20"/>
                <w:szCs w:val="20"/>
              </w:rPr>
              <w:t>别名：烧碱</w:t>
            </w:r>
          </w:p>
        </w:tc>
        <w:tc>
          <w:tcPr>
            <w:tcW w:w="3988" w:type="dxa"/>
            <w:gridSpan w:val="2"/>
            <w:tcBorders>
              <w:top w:val="single" w:color="000000" w:sz="6" w:space="0"/>
              <w:right w:val="single" w:color="000000" w:sz="6" w:space="0"/>
            </w:tcBorders>
            <w:vAlign w:val="top"/>
          </w:tcPr>
          <w:p w14:paraId="00EC87E3">
            <w:pPr>
              <w:spacing w:before="84" w:line="199" w:lineRule="auto"/>
              <w:ind w:left="1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Caustic</w:t>
            </w:r>
            <w:r>
              <w:rPr>
                <w:rFonts w:ascii="Times New Roman" w:hAnsi="Times New Roman" w:eastAsia="Times New Roman" w:cs="Times New Roman"/>
                <w:spacing w:val="19"/>
                <w:w w:val="101"/>
                <w:sz w:val="20"/>
                <w:szCs w:val="20"/>
              </w:rPr>
              <w:t xml:space="preserve"> </w:t>
            </w:r>
            <w:r>
              <w:rPr>
                <w:rFonts w:ascii="Times New Roman" w:hAnsi="Times New Roman" w:eastAsia="Times New Roman" w:cs="Times New Roman"/>
                <w:spacing w:val="2"/>
                <w:sz w:val="20"/>
                <w:szCs w:val="20"/>
              </w:rPr>
              <w:t>soda</w:t>
            </w:r>
          </w:p>
        </w:tc>
      </w:tr>
      <w:tr w14:paraId="5ED1B6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495" w:type="dxa"/>
            <w:vMerge w:val="continue"/>
            <w:tcBorders>
              <w:top w:val="nil"/>
              <w:left w:val="single" w:color="000000" w:sz="6" w:space="0"/>
              <w:bottom w:val="nil"/>
              <w:right w:val="single" w:color="000000" w:sz="2" w:space="0"/>
            </w:tcBorders>
            <w:vAlign w:val="top"/>
          </w:tcPr>
          <w:p w14:paraId="2785CDA9">
            <w:pPr>
              <w:rPr>
                <w:rFonts w:ascii="Arial"/>
                <w:sz w:val="21"/>
              </w:rPr>
            </w:pPr>
          </w:p>
        </w:tc>
        <w:tc>
          <w:tcPr>
            <w:tcW w:w="713" w:type="dxa"/>
            <w:vMerge w:val="continue"/>
            <w:tcBorders>
              <w:top w:val="nil"/>
              <w:left w:val="single" w:color="000000" w:sz="2" w:space="0"/>
              <w:bottom w:val="nil"/>
            </w:tcBorders>
            <w:vAlign w:val="top"/>
          </w:tcPr>
          <w:p w14:paraId="6934F7E1">
            <w:pPr>
              <w:rPr>
                <w:rFonts w:ascii="Arial"/>
                <w:sz w:val="21"/>
              </w:rPr>
            </w:pPr>
          </w:p>
        </w:tc>
        <w:tc>
          <w:tcPr>
            <w:tcW w:w="3705" w:type="dxa"/>
            <w:vAlign w:val="top"/>
          </w:tcPr>
          <w:p w14:paraId="1A2741EC">
            <w:pPr>
              <w:pStyle w:val="6"/>
              <w:spacing w:before="47" w:line="228" w:lineRule="auto"/>
              <w:ind w:left="107"/>
              <w:rPr>
                <w:rFonts w:ascii="Times New Roman" w:hAnsi="Times New Roman" w:eastAsia="Times New Roman" w:cs="Times New Roman"/>
                <w:sz w:val="20"/>
                <w:szCs w:val="20"/>
              </w:rPr>
            </w:pPr>
            <w:r>
              <w:rPr>
                <w:spacing w:val="13"/>
                <w:sz w:val="20"/>
                <w:szCs w:val="20"/>
              </w:rPr>
              <w:t>分子式：</w:t>
            </w:r>
            <w:r>
              <w:rPr>
                <w:rFonts w:ascii="Times New Roman" w:hAnsi="Times New Roman" w:eastAsia="Times New Roman" w:cs="Times New Roman"/>
                <w:sz w:val="20"/>
                <w:szCs w:val="20"/>
              </w:rPr>
              <w:t>NaOH</w:t>
            </w:r>
          </w:p>
        </w:tc>
        <w:tc>
          <w:tcPr>
            <w:tcW w:w="1515" w:type="dxa"/>
            <w:vAlign w:val="top"/>
          </w:tcPr>
          <w:p w14:paraId="4FE66778">
            <w:pPr>
              <w:pStyle w:val="6"/>
              <w:spacing w:before="47" w:line="228" w:lineRule="auto"/>
              <w:ind w:left="112"/>
              <w:rPr>
                <w:rFonts w:ascii="Times New Roman" w:hAnsi="Times New Roman" w:eastAsia="Times New Roman" w:cs="Times New Roman"/>
                <w:sz w:val="20"/>
                <w:szCs w:val="20"/>
              </w:rPr>
            </w:pPr>
            <w:r>
              <w:rPr>
                <w:spacing w:val="4"/>
                <w:sz w:val="20"/>
                <w:szCs w:val="20"/>
              </w:rPr>
              <w:t>分子量：</w:t>
            </w:r>
            <w:r>
              <w:rPr>
                <w:rFonts w:ascii="Times New Roman" w:hAnsi="Times New Roman" w:eastAsia="Times New Roman" w:cs="Times New Roman"/>
                <w:spacing w:val="4"/>
                <w:sz w:val="20"/>
                <w:szCs w:val="20"/>
              </w:rPr>
              <w:t>40.01</w:t>
            </w:r>
          </w:p>
        </w:tc>
        <w:tc>
          <w:tcPr>
            <w:tcW w:w="2473" w:type="dxa"/>
            <w:tcBorders>
              <w:right w:val="single" w:color="000000" w:sz="6" w:space="0"/>
            </w:tcBorders>
            <w:vAlign w:val="top"/>
          </w:tcPr>
          <w:p w14:paraId="42F415DE">
            <w:pPr>
              <w:pStyle w:val="6"/>
              <w:spacing w:before="46" w:line="228" w:lineRule="auto"/>
              <w:ind w:left="107"/>
              <w:rPr>
                <w:rFonts w:ascii="Times New Roman" w:hAnsi="Times New Roman" w:eastAsia="Times New Roman" w:cs="Times New Roman"/>
                <w:sz w:val="20"/>
                <w:szCs w:val="20"/>
              </w:rPr>
            </w:pPr>
            <w:r>
              <w:rPr>
                <w:rFonts w:ascii="Times New Roman" w:hAnsi="Times New Roman" w:eastAsia="Times New Roman" w:cs="Times New Roman"/>
                <w:sz w:val="20"/>
                <w:szCs w:val="20"/>
              </w:rPr>
              <w:t>UN</w:t>
            </w:r>
            <w:r>
              <w:rPr>
                <w:rFonts w:ascii="Times New Roman" w:hAnsi="Times New Roman" w:eastAsia="Times New Roman" w:cs="Times New Roman"/>
                <w:spacing w:val="8"/>
                <w:sz w:val="20"/>
                <w:szCs w:val="20"/>
              </w:rPr>
              <w:t xml:space="preserve"> </w:t>
            </w:r>
            <w:r>
              <w:rPr>
                <w:spacing w:val="8"/>
                <w:sz w:val="20"/>
                <w:szCs w:val="20"/>
              </w:rPr>
              <w:t>编号：</w:t>
            </w:r>
            <w:r>
              <w:rPr>
                <w:rFonts w:ascii="Times New Roman" w:hAnsi="Times New Roman" w:eastAsia="Times New Roman" w:cs="Times New Roman"/>
                <w:spacing w:val="8"/>
                <w:sz w:val="20"/>
                <w:szCs w:val="20"/>
              </w:rPr>
              <w:t>1823</w:t>
            </w:r>
          </w:p>
        </w:tc>
      </w:tr>
      <w:tr w14:paraId="3ED518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495" w:type="dxa"/>
            <w:vMerge w:val="continue"/>
            <w:tcBorders>
              <w:top w:val="nil"/>
              <w:left w:val="single" w:color="000000" w:sz="6" w:space="0"/>
              <w:bottom w:val="nil"/>
              <w:right w:val="single" w:color="000000" w:sz="2" w:space="0"/>
            </w:tcBorders>
            <w:vAlign w:val="top"/>
          </w:tcPr>
          <w:p w14:paraId="6D16199B">
            <w:pPr>
              <w:rPr>
                <w:rFonts w:ascii="Arial"/>
                <w:sz w:val="21"/>
              </w:rPr>
            </w:pPr>
          </w:p>
        </w:tc>
        <w:tc>
          <w:tcPr>
            <w:tcW w:w="713" w:type="dxa"/>
            <w:vMerge w:val="continue"/>
            <w:tcBorders>
              <w:top w:val="nil"/>
              <w:left w:val="single" w:color="000000" w:sz="2" w:space="0"/>
            </w:tcBorders>
            <w:vAlign w:val="top"/>
          </w:tcPr>
          <w:p w14:paraId="7EBE63CC">
            <w:pPr>
              <w:rPr>
                <w:rFonts w:ascii="Arial"/>
                <w:sz w:val="21"/>
              </w:rPr>
            </w:pPr>
          </w:p>
        </w:tc>
        <w:tc>
          <w:tcPr>
            <w:tcW w:w="5220" w:type="dxa"/>
            <w:gridSpan w:val="2"/>
            <w:vAlign w:val="top"/>
          </w:tcPr>
          <w:p w14:paraId="5BB09070">
            <w:pPr>
              <w:pStyle w:val="6"/>
              <w:spacing w:before="49" w:line="228" w:lineRule="auto"/>
              <w:ind w:left="107"/>
              <w:rPr>
                <w:rFonts w:ascii="Times New Roman" w:hAnsi="Times New Roman" w:eastAsia="Times New Roman" w:cs="Times New Roman"/>
                <w:sz w:val="20"/>
                <w:szCs w:val="20"/>
              </w:rPr>
            </w:pPr>
            <w:r>
              <w:rPr>
                <w:spacing w:val="5"/>
                <w:sz w:val="20"/>
                <w:szCs w:val="20"/>
              </w:rPr>
              <w:t>危险类别：第</w:t>
            </w:r>
            <w:r>
              <w:rPr>
                <w:spacing w:val="-20"/>
                <w:sz w:val="20"/>
                <w:szCs w:val="20"/>
              </w:rPr>
              <w:t xml:space="preserve"> </w:t>
            </w:r>
            <w:r>
              <w:rPr>
                <w:rFonts w:ascii="Times New Roman" w:hAnsi="Times New Roman" w:eastAsia="Times New Roman" w:cs="Times New Roman"/>
                <w:spacing w:val="5"/>
                <w:sz w:val="20"/>
                <w:szCs w:val="20"/>
              </w:rPr>
              <w:t xml:space="preserve">8.2 </w:t>
            </w:r>
            <w:r>
              <w:rPr>
                <w:spacing w:val="5"/>
                <w:sz w:val="20"/>
                <w:szCs w:val="20"/>
              </w:rPr>
              <w:t>类碱性腐蚀品</w:t>
            </w:r>
            <w:r>
              <w:rPr>
                <w:spacing w:val="-33"/>
                <w:sz w:val="20"/>
                <w:szCs w:val="20"/>
              </w:rPr>
              <w:t xml:space="preserve"> </w:t>
            </w:r>
            <w:r>
              <w:rPr>
                <w:rFonts w:ascii="Times New Roman" w:hAnsi="Times New Roman" w:eastAsia="Times New Roman" w:cs="Times New Roman"/>
                <w:spacing w:val="5"/>
                <w:sz w:val="20"/>
                <w:szCs w:val="20"/>
              </w:rPr>
              <w:t>82001</w:t>
            </w:r>
          </w:p>
        </w:tc>
        <w:tc>
          <w:tcPr>
            <w:tcW w:w="2473" w:type="dxa"/>
            <w:tcBorders>
              <w:right w:val="single" w:color="000000" w:sz="6" w:space="0"/>
            </w:tcBorders>
            <w:vAlign w:val="top"/>
          </w:tcPr>
          <w:p w14:paraId="07612653">
            <w:pPr>
              <w:pStyle w:val="6"/>
              <w:spacing w:before="50" w:line="229" w:lineRule="auto"/>
              <w:ind w:left="114"/>
              <w:rPr>
                <w:rFonts w:ascii="Times New Roman" w:hAnsi="Times New Roman" w:eastAsia="Times New Roman" w:cs="Times New Roman"/>
                <w:sz w:val="20"/>
                <w:szCs w:val="20"/>
              </w:rPr>
            </w:pPr>
            <w:r>
              <w:rPr>
                <w:rFonts w:ascii="Times New Roman" w:hAnsi="Times New Roman" w:eastAsia="Times New Roman" w:cs="Times New Roman"/>
                <w:sz w:val="20"/>
                <w:szCs w:val="20"/>
              </w:rPr>
              <w:t>CAS</w:t>
            </w:r>
            <w:r>
              <w:rPr>
                <w:rFonts w:ascii="Times New Roman" w:hAnsi="Times New Roman" w:eastAsia="Times New Roman" w:cs="Times New Roman"/>
                <w:spacing w:val="17"/>
                <w:sz w:val="20"/>
                <w:szCs w:val="20"/>
              </w:rPr>
              <w:t xml:space="preserve"> </w:t>
            </w:r>
            <w:r>
              <w:rPr>
                <w:spacing w:val="5"/>
                <w:sz w:val="20"/>
                <w:szCs w:val="20"/>
              </w:rPr>
              <w:t>号：</w:t>
            </w:r>
            <w:r>
              <w:rPr>
                <w:rFonts w:ascii="Times New Roman" w:hAnsi="Times New Roman" w:eastAsia="Times New Roman" w:cs="Times New Roman"/>
                <w:spacing w:val="5"/>
                <w:sz w:val="20"/>
                <w:szCs w:val="20"/>
              </w:rPr>
              <w:t>1310-73-2</w:t>
            </w:r>
          </w:p>
        </w:tc>
      </w:tr>
      <w:tr w14:paraId="15B404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495" w:type="dxa"/>
            <w:vMerge w:val="continue"/>
            <w:tcBorders>
              <w:top w:val="nil"/>
              <w:left w:val="single" w:color="000000" w:sz="6" w:space="0"/>
              <w:bottom w:val="nil"/>
              <w:right w:val="single" w:color="000000" w:sz="2" w:space="0"/>
            </w:tcBorders>
            <w:vAlign w:val="top"/>
          </w:tcPr>
          <w:p w14:paraId="5005EA58">
            <w:pPr>
              <w:rPr>
                <w:rFonts w:ascii="Arial"/>
                <w:sz w:val="21"/>
              </w:rPr>
            </w:pPr>
          </w:p>
        </w:tc>
        <w:tc>
          <w:tcPr>
            <w:tcW w:w="713" w:type="dxa"/>
            <w:vMerge w:val="restart"/>
            <w:tcBorders>
              <w:left w:val="single" w:color="000000" w:sz="2" w:space="0"/>
              <w:bottom w:val="nil"/>
            </w:tcBorders>
            <w:textDirection w:val="tbRlV"/>
            <w:vAlign w:val="top"/>
          </w:tcPr>
          <w:p w14:paraId="065F9A98">
            <w:pPr>
              <w:pStyle w:val="6"/>
              <w:spacing w:before="199" w:line="216" w:lineRule="auto"/>
              <w:ind w:left="1227"/>
              <w:rPr>
                <w:sz w:val="20"/>
                <w:szCs w:val="20"/>
              </w:rPr>
            </w:pPr>
            <w:r>
              <w:rPr>
                <w:spacing w:val="8"/>
                <w:sz w:val="20"/>
                <w:szCs w:val="20"/>
              </w:rPr>
              <w:t>理</w:t>
            </w:r>
            <w:r>
              <w:rPr>
                <w:spacing w:val="-34"/>
                <w:sz w:val="20"/>
                <w:szCs w:val="20"/>
              </w:rPr>
              <w:t xml:space="preserve"> </w:t>
            </w:r>
            <w:r>
              <w:rPr>
                <w:spacing w:val="8"/>
                <w:sz w:val="20"/>
                <w:szCs w:val="20"/>
              </w:rPr>
              <w:t>化</w:t>
            </w:r>
            <w:r>
              <w:rPr>
                <w:spacing w:val="-37"/>
                <w:sz w:val="20"/>
                <w:szCs w:val="20"/>
              </w:rPr>
              <w:t xml:space="preserve"> </w:t>
            </w:r>
            <w:r>
              <w:rPr>
                <w:spacing w:val="8"/>
                <w:sz w:val="20"/>
                <w:szCs w:val="20"/>
              </w:rPr>
              <w:t>特</w:t>
            </w:r>
            <w:r>
              <w:rPr>
                <w:spacing w:val="-35"/>
                <w:sz w:val="20"/>
                <w:szCs w:val="20"/>
              </w:rPr>
              <w:t xml:space="preserve"> </w:t>
            </w:r>
            <w:r>
              <w:rPr>
                <w:spacing w:val="8"/>
                <w:sz w:val="20"/>
                <w:szCs w:val="20"/>
              </w:rPr>
              <w:t>性</w:t>
            </w:r>
          </w:p>
        </w:tc>
        <w:tc>
          <w:tcPr>
            <w:tcW w:w="7693" w:type="dxa"/>
            <w:gridSpan w:val="3"/>
            <w:tcBorders>
              <w:right w:val="single" w:color="000000" w:sz="6" w:space="0"/>
            </w:tcBorders>
            <w:vAlign w:val="top"/>
          </w:tcPr>
          <w:p w14:paraId="63B5BF91">
            <w:pPr>
              <w:pStyle w:val="6"/>
              <w:spacing w:before="49" w:line="228" w:lineRule="auto"/>
              <w:ind w:left="109"/>
              <w:rPr>
                <w:sz w:val="20"/>
                <w:szCs w:val="20"/>
              </w:rPr>
            </w:pPr>
            <w:r>
              <w:rPr>
                <w:spacing w:val="6"/>
                <w:sz w:val="20"/>
                <w:szCs w:val="20"/>
              </w:rPr>
              <w:t>外观与性状：</w:t>
            </w:r>
            <w:r>
              <w:rPr>
                <w:spacing w:val="-47"/>
                <w:sz w:val="20"/>
                <w:szCs w:val="20"/>
              </w:rPr>
              <w:t xml:space="preserve"> </w:t>
            </w:r>
            <w:r>
              <w:rPr>
                <w:spacing w:val="6"/>
                <w:sz w:val="20"/>
                <w:szCs w:val="20"/>
              </w:rPr>
              <w:t>白色不透明固体，易潮解</w:t>
            </w:r>
          </w:p>
        </w:tc>
      </w:tr>
      <w:tr w14:paraId="17587E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495" w:type="dxa"/>
            <w:vMerge w:val="continue"/>
            <w:tcBorders>
              <w:top w:val="nil"/>
              <w:left w:val="single" w:color="000000" w:sz="6" w:space="0"/>
              <w:bottom w:val="nil"/>
              <w:right w:val="single" w:color="000000" w:sz="2" w:space="0"/>
            </w:tcBorders>
            <w:vAlign w:val="top"/>
          </w:tcPr>
          <w:p w14:paraId="69513105">
            <w:pPr>
              <w:rPr>
                <w:rFonts w:ascii="Arial"/>
                <w:sz w:val="21"/>
              </w:rPr>
            </w:pPr>
          </w:p>
        </w:tc>
        <w:tc>
          <w:tcPr>
            <w:tcW w:w="713" w:type="dxa"/>
            <w:vMerge w:val="continue"/>
            <w:tcBorders>
              <w:top w:val="nil"/>
              <w:left w:val="single" w:color="000000" w:sz="2" w:space="0"/>
              <w:bottom w:val="nil"/>
            </w:tcBorders>
            <w:textDirection w:val="tbRlV"/>
            <w:vAlign w:val="top"/>
          </w:tcPr>
          <w:p w14:paraId="6F3206BD">
            <w:pPr>
              <w:rPr>
                <w:rFonts w:ascii="Arial"/>
                <w:sz w:val="21"/>
              </w:rPr>
            </w:pPr>
          </w:p>
        </w:tc>
        <w:tc>
          <w:tcPr>
            <w:tcW w:w="3705" w:type="dxa"/>
            <w:vAlign w:val="top"/>
          </w:tcPr>
          <w:p w14:paraId="29465256">
            <w:pPr>
              <w:pStyle w:val="6"/>
              <w:spacing w:before="49" w:line="228" w:lineRule="auto"/>
              <w:ind w:left="105"/>
              <w:rPr>
                <w:rFonts w:ascii="Times New Roman" w:hAnsi="Times New Roman" w:eastAsia="Times New Roman" w:cs="Times New Roman"/>
                <w:sz w:val="20"/>
                <w:szCs w:val="20"/>
              </w:rPr>
            </w:pPr>
            <w:r>
              <w:rPr>
                <w:spacing w:val="5"/>
                <w:sz w:val="20"/>
                <w:szCs w:val="20"/>
              </w:rPr>
              <w:t>熔点</w:t>
            </w:r>
            <w:r>
              <w:rPr>
                <w:rFonts w:ascii="Times New Roman" w:hAnsi="Times New Roman" w:eastAsia="Times New Roman" w:cs="Times New Roman"/>
                <w:spacing w:val="5"/>
                <w:sz w:val="20"/>
                <w:szCs w:val="20"/>
              </w:rPr>
              <w:t>/℃</w:t>
            </w:r>
            <w:r>
              <w:rPr>
                <w:spacing w:val="5"/>
                <w:sz w:val="20"/>
                <w:szCs w:val="20"/>
              </w:rPr>
              <w:t>：</w:t>
            </w:r>
            <w:r>
              <w:rPr>
                <w:rFonts w:ascii="Times New Roman" w:hAnsi="Times New Roman" w:eastAsia="Times New Roman" w:cs="Times New Roman"/>
                <w:spacing w:val="5"/>
                <w:sz w:val="20"/>
                <w:szCs w:val="20"/>
              </w:rPr>
              <w:t>318.4</w:t>
            </w:r>
          </w:p>
        </w:tc>
        <w:tc>
          <w:tcPr>
            <w:tcW w:w="3988" w:type="dxa"/>
            <w:gridSpan w:val="2"/>
            <w:tcBorders>
              <w:right w:val="single" w:color="000000" w:sz="6" w:space="0"/>
            </w:tcBorders>
            <w:vAlign w:val="top"/>
          </w:tcPr>
          <w:p w14:paraId="5BD88E2A">
            <w:pPr>
              <w:pStyle w:val="6"/>
              <w:spacing w:before="48" w:line="229" w:lineRule="auto"/>
              <w:ind w:left="111"/>
              <w:rPr>
                <w:rFonts w:ascii="Times New Roman" w:hAnsi="Times New Roman" w:eastAsia="Times New Roman" w:cs="Times New Roman"/>
                <w:sz w:val="20"/>
                <w:szCs w:val="20"/>
              </w:rPr>
            </w:pPr>
            <w:r>
              <w:rPr>
                <w:spacing w:val="6"/>
                <w:sz w:val="20"/>
                <w:szCs w:val="20"/>
              </w:rPr>
              <w:t>沸点</w:t>
            </w:r>
            <w:r>
              <w:rPr>
                <w:rFonts w:ascii="Times New Roman" w:hAnsi="Times New Roman" w:eastAsia="Times New Roman" w:cs="Times New Roman"/>
                <w:spacing w:val="6"/>
                <w:sz w:val="20"/>
                <w:szCs w:val="20"/>
              </w:rPr>
              <w:t>/℃</w:t>
            </w:r>
            <w:r>
              <w:rPr>
                <w:spacing w:val="6"/>
                <w:sz w:val="20"/>
                <w:szCs w:val="20"/>
              </w:rPr>
              <w:t>：</w:t>
            </w:r>
            <w:r>
              <w:rPr>
                <w:rFonts w:ascii="Times New Roman" w:hAnsi="Times New Roman" w:eastAsia="Times New Roman" w:cs="Times New Roman"/>
                <w:spacing w:val="6"/>
                <w:sz w:val="20"/>
                <w:szCs w:val="20"/>
              </w:rPr>
              <w:t>1390</w:t>
            </w:r>
          </w:p>
        </w:tc>
      </w:tr>
      <w:tr w14:paraId="28D95B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495" w:type="dxa"/>
            <w:vMerge w:val="continue"/>
            <w:tcBorders>
              <w:top w:val="nil"/>
              <w:left w:val="single" w:color="000000" w:sz="6" w:space="0"/>
              <w:bottom w:val="nil"/>
              <w:right w:val="single" w:color="000000" w:sz="2" w:space="0"/>
            </w:tcBorders>
            <w:vAlign w:val="top"/>
          </w:tcPr>
          <w:p w14:paraId="6983F067">
            <w:pPr>
              <w:rPr>
                <w:rFonts w:ascii="Arial"/>
                <w:sz w:val="21"/>
              </w:rPr>
            </w:pPr>
          </w:p>
        </w:tc>
        <w:tc>
          <w:tcPr>
            <w:tcW w:w="713" w:type="dxa"/>
            <w:vMerge w:val="continue"/>
            <w:tcBorders>
              <w:top w:val="nil"/>
              <w:left w:val="single" w:color="000000" w:sz="2" w:space="0"/>
              <w:bottom w:val="nil"/>
            </w:tcBorders>
            <w:textDirection w:val="tbRlV"/>
            <w:vAlign w:val="top"/>
          </w:tcPr>
          <w:p w14:paraId="2240A554">
            <w:pPr>
              <w:rPr>
                <w:rFonts w:ascii="Arial"/>
                <w:sz w:val="21"/>
              </w:rPr>
            </w:pPr>
          </w:p>
        </w:tc>
        <w:tc>
          <w:tcPr>
            <w:tcW w:w="3705" w:type="dxa"/>
            <w:vAlign w:val="top"/>
          </w:tcPr>
          <w:p w14:paraId="11144142">
            <w:pPr>
              <w:pStyle w:val="6"/>
              <w:spacing w:before="11" w:line="281" w:lineRule="exact"/>
              <w:ind w:left="105"/>
              <w:rPr>
                <w:rFonts w:ascii="Times New Roman" w:hAnsi="Times New Roman" w:eastAsia="Times New Roman" w:cs="Times New Roman"/>
                <w:sz w:val="20"/>
                <w:szCs w:val="20"/>
              </w:rPr>
            </w:pPr>
            <w:r>
              <w:rPr>
                <w:spacing w:val="6"/>
                <w:position w:val="1"/>
                <w:sz w:val="20"/>
                <w:szCs w:val="20"/>
              </w:rPr>
              <w:t>相对密度（水</w:t>
            </w:r>
            <w:r>
              <w:rPr>
                <w:rFonts w:ascii="Times New Roman" w:hAnsi="Times New Roman" w:eastAsia="Times New Roman" w:cs="Times New Roman"/>
                <w:spacing w:val="6"/>
                <w:position w:val="1"/>
                <w:sz w:val="20"/>
                <w:szCs w:val="20"/>
              </w:rPr>
              <w:t>=1</w:t>
            </w:r>
            <w:r>
              <w:rPr>
                <w:spacing w:val="13"/>
                <w:position w:val="1"/>
                <w:sz w:val="20"/>
                <w:szCs w:val="20"/>
              </w:rPr>
              <w:t>）：</w:t>
            </w:r>
            <w:r>
              <w:rPr>
                <w:rFonts w:ascii="Times New Roman" w:hAnsi="Times New Roman" w:eastAsia="Times New Roman" w:cs="Times New Roman"/>
                <w:spacing w:val="6"/>
                <w:position w:val="1"/>
                <w:sz w:val="20"/>
                <w:szCs w:val="20"/>
              </w:rPr>
              <w:t>2.13</w:t>
            </w:r>
          </w:p>
        </w:tc>
        <w:tc>
          <w:tcPr>
            <w:tcW w:w="3988" w:type="dxa"/>
            <w:gridSpan w:val="2"/>
            <w:tcBorders>
              <w:right w:val="single" w:color="000000" w:sz="6" w:space="0"/>
            </w:tcBorders>
            <w:vAlign w:val="top"/>
          </w:tcPr>
          <w:p w14:paraId="35671117">
            <w:pPr>
              <w:pStyle w:val="6"/>
              <w:spacing w:before="11" w:line="281" w:lineRule="exact"/>
              <w:ind w:left="110"/>
              <w:rPr>
                <w:sz w:val="20"/>
                <w:szCs w:val="20"/>
              </w:rPr>
            </w:pPr>
            <w:r>
              <w:rPr>
                <w:spacing w:val="7"/>
                <w:position w:val="1"/>
                <w:sz w:val="20"/>
                <w:szCs w:val="20"/>
              </w:rPr>
              <w:t>相对蒸气密度（空气</w:t>
            </w:r>
            <w:r>
              <w:rPr>
                <w:rFonts w:ascii="Times New Roman" w:hAnsi="Times New Roman" w:eastAsia="Times New Roman" w:cs="Times New Roman"/>
                <w:spacing w:val="7"/>
                <w:position w:val="1"/>
                <w:sz w:val="20"/>
                <w:szCs w:val="20"/>
              </w:rPr>
              <w:t>=1</w:t>
            </w:r>
            <w:r>
              <w:rPr>
                <w:spacing w:val="21"/>
                <w:position w:val="1"/>
                <w:sz w:val="20"/>
                <w:szCs w:val="20"/>
              </w:rPr>
              <w:t>）：</w:t>
            </w:r>
            <w:r>
              <w:rPr>
                <w:spacing w:val="7"/>
                <w:position w:val="1"/>
                <w:sz w:val="20"/>
                <w:szCs w:val="20"/>
              </w:rPr>
              <w:t>无资料</w:t>
            </w:r>
          </w:p>
        </w:tc>
      </w:tr>
      <w:tr w14:paraId="7D9363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495" w:type="dxa"/>
            <w:vMerge w:val="continue"/>
            <w:tcBorders>
              <w:top w:val="nil"/>
              <w:left w:val="single" w:color="000000" w:sz="6" w:space="0"/>
              <w:bottom w:val="nil"/>
              <w:right w:val="single" w:color="000000" w:sz="2" w:space="0"/>
            </w:tcBorders>
            <w:vAlign w:val="top"/>
          </w:tcPr>
          <w:p w14:paraId="3CF236C6">
            <w:pPr>
              <w:rPr>
                <w:rFonts w:ascii="Arial"/>
                <w:sz w:val="21"/>
              </w:rPr>
            </w:pPr>
          </w:p>
        </w:tc>
        <w:tc>
          <w:tcPr>
            <w:tcW w:w="713" w:type="dxa"/>
            <w:vMerge w:val="continue"/>
            <w:tcBorders>
              <w:top w:val="nil"/>
              <w:left w:val="single" w:color="000000" w:sz="2" w:space="0"/>
              <w:bottom w:val="nil"/>
            </w:tcBorders>
            <w:textDirection w:val="tbRlV"/>
            <w:vAlign w:val="top"/>
          </w:tcPr>
          <w:p w14:paraId="423E2E76">
            <w:pPr>
              <w:rPr>
                <w:rFonts w:ascii="Arial"/>
                <w:sz w:val="21"/>
              </w:rPr>
            </w:pPr>
          </w:p>
        </w:tc>
        <w:tc>
          <w:tcPr>
            <w:tcW w:w="3705" w:type="dxa"/>
            <w:vAlign w:val="top"/>
          </w:tcPr>
          <w:p w14:paraId="615FDC65">
            <w:pPr>
              <w:pStyle w:val="6"/>
              <w:spacing w:before="51" w:line="230" w:lineRule="auto"/>
              <w:ind w:left="104"/>
              <w:rPr>
                <w:sz w:val="20"/>
                <w:szCs w:val="20"/>
              </w:rPr>
            </w:pPr>
            <w:r>
              <w:rPr>
                <w:spacing w:val="7"/>
                <w:sz w:val="20"/>
                <w:szCs w:val="20"/>
              </w:rPr>
              <w:t>饱和蒸汽压</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kPa</w:t>
            </w:r>
            <w:r>
              <w:rPr>
                <w:spacing w:val="7"/>
                <w:sz w:val="20"/>
                <w:szCs w:val="20"/>
              </w:rPr>
              <w:t>：</w:t>
            </w:r>
            <w:r>
              <w:rPr>
                <w:rFonts w:ascii="Times New Roman" w:hAnsi="Times New Roman" w:eastAsia="Times New Roman" w:cs="Times New Roman"/>
                <w:spacing w:val="7"/>
                <w:sz w:val="20"/>
                <w:szCs w:val="20"/>
              </w:rPr>
              <w:t>0.13</w:t>
            </w:r>
            <w:r>
              <w:rPr>
                <w:spacing w:val="7"/>
                <w:sz w:val="20"/>
                <w:szCs w:val="20"/>
              </w:rPr>
              <w:t>（</w:t>
            </w:r>
            <w:r>
              <w:rPr>
                <w:rFonts w:ascii="Times New Roman" w:hAnsi="Times New Roman" w:eastAsia="Times New Roman" w:cs="Times New Roman"/>
                <w:spacing w:val="7"/>
                <w:sz w:val="20"/>
                <w:szCs w:val="20"/>
              </w:rPr>
              <w:t>739℃</w:t>
            </w:r>
            <w:r>
              <w:rPr>
                <w:spacing w:val="7"/>
                <w:sz w:val="20"/>
                <w:szCs w:val="20"/>
              </w:rPr>
              <w:t>)</w:t>
            </w:r>
          </w:p>
        </w:tc>
        <w:tc>
          <w:tcPr>
            <w:tcW w:w="3988" w:type="dxa"/>
            <w:gridSpan w:val="2"/>
            <w:tcBorders>
              <w:right w:val="single" w:color="000000" w:sz="6" w:space="0"/>
            </w:tcBorders>
            <w:vAlign w:val="top"/>
          </w:tcPr>
          <w:p w14:paraId="56676748">
            <w:pPr>
              <w:pStyle w:val="6"/>
              <w:spacing w:before="51" w:line="228" w:lineRule="auto"/>
              <w:ind w:left="121"/>
              <w:rPr>
                <w:rFonts w:ascii="Times New Roman" w:hAnsi="Times New Roman" w:eastAsia="Times New Roman" w:cs="Times New Roman"/>
                <w:sz w:val="20"/>
                <w:szCs w:val="20"/>
              </w:rPr>
            </w:pPr>
            <w:r>
              <w:rPr>
                <w:spacing w:val="7"/>
                <w:sz w:val="20"/>
                <w:szCs w:val="20"/>
              </w:rPr>
              <w:t>临界压力</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MPa</w:t>
            </w:r>
            <w:r>
              <w:rPr>
                <w:spacing w:val="7"/>
                <w:sz w:val="20"/>
                <w:szCs w:val="20"/>
              </w:rPr>
              <w:t>：</w:t>
            </w:r>
            <w:r>
              <w:rPr>
                <w:rFonts w:ascii="Times New Roman" w:hAnsi="Times New Roman" w:eastAsia="Times New Roman" w:cs="Times New Roman"/>
                <w:spacing w:val="7"/>
                <w:sz w:val="20"/>
                <w:szCs w:val="20"/>
              </w:rPr>
              <w:t>25</w:t>
            </w:r>
          </w:p>
        </w:tc>
      </w:tr>
      <w:tr w14:paraId="42F35A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495" w:type="dxa"/>
            <w:vMerge w:val="continue"/>
            <w:tcBorders>
              <w:top w:val="nil"/>
              <w:left w:val="single" w:color="000000" w:sz="6" w:space="0"/>
              <w:bottom w:val="nil"/>
              <w:right w:val="single" w:color="000000" w:sz="2" w:space="0"/>
            </w:tcBorders>
            <w:vAlign w:val="top"/>
          </w:tcPr>
          <w:p w14:paraId="33374809">
            <w:pPr>
              <w:rPr>
                <w:rFonts w:ascii="Arial"/>
                <w:sz w:val="21"/>
              </w:rPr>
            </w:pPr>
          </w:p>
        </w:tc>
        <w:tc>
          <w:tcPr>
            <w:tcW w:w="713" w:type="dxa"/>
            <w:vMerge w:val="continue"/>
            <w:tcBorders>
              <w:top w:val="nil"/>
              <w:left w:val="single" w:color="000000" w:sz="2" w:space="0"/>
              <w:bottom w:val="nil"/>
            </w:tcBorders>
            <w:textDirection w:val="tbRlV"/>
            <w:vAlign w:val="top"/>
          </w:tcPr>
          <w:p w14:paraId="7973AC34">
            <w:pPr>
              <w:rPr>
                <w:rFonts w:ascii="Arial"/>
                <w:sz w:val="21"/>
              </w:rPr>
            </w:pPr>
          </w:p>
        </w:tc>
        <w:tc>
          <w:tcPr>
            <w:tcW w:w="3705" w:type="dxa"/>
            <w:vAlign w:val="top"/>
          </w:tcPr>
          <w:p w14:paraId="3CF5A43F">
            <w:pPr>
              <w:pStyle w:val="6"/>
              <w:spacing w:before="52" w:line="228" w:lineRule="auto"/>
              <w:ind w:left="123"/>
              <w:rPr>
                <w:sz w:val="20"/>
                <w:szCs w:val="20"/>
              </w:rPr>
            </w:pPr>
            <w:r>
              <w:rPr>
                <w:spacing w:val="-1"/>
                <w:sz w:val="20"/>
                <w:szCs w:val="20"/>
              </w:rPr>
              <w:t>闪点</w:t>
            </w:r>
            <w:r>
              <w:rPr>
                <w:spacing w:val="25"/>
                <w:sz w:val="20"/>
                <w:szCs w:val="20"/>
              </w:rPr>
              <w:t xml:space="preserve"> </w:t>
            </w:r>
            <w:r>
              <w:rPr>
                <w:spacing w:val="-1"/>
                <w:sz w:val="20"/>
                <w:szCs w:val="20"/>
              </w:rPr>
              <w:t>(</w:t>
            </w:r>
            <w:r>
              <w:rPr>
                <w:rFonts w:ascii="Times New Roman" w:hAnsi="Times New Roman" w:eastAsia="Times New Roman" w:cs="Times New Roman"/>
                <w:spacing w:val="-1"/>
                <w:sz w:val="20"/>
                <w:szCs w:val="20"/>
              </w:rPr>
              <w:t>℃</w:t>
            </w:r>
            <w:r>
              <w:rPr>
                <w:spacing w:val="-1"/>
                <w:sz w:val="20"/>
                <w:szCs w:val="20"/>
              </w:rPr>
              <w:t>)</w:t>
            </w:r>
            <w:r>
              <w:rPr>
                <w:spacing w:val="45"/>
                <w:sz w:val="20"/>
                <w:szCs w:val="20"/>
              </w:rPr>
              <w:t xml:space="preserve"> </w:t>
            </w:r>
            <w:r>
              <w:rPr>
                <w:spacing w:val="-1"/>
                <w:sz w:val="20"/>
                <w:szCs w:val="20"/>
              </w:rPr>
              <w:t>：无意义</w:t>
            </w:r>
          </w:p>
        </w:tc>
        <w:tc>
          <w:tcPr>
            <w:tcW w:w="3988" w:type="dxa"/>
            <w:gridSpan w:val="2"/>
            <w:tcBorders>
              <w:right w:val="single" w:color="000000" w:sz="6" w:space="0"/>
            </w:tcBorders>
            <w:vAlign w:val="top"/>
          </w:tcPr>
          <w:p w14:paraId="00F35707">
            <w:pPr>
              <w:pStyle w:val="6"/>
              <w:spacing w:before="52" w:line="228" w:lineRule="auto"/>
              <w:ind w:left="121"/>
              <w:rPr>
                <w:sz w:val="20"/>
                <w:szCs w:val="20"/>
              </w:rPr>
            </w:pPr>
            <w:r>
              <w:rPr>
                <w:spacing w:val="1"/>
                <w:sz w:val="20"/>
                <w:szCs w:val="20"/>
              </w:rPr>
              <w:t>临界温度</w:t>
            </w:r>
            <w:r>
              <w:rPr>
                <w:spacing w:val="22"/>
                <w:sz w:val="20"/>
                <w:szCs w:val="20"/>
              </w:rPr>
              <w:t xml:space="preserve"> </w:t>
            </w:r>
            <w:r>
              <w:rPr>
                <w:spacing w:val="1"/>
                <w:sz w:val="20"/>
                <w:szCs w:val="20"/>
              </w:rPr>
              <w:t>(</w:t>
            </w:r>
            <w:r>
              <w:rPr>
                <w:rFonts w:ascii="Times New Roman" w:hAnsi="Times New Roman" w:eastAsia="Times New Roman" w:cs="Times New Roman"/>
                <w:spacing w:val="1"/>
                <w:sz w:val="20"/>
                <w:szCs w:val="20"/>
              </w:rPr>
              <w:t>℃</w:t>
            </w:r>
            <w:r>
              <w:rPr>
                <w:spacing w:val="1"/>
                <w:sz w:val="20"/>
                <w:szCs w:val="20"/>
              </w:rPr>
              <w:t>)</w:t>
            </w:r>
            <w:r>
              <w:rPr>
                <w:spacing w:val="44"/>
                <w:sz w:val="20"/>
                <w:szCs w:val="20"/>
              </w:rPr>
              <w:t xml:space="preserve"> </w:t>
            </w:r>
            <w:r>
              <w:rPr>
                <w:spacing w:val="1"/>
                <w:sz w:val="20"/>
                <w:szCs w:val="20"/>
              </w:rPr>
              <w:t>:</w:t>
            </w:r>
          </w:p>
        </w:tc>
      </w:tr>
      <w:tr w14:paraId="3A78E3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495" w:type="dxa"/>
            <w:vMerge w:val="continue"/>
            <w:tcBorders>
              <w:top w:val="nil"/>
              <w:left w:val="single" w:color="000000" w:sz="6" w:space="0"/>
              <w:bottom w:val="nil"/>
              <w:right w:val="single" w:color="000000" w:sz="2" w:space="0"/>
            </w:tcBorders>
            <w:vAlign w:val="top"/>
          </w:tcPr>
          <w:p w14:paraId="714B7E33">
            <w:pPr>
              <w:rPr>
                <w:rFonts w:ascii="Arial"/>
                <w:sz w:val="21"/>
              </w:rPr>
            </w:pPr>
          </w:p>
        </w:tc>
        <w:tc>
          <w:tcPr>
            <w:tcW w:w="713" w:type="dxa"/>
            <w:vMerge w:val="continue"/>
            <w:tcBorders>
              <w:top w:val="nil"/>
              <w:left w:val="single" w:color="000000" w:sz="2" w:space="0"/>
              <w:bottom w:val="nil"/>
            </w:tcBorders>
            <w:textDirection w:val="tbRlV"/>
            <w:vAlign w:val="top"/>
          </w:tcPr>
          <w:p w14:paraId="5EA95237">
            <w:pPr>
              <w:rPr>
                <w:rFonts w:ascii="Arial"/>
                <w:sz w:val="21"/>
              </w:rPr>
            </w:pPr>
          </w:p>
        </w:tc>
        <w:tc>
          <w:tcPr>
            <w:tcW w:w="3705" w:type="dxa"/>
            <w:vAlign w:val="top"/>
          </w:tcPr>
          <w:p w14:paraId="72E4610F">
            <w:pPr>
              <w:pStyle w:val="6"/>
              <w:spacing w:before="52" w:line="226" w:lineRule="auto"/>
              <w:ind w:left="105"/>
              <w:rPr>
                <w:sz w:val="20"/>
                <w:szCs w:val="20"/>
              </w:rPr>
            </w:pPr>
            <w:r>
              <w:rPr>
                <w:spacing w:val="7"/>
                <w:sz w:val="20"/>
                <w:szCs w:val="20"/>
              </w:rPr>
              <w:t>爆炸下限（</w:t>
            </w:r>
            <w:r>
              <w:rPr>
                <w:rFonts w:ascii="Times New Roman" w:hAnsi="Times New Roman" w:eastAsia="Times New Roman" w:cs="Times New Roman"/>
                <w:spacing w:val="7"/>
                <w:sz w:val="20"/>
                <w:szCs w:val="20"/>
              </w:rPr>
              <w:t>%</w:t>
            </w:r>
            <w:r>
              <w:rPr>
                <w:spacing w:val="17"/>
                <w:sz w:val="20"/>
                <w:szCs w:val="20"/>
              </w:rPr>
              <w:t>）：</w:t>
            </w:r>
            <w:r>
              <w:rPr>
                <w:spacing w:val="7"/>
                <w:sz w:val="20"/>
                <w:szCs w:val="20"/>
              </w:rPr>
              <w:t>无意义</w:t>
            </w:r>
          </w:p>
        </w:tc>
        <w:tc>
          <w:tcPr>
            <w:tcW w:w="3988" w:type="dxa"/>
            <w:gridSpan w:val="2"/>
            <w:tcBorders>
              <w:right w:val="single" w:color="000000" w:sz="6" w:space="0"/>
            </w:tcBorders>
            <w:vAlign w:val="top"/>
          </w:tcPr>
          <w:p w14:paraId="29B2E89F">
            <w:pPr>
              <w:pStyle w:val="6"/>
              <w:spacing w:before="52" w:line="226" w:lineRule="auto"/>
              <w:ind w:left="110"/>
              <w:rPr>
                <w:sz w:val="20"/>
                <w:szCs w:val="20"/>
              </w:rPr>
            </w:pPr>
            <w:r>
              <w:rPr>
                <w:spacing w:val="7"/>
                <w:sz w:val="20"/>
                <w:szCs w:val="20"/>
              </w:rPr>
              <w:t>爆炸上限（</w:t>
            </w:r>
            <w:r>
              <w:rPr>
                <w:rFonts w:ascii="Times New Roman" w:hAnsi="Times New Roman" w:eastAsia="Times New Roman" w:cs="Times New Roman"/>
                <w:spacing w:val="7"/>
                <w:sz w:val="20"/>
                <w:szCs w:val="20"/>
              </w:rPr>
              <w:t>%</w:t>
            </w:r>
            <w:r>
              <w:rPr>
                <w:spacing w:val="17"/>
                <w:sz w:val="20"/>
                <w:szCs w:val="20"/>
              </w:rPr>
              <w:t>）：</w:t>
            </w:r>
            <w:r>
              <w:rPr>
                <w:spacing w:val="7"/>
                <w:sz w:val="20"/>
                <w:szCs w:val="20"/>
              </w:rPr>
              <w:t>无意义</w:t>
            </w:r>
          </w:p>
        </w:tc>
      </w:tr>
      <w:tr w14:paraId="717DA9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495" w:type="dxa"/>
            <w:vMerge w:val="continue"/>
            <w:tcBorders>
              <w:top w:val="nil"/>
              <w:left w:val="single" w:color="000000" w:sz="6" w:space="0"/>
              <w:bottom w:val="nil"/>
              <w:right w:val="single" w:color="000000" w:sz="2" w:space="0"/>
            </w:tcBorders>
            <w:vAlign w:val="top"/>
          </w:tcPr>
          <w:p w14:paraId="579DBFD4">
            <w:pPr>
              <w:rPr>
                <w:rFonts w:ascii="Arial"/>
                <w:sz w:val="21"/>
              </w:rPr>
            </w:pPr>
          </w:p>
        </w:tc>
        <w:tc>
          <w:tcPr>
            <w:tcW w:w="713" w:type="dxa"/>
            <w:vMerge w:val="continue"/>
            <w:tcBorders>
              <w:top w:val="nil"/>
              <w:left w:val="single" w:color="000000" w:sz="2" w:space="0"/>
              <w:bottom w:val="nil"/>
            </w:tcBorders>
            <w:textDirection w:val="tbRlV"/>
            <w:vAlign w:val="top"/>
          </w:tcPr>
          <w:p w14:paraId="282F1DF4">
            <w:pPr>
              <w:rPr>
                <w:rFonts w:ascii="Arial"/>
                <w:sz w:val="21"/>
              </w:rPr>
            </w:pPr>
          </w:p>
        </w:tc>
        <w:tc>
          <w:tcPr>
            <w:tcW w:w="3705" w:type="dxa"/>
            <w:vAlign w:val="top"/>
          </w:tcPr>
          <w:p w14:paraId="6BA312FE">
            <w:pPr>
              <w:pStyle w:val="6"/>
              <w:spacing w:before="50" w:line="228" w:lineRule="auto"/>
              <w:ind w:left="110"/>
              <w:rPr>
                <w:rFonts w:ascii="Times New Roman" w:hAnsi="Times New Roman" w:eastAsia="Times New Roman" w:cs="Times New Roman"/>
                <w:sz w:val="20"/>
                <w:szCs w:val="20"/>
              </w:rPr>
            </w:pPr>
            <w:r>
              <w:rPr>
                <w:spacing w:val="6"/>
                <w:sz w:val="20"/>
                <w:szCs w:val="20"/>
              </w:rPr>
              <w:t>辛醇</w:t>
            </w:r>
            <w:r>
              <w:rPr>
                <w:rFonts w:ascii="Times New Roman" w:hAnsi="Times New Roman" w:eastAsia="Times New Roman" w:cs="Times New Roman"/>
                <w:spacing w:val="6"/>
                <w:sz w:val="20"/>
                <w:szCs w:val="20"/>
              </w:rPr>
              <w:t>/</w:t>
            </w:r>
            <w:r>
              <w:rPr>
                <w:spacing w:val="6"/>
                <w:sz w:val="20"/>
                <w:szCs w:val="20"/>
              </w:rPr>
              <w:t>水分配系数：</w:t>
            </w:r>
            <w:r>
              <w:rPr>
                <w:rFonts w:ascii="Times New Roman" w:hAnsi="Times New Roman" w:eastAsia="Times New Roman" w:cs="Times New Roman"/>
                <w:spacing w:val="6"/>
                <w:sz w:val="20"/>
                <w:szCs w:val="20"/>
              </w:rPr>
              <w:t>-3.88</w:t>
            </w:r>
          </w:p>
        </w:tc>
        <w:tc>
          <w:tcPr>
            <w:tcW w:w="3988" w:type="dxa"/>
            <w:gridSpan w:val="2"/>
            <w:tcBorders>
              <w:right w:val="single" w:color="000000" w:sz="6" w:space="0"/>
            </w:tcBorders>
            <w:vAlign w:val="top"/>
          </w:tcPr>
          <w:p w14:paraId="278809DB">
            <w:pPr>
              <w:pStyle w:val="6"/>
              <w:spacing w:before="51" w:line="227" w:lineRule="auto"/>
              <w:ind w:left="111"/>
              <w:rPr>
                <w:sz w:val="20"/>
                <w:szCs w:val="20"/>
              </w:rPr>
            </w:pPr>
            <w:r>
              <w:rPr>
                <w:spacing w:val="11"/>
                <w:sz w:val="20"/>
                <w:szCs w:val="20"/>
              </w:rPr>
              <w:t>燃烧热（</w:t>
            </w:r>
            <w:r>
              <w:rPr>
                <w:rFonts w:ascii="Times New Roman" w:hAnsi="Times New Roman" w:eastAsia="Times New Roman" w:cs="Times New Roman"/>
                <w:sz w:val="20"/>
                <w:szCs w:val="20"/>
              </w:rPr>
              <w:t>kJ</w:t>
            </w:r>
            <w:r>
              <w:rPr>
                <w:rFonts w:ascii="Times New Roman" w:hAnsi="Times New Roman" w:eastAsia="Times New Roman" w:cs="Times New Roman"/>
                <w:spacing w:val="11"/>
                <w:sz w:val="20"/>
                <w:szCs w:val="20"/>
              </w:rPr>
              <w:t>/</w:t>
            </w:r>
            <w:r>
              <w:rPr>
                <w:rFonts w:ascii="Times New Roman" w:hAnsi="Times New Roman" w:eastAsia="Times New Roman" w:cs="Times New Roman"/>
                <w:sz w:val="20"/>
                <w:szCs w:val="20"/>
              </w:rPr>
              <w:t>mol</w:t>
            </w:r>
            <w:r>
              <w:rPr>
                <w:sz w:val="20"/>
                <w:szCs w:val="20"/>
              </w:rPr>
              <w:t>）：</w:t>
            </w:r>
          </w:p>
        </w:tc>
      </w:tr>
      <w:tr w14:paraId="3A92B0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495" w:type="dxa"/>
            <w:vMerge w:val="continue"/>
            <w:tcBorders>
              <w:top w:val="nil"/>
              <w:left w:val="single" w:color="000000" w:sz="6" w:space="0"/>
              <w:bottom w:val="nil"/>
              <w:right w:val="single" w:color="000000" w:sz="2" w:space="0"/>
            </w:tcBorders>
            <w:vAlign w:val="top"/>
          </w:tcPr>
          <w:p w14:paraId="6FEBC478">
            <w:pPr>
              <w:rPr>
                <w:rFonts w:ascii="Arial"/>
                <w:sz w:val="21"/>
              </w:rPr>
            </w:pPr>
          </w:p>
        </w:tc>
        <w:tc>
          <w:tcPr>
            <w:tcW w:w="713" w:type="dxa"/>
            <w:vMerge w:val="continue"/>
            <w:tcBorders>
              <w:top w:val="nil"/>
              <w:left w:val="single" w:color="000000" w:sz="2" w:space="0"/>
              <w:bottom w:val="nil"/>
            </w:tcBorders>
            <w:textDirection w:val="tbRlV"/>
            <w:vAlign w:val="top"/>
          </w:tcPr>
          <w:p w14:paraId="5D1CE3D3">
            <w:pPr>
              <w:rPr>
                <w:rFonts w:ascii="Arial"/>
                <w:sz w:val="21"/>
              </w:rPr>
            </w:pPr>
          </w:p>
        </w:tc>
        <w:tc>
          <w:tcPr>
            <w:tcW w:w="3705" w:type="dxa"/>
            <w:vAlign w:val="top"/>
          </w:tcPr>
          <w:p w14:paraId="2F4B421B">
            <w:pPr>
              <w:pStyle w:val="6"/>
              <w:spacing w:before="53" w:line="228" w:lineRule="auto"/>
              <w:ind w:left="120"/>
              <w:rPr>
                <w:sz w:val="20"/>
                <w:szCs w:val="20"/>
              </w:rPr>
            </w:pPr>
            <w:r>
              <w:rPr>
                <w:spacing w:val="1"/>
                <w:sz w:val="20"/>
                <w:szCs w:val="20"/>
              </w:rPr>
              <w:t>引燃温度</w:t>
            </w:r>
            <w:r>
              <w:rPr>
                <w:spacing w:val="29"/>
                <w:sz w:val="20"/>
                <w:szCs w:val="20"/>
              </w:rPr>
              <w:t xml:space="preserve"> </w:t>
            </w:r>
            <w:r>
              <w:rPr>
                <w:spacing w:val="1"/>
                <w:sz w:val="20"/>
                <w:szCs w:val="20"/>
              </w:rPr>
              <w:t>(</w:t>
            </w:r>
            <w:r>
              <w:rPr>
                <w:rFonts w:ascii="Times New Roman" w:hAnsi="Times New Roman" w:eastAsia="Times New Roman" w:cs="Times New Roman"/>
                <w:spacing w:val="1"/>
                <w:sz w:val="20"/>
                <w:szCs w:val="20"/>
              </w:rPr>
              <w:t>℃</w:t>
            </w:r>
            <w:r>
              <w:rPr>
                <w:spacing w:val="1"/>
                <w:sz w:val="20"/>
                <w:szCs w:val="20"/>
              </w:rPr>
              <w:t>)</w:t>
            </w:r>
            <w:r>
              <w:rPr>
                <w:spacing w:val="44"/>
                <w:sz w:val="20"/>
                <w:szCs w:val="20"/>
              </w:rPr>
              <w:t xml:space="preserve"> </w:t>
            </w:r>
            <w:r>
              <w:rPr>
                <w:spacing w:val="1"/>
                <w:sz w:val="20"/>
                <w:szCs w:val="20"/>
              </w:rPr>
              <w:t>：无意义</w:t>
            </w:r>
          </w:p>
        </w:tc>
        <w:tc>
          <w:tcPr>
            <w:tcW w:w="3988" w:type="dxa"/>
            <w:gridSpan w:val="2"/>
            <w:tcBorders>
              <w:right w:val="single" w:color="000000" w:sz="6" w:space="0"/>
            </w:tcBorders>
            <w:vAlign w:val="top"/>
          </w:tcPr>
          <w:p w14:paraId="7AEBB49F">
            <w:pPr>
              <w:rPr>
                <w:rFonts w:ascii="Arial"/>
                <w:sz w:val="21"/>
              </w:rPr>
            </w:pPr>
          </w:p>
        </w:tc>
      </w:tr>
      <w:tr w14:paraId="43FD79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495" w:type="dxa"/>
            <w:vMerge w:val="continue"/>
            <w:tcBorders>
              <w:top w:val="nil"/>
              <w:left w:val="single" w:color="000000" w:sz="6" w:space="0"/>
              <w:bottom w:val="nil"/>
              <w:right w:val="single" w:color="000000" w:sz="2" w:space="0"/>
            </w:tcBorders>
            <w:vAlign w:val="top"/>
          </w:tcPr>
          <w:p w14:paraId="3779FC8A">
            <w:pPr>
              <w:rPr>
                <w:rFonts w:ascii="Arial"/>
                <w:sz w:val="21"/>
              </w:rPr>
            </w:pPr>
          </w:p>
        </w:tc>
        <w:tc>
          <w:tcPr>
            <w:tcW w:w="713" w:type="dxa"/>
            <w:vMerge w:val="continue"/>
            <w:tcBorders>
              <w:top w:val="nil"/>
              <w:left w:val="single" w:color="000000" w:sz="2" w:space="0"/>
              <w:bottom w:val="nil"/>
            </w:tcBorders>
            <w:textDirection w:val="tbRlV"/>
            <w:vAlign w:val="top"/>
          </w:tcPr>
          <w:p w14:paraId="2BCAD9AB">
            <w:pPr>
              <w:rPr>
                <w:rFonts w:ascii="Arial"/>
                <w:sz w:val="21"/>
              </w:rPr>
            </w:pPr>
          </w:p>
        </w:tc>
        <w:tc>
          <w:tcPr>
            <w:tcW w:w="7693" w:type="dxa"/>
            <w:gridSpan w:val="3"/>
            <w:tcBorders>
              <w:right w:val="single" w:color="000000" w:sz="6" w:space="0"/>
            </w:tcBorders>
            <w:vAlign w:val="top"/>
          </w:tcPr>
          <w:p w14:paraId="2F5BD059">
            <w:pPr>
              <w:pStyle w:val="6"/>
              <w:spacing w:before="52" w:line="228" w:lineRule="auto"/>
              <w:ind w:left="107"/>
              <w:rPr>
                <w:sz w:val="20"/>
                <w:szCs w:val="20"/>
              </w:rPr>
            </w:pPr>
            <w:r>
              <w:rPr>
                <w:spacing w:val="9"/>
                <w:sz w:val="20"/>
                <w:szCs w:val="20"/>
              </w:rPr>
              <w:t>溶解性：易溶于水、乙醇、甘油，不溶于丙酮、乙醚。</w:t>
            </w:r>
          </w:p>
        </w:tc>
      </w:tr>
      <w:tr w14:paraId="20743F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495" w:type="dxa"/>
            <w:vMerge w:val="continue"/>
            <w:tcBorders>
              <w:top w:val="nil"/>
              <w:left w:val="single" w:color="000000" w:sz="6" w:space="0"/>
              <w:bottom w:val="nil"/>
              <w:right w:val="single" w:color="000000" w:sz="2" w:space="0"/>
            </w:tcBorders>
            <w:vAlign w:val="top"/>
          </w:tcPr>
          <w:p w14:paraId="1271BD11">
            <w:pPr>
              <w:rPr>
                <w:rFonts w:ascii="Arial"/>
                <w:sz w:val="21"/>
              </w:rPr>
            </w:pPr>
          </w:p>
        </w:tc>
        <w:tc>
          <w:tcPr>
            <w:tcW w:w="713" w:type="dxa"/>
            <w:vMerge w:val="continue"/>
            <w:tcBorders>
              <w:top w:val="nil"/>
              <w:left w:val="single" w:color="000000" w:sz="2" w:space="0"/>
            </w:tcBorders>
            <w:textDirection w:val="tbRlV"/>
            <w:vAlign w:val="top"/>
          </w:tcPr>
          <w:p w14:paraId="5C24ED45">
            <w:pPr>
              <w:rPr>
                <w:rFonts w:ascii="Arial"/>
                <w:sz w:val="21"/>
              </w:rPr>
            </w:pPr>
          </w:p>
        </w:tc>
        <w:tc>
          <w:tcPr>
            <w:tcW w:w="7693" w:type="dxa"/>
            <w:gridSpan w:val="3"/>
            <w:tcBorders>
              <w:right w:val="single" w:color="000000" w:sz="6" w:space="0"/>
            </w:tcBorders>
            <w:vAlign w:val="top"/>
          </w:tcPr>
          <w:p w14:paraId="6348E118">
            <w:pPr>
              <w:pStyle w:val="6"/>
              <w:spacing w:before="32" w:line="234" w:lineRule="auto"/>
              <w:ind w:left="105" w:right="142" w:firstLine="1"/>
              <w:rPr>
                <w:sz w:val="20"/>
                <w:szCs w:val="20"/>
              </w:rPr>
            </w:pPr>
            <w:r>
              <w:rPr>
                <w:spacing w:val="6"/>
                <w:sz w:val="20"/>
                <w:szCs w:val="20"/>
              </w:rPr>
              <w:t>主要用途：广泛用作中和剂，用于制造各种钠盐、肥皂、纸浆，整理棉织品、丝、</w:t>
            </w:r>
            <w:r>
              <w:rPr>
                <w:spacing w:val="7"/>
                <w:sz w:val="20"/>
                <w:szCs w:val="20"/>
              </w:rPr>
              <w:t>粘胶纤维，橡胶制品的再生，金属清洗、</w:t>
            </w:r>
            <w:r>
              <w:rPr>
                <w:spacing w:val="-47"/>
                <w:sz w:val="20"/>
                <w:szCs w:val="20"/>
              </w:rPr>
              <w:t xml:space="preserve"> </w:t>
            </w:r>
            <w:r>
              <w:rPr>
                <w:spacing w:val="7"/>
                <w:sz w:val="20"/>
                <w:szCs w:val="20"/>
              </w:rPr>
              <w:t>电镀，漂白等。</w:t>
            </w:r>
          </w:p>
        </w:tc>
      </w:tr>
      <w:tr w14:paraId="7BC95F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3" w:hRule="atLeast"/>
        </w:trPr>
        <w:tc>
          <w:tcPr>
            <w:tcW w:w="495" w:type="dxa"/>
            <w:vMerge w:val="continue"/>
            <w:tcBorders>
              <w:top w:val="nil"/>
              <w:left w:val="single" w:color="000000" w:sz="6" w:space="0"/>
              <w:bottom w:val="nil"/>
              <w:right w:val="single" w:color="000000" w:sz="2" w:space="0"/>
            </w:tcBorders>
            <w:vAlign w:val="top"/>
          </w:tcPr>
          <w:p w14:paraId="38B3F9E7">
            <w:pPr>
              <w:rPr>
                <w:rFonts w:ascii="Arial"/>
                <w:sz w:val="21"/>
              </w:rPr>
            </w:pPr>
          </w:p>
        </w:tc>
        <w:tc>
          <w:tcPr>
            <w:tcW w:w="713" w:type="dxa"/>
            <w:tcBorders>
              <w:left w:val="single" w:color="000000" w:sz="2" w:space="0"/>
            </w:tcBorders>
            <w:vAlign w:val="top"/>
          </w:tcPr>
          <w:p w14:paraId="648D0437">
            <w:pPr>
              <w:pStyle w:val="6"/>
              <w:spacing w:before="170" w:line="228" w:lineRule="auto"/>
              <w:ind w:left="199"/>
              <w:rPr>
                <w:sz w:val="20"/>
                <w:szCs w:val="20"/>
              </w:rPr>
            </w:pPr>
            <w:r>
              <w:rPr>
                <w:spacing w:val="3"/>
                <w:sz w:val="20"/>
                <w:szCs w:val="20"/>
              </w:rPr>
              <w:t>危险</w:t>
            </w:r>
          </w:p>
          <w:p w14:paraId="27DC343A">
            <w:pPr>
              <w:pStyle w:val="6"/>
              <w:spacing w:before="24" w:line="256" w:lineRule="auto"/>
              <w:ind w:left="299" w:right="99" w:hanging="100"/>
              <w:rPr>
                <w:sz w:val="20"/>
                <w:szCs w:val="20"/>
              </w:rPr>
            </w:pPr>
            <w:r>
              <w:rPr>
                <w:spacing w:val="3"/>
                <w:sz w:val="20"/>
                <w:szCs w:val="20"/>
              </w:rPr>
              <w:t>性概</w:t>
            </w:r>
            <w:r>
              <w:rPr>
                <w:sz w:val="20"/>
                <w:szCs w:val="20"/>
              </w:rPr>
              <w:t>述</w:t>
            </w:r>
          </w:p>
        </w:tc>
        <w:tc>
          <w:tcPr>
            <w:tcW w:w="7693" w:type="dxa"/>
            <w:gridSpan w:val="3"/>
            <w:tcBorders>
              <w:right w:val="single" w:color="000000" w:sz="6" w:space="0"/>
            </w:tcBorders>
            <w:vAlign w:val="top"/>
          </w:tcPr>
          <w:p w14:paraId="6C802EF1">
            <w:pPr>
              <w:pStyle w:val="6"/>
              <w:spacing w:before="34" w:line="228" w:lineRule="auto"/>
              <w:ind w:left="106"/>
              <w:rPr>
                <w:sz w:val="20"/>
                <w:szCs w:val="20"/>
              </w:rPr>
            </w:pPr>
            <w:r>
              <w:rPr>
                <w:spacing w:val="8"/>
                <w:sz w:val="20"/>
                <w:szCs w:val="20"/>
              </w:rPr>
              <w:t>侵入途径：吸入、食入</w:t>
            </w:r>
          </w:p>
          <w:p w14:paraId="1D273CD6">
            <w:pPr>
              <w:pStyle w:val="6"/>
              <w:spacing w:before="25" w:line="251" w:lineRule="auto"/>
              <w:ind w:left="105" w:right="210"/>
              <w:rPr>
                <w:sz w:val="20"/>
                <w:szCs w:val="20"/>
              </w:rPr>
            </w:pPr>
            <w:r>
              <w:rPr>
                <w:spacing w:val="10"/>
                <w:sz w:val="20"/>
                <w:szCs w:val="20"/>
              </w:rPr>
              <w:t>健康危害：本品有强烈刺激和腐蚀性。粉尘刺激眼和呼吸道，腐蚀鼻中隔；皮肤</w:t>
            </w:r>
            <w:r>
              <w:rPr>
                <w:spacing w:val="9"/>
                <w:sz w:val="20"/>
                <w:szCs w:val="20"/>
              </w:rPr>
              <w:t>和眼直接接触可引起灼伤；误服可造成消化道灼伤，粘膜糜烂、出血和休克。</w:t>
            </w:r>
          </w:p>
          <w:p w14:paraId="061C5A6C">
            <w:pPr>
              <w:pStyle w:val="6"/>
              <w:spacing w:line="213" w:lineRule="auto"/>
              <w:ind w:left="105"/>
              <w:rPr>
                <w:sz w:val="20"/>
                <w:szCs w:val="20"/>
              </w:rPr>
            </w:pPr>
            <w:r>
              <w:rPr>
                <w:spacing w:val="9"/>
                <w:sz w:val="20"/>
                <w:szCs w:val="20"/>
              </w:rPr>
              <w:t>燃爆危险：不燃，无特殊爆燃特性</w:t>
            </w:r>
          </w:p>
        </w:tc>
      </w:tr>
      <w:tr w14:paraId="6C63CC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5" w:hRule="atLeast"/>
        </w:trPr>
        <w:tc>
          <w:tcPr>
            <w:tcW w:w="495" w:type="dxa"/>
            <w:vMerge w:val="continue"/>
            <w:tcBorders>
              <w:top w:val="nil"/>
              <w:left w:val="single" w:color="000000" w:sz="6" w:space="0"/>
              <w:bottom w:val="nil"/>
              <w:right w:val="single" w:color="000000" w:sz="2" w:space="0"/>
            </w:tcBorders>
            <w:vAlign w:val="top"/>
          </w:tcPr>
          <w:p w14:paraId="7397D30A">
            <w:pPr>
              <w:rPr>
                <w:rFonts w:ascii="Arial"/>
                <w:sz w:val="21"/>
              </w:rPr>
            </w:pPr>
          </w:p>
        </w:tc>
        <w:tc>
          <w:tcPr>
            <w:tcW w:w="713" w:type="dxa"/>
            <w:tcBorders>
              <w:left w:val="single" w:color="000000" w:sz="2" w:space="0"/>
            </w:tcBorders>
            <w:vAlign w:val="top"/>
          </w:tcPr>
          <w:p w14:paraId="53F33BBF">
            <w:pPr>
              <w:pStyle w:val="6"/>
              <w:spacing w:before="170" w:line="228" w:lineRule="auto"/>
              <w:ind w:left="197"/>
              <w:rPr>
                <w:sz w:val="20"/>
                <w:szCs w:val="20"/>
              </w:rPr>
            </w:pPr>
            <w:r>
              <w:rPr>
                <w:spacing w:val="4"/>
                <w:sz w:val="20"/>
                <w:szCs w:val="20"/>
              </w:rPr>
              <w:t>稳定</w:t>
            </w:r>
          </w:p>
          <w:p w14:paraId="2E697D24">
            <w:pPr>
              <w:pStyle w:val="6"/>
              <w:spacing w:before="24" w:line="229" w:lineRule="auto"/>
              <w:ind w:left="199"/>
              <w:rPr>
                <w:sz w:val="20"/>
                <w:szCs w:val="20"/>
              </w:rPr>
            </w:pPr>
            <w:r>
              <w:rPr>
                <w:spacing w:val="3"/>
                <w:sz w:val="20"/>
                <w:szCs w:val="20"/>
              </w:rPr>
              <w:t>性和</w:t>
            </w:r>
          </w:p>
          <w:p w14:paraId="5D7E2A0A">
            <w:pPr>
              <w:pStyle w:val="6"/>
              <w:spacing w:before="26" w:line="252" w:lineRule="auto"/>
              <w:ind w:left="301" w:right="99" w:hanging="104"/>
              <w:rPr>
                <w:sz w:val="20"/>
                <w:szCs w:val="20"/>
              </w:rPr>
            </w:pPr>
            <w:r>
              <w:rPr>
                <w:spacing w:val="4"/>
                <w:sz w:val="20"/>
                <w:szCs w:val="20"/>
              </w:rPr>
              <w:t>反应</w:t>
            </w:r>
            <w:r>
              <w:rPr>
                <w:sz w:val="20"/>
                <w:szCs w:val="20"/>
              </w:rPr>
              <w:t>性</w:t>
            </w:r>
          </w:p>
        </w:tc>
        <w:tc>
          <w:tcPr>
            <w:tcW w:w="7693" w:type="dxa"/>
            <w:gridSpan w:val="3"/>
            <w:tcBorders>
              <w:right w:val="single" w:color="000000" w:sz="6" w:space="0"/>
            </w:tcBorders>
            <w:vAlign w:val="top"/>
          </w:tcPr>
          <w:p w14:paraId="05CAB817">
            <w:pPr>
              <w:pStyle w:val="6"/>
              <w:spacing w:before="35" w:line="228" w:lineRule="auto"/>
              <w:ind w:left="105"/>
              <w:rPr>
                <w:sz w:val="20"/>
                <w:szCs w:val="20"/>
              </w:rPr>
            </w:pPr>
            <w:r>
              <w:rPr>
                <w:spacing w:val="8"/>
                <w:sz w:val="20"/>
                <w:szCs w:val="20"/>
              </w:rPr>
              <w:t>稳定性：稳定</w:t>
            </w:r>
          </w:p>
          <w:p w14:paraId="7EB302B6">
            <w:pPr>
              <w:pStyle w:val="6"/>
              <w:spacing w:before="24" w:line="227" w:lineRule="auto"/>
              <w:ind w:left="105"/>
              <w:rPr>
                <w:sz w:val="20"/>
                <w:szCs w:val="20"/>
              </w:rPr>
            </w:pPr>
            <w:r>
              <w:rPr>
                <w:spacing w:val="9"/>
                <w:sz w:val="20"/>
                <w:szCs w:val="20"/>
              </w:rPr>
              <w:t>禁配物：强酸、易燃或可燃物、二氧化碳、过氧化物、水</w:t>
            </w:r>
          </w:p>
          <w:p w14:paraId="63A900BD">
            <w:pPr>
              <w:pStyle w:val="6"/>
              <w:spacing w:before="24" w:line="228" w:lineRule="auto"/>
              <w:ind w:left="103"/>
              <w:rPr>
                <w:sz w:val="20"/>
                <w:szCs w:val="20"/>
              </w:rPr>
            </w:pPr>
            <w:r>
              <w:rPr>
                <w:spacing w:val="9"/>
                <w:sz w:val="20"/>
                <w:szCs w:val="20"/>
              </w:rPr>
              <w:t>避免接触的条件：潮湿空气</w:t>
            </w:r>
          </w:p>
          <w:p w14:paraId="0090DD29">
            <w:pPr>
              <w:pStyle w:val="6"/>
              <w:spacing w:before="27" w:line="228" w:lineRule="auto"/>
              <w:ind w:left="113"/>
              <w:rPr>
                <w:sz w:val="20"/>
                <w:szCs w:val="20"/>
              </w:rPr>
            </w:pPr>
            <w:r>
              <w:rPr>
                <w:spacing w:val="7"/>
                <w:sz w:val="20"/>
                <w:szCs w:val="20"/>
              </w:rPr>
              <w:t>聚合危害：不聚合</w:t>
            </w:r>
          </w:p>
          <w:p w14:paraId="1236CE13">
            <w:pPr>
              <w:pStyle w:val="6"/>
              <w:spacing w:before="24" w:line="214" w:lineRule="auto"/>
              <w:ind w:left="107"/>
              <w:rPr>
                <w:sz w:val="20"/>
                <w:szCs w:val="20"/>
              </w:rPr>
            </w:pPr>
            <w:r>
              <w:rPr>
                <w:spacing w:val="8"/>
                <w:sz w:val="20"/>
                <w:szCs w:val="20"/>
              </w:rPr>
              <w:t>分解产物：氧化钠</w:t>
            </w:r>
          </w:p>
        </w:tc>
      </w:tr>
      <w:tr w14:paraId="39B6DD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0" w:hRule="atLeast"/>
        </w:trPr>
        <w:tc>
          <w:tcPr>
            <w:tcW w:w="495" w:type="dxa"/>
            <w:vMerge w:val="continue"/>
            <w:tcBorders>
              <w:top w:val="nil"/>
              <w:left w:val="single" w:color="000000" w:sz="6" w:space="0"/>
              <w:bottom w:val="nil"/>
              <w:right w:val="single" w:color="000000" w:sz="2" w:space="0"/>
            </w:tcBorders>
            <w:vAlign w:val="top"/>
          </w:tcPr>
          <w:p w14:paraId="44147BBB">
            <w:pPr>
              <w:rPr>
                <w:rFonts w:ascii="Arial"/>
                <w:sz w:val="21"/>
              </w:rPr>
            </w:pPr>
          </w:p>
        </w:tc>
        <w:tc>
          <w:tcPr>
            <w:tcW w:w="713" w:type="dxa"/>
            <w:tcBorders>
              <w:left w:val="single" w:color="000000" w:sz="2" w:space="0"/>
            </w:tcBorders>
            <w:textDirection w:val="tbRlV"/>
            <w:vAlign w:val="top"/>
          </w:tcPr>
          <w:p w14:paraId="21C90A92">
            <w:pPr>
              <w:pStyle w:val="6"/>
              <w:spacing w:before="200" w:line="217" w:lineRule="auto"/>
              <w:ind w:left="444"/>
              <w:rPr>
                <w:sz w:val="20"/>
                <w:szCs w:val="20"/>
              </w:rPr>
            </w:pPr>
            <w:r>
              <w:rPr>
                <w:spacing w:val="8"/>
                <w:sz w:val="20"/>
                <w:szCs w:val="20"/>
              </w:rPr>
              <w:t>消</w:t>
            </w:r>
            <w:r>
              <w:rPr>
                <w:spacing w:val="-34"/>
                <w:sz w:val="20"/>
                <w:szCs w:val="20"/>
              </w:rPr>
              <w:t xml:space="preserve"> </w:t>
            </w:r>
            <w:r>
              <w:rPr>
                <w:spacing w:val="8"/>
                <w:sz w:val="20"/>
                <w:szCs w:val="20"/>
              </w:rPr>
              <w:t>防</w:t>
            </w:r>
            <w:r>
              <w:rPr>
                <w:spacing w:val="-37"/>
                <w:sz w:val="20"/>
                <w:szCs w:val="20"/>
              </w:rPr>
              <w:t xml:space="preserve"> </w:t>
            </w:r>
            <w:r>
              <w:rPr>
                <w:spacing w:val="8"/>
                <w:sz w:val="20"/>
                <w:szCs w:val="20"/>
              </w:rPr>
              <w:t>措</w:t>
            </w:r>
            <w:r>
              <w:rPr>
                <w:spacing w:val="-35"/>
                <w:sz w:val="20"/>
                <w:szCs w:val="20"/>
              </w:rPr>
              <w:t xml:space="preserve"> </w:t>
            </w:r>
            <w:r>
              <w:rPr>
                <w:spacing w:val="8"/>
                <w:sz w:val="20"/>
                <w:szCs w:val="20"/>
              </w:rPr>
              <w:t>施</w:t>
            </w:r>
          </w:p>
        </w:tc>
        <w:tc>
          <w:tcPr>
            <w:tcW w:w="7693" w:type="dxa"/>
            <w:gridSpan w:val="3"/>
            <w:tcBorders>
              <w:right w:val="single" w:color="000000" w:sz="6" w:space="0"/>
            </w:tcBorders>
            <w:vAlign w:val="top"/>
          </w:tcPr>
          <w:p w14:paraId="0F247845">
            <w:pPr>
              <w:pStyle w:val="6"/>
              <w:spacing w:before="35" w:line="252" w:lineRule="auto"/>
              <w:ind w:left="3" w:right="102" w:firstLine="3"/>
              <w:jc w:val="both"/>
              <w:rPr>
                <w:sz w:val="20"/>
                <w:szCs w:val="20"/>
              </w:rPr>
            </w:pPr>
            <w:r>
              <w:rPr>
                <w:spacing w:val="10"/>
                <w:sz w:val="20"/>
                <w:szCs w:val="20"/>
              </w:rPr>
              <w:t>危险特性：与酸发生中和反应并放热。遇潮时对铝、锌和锡有腐蚀性，并放出易燃易爆的氢气。本品不会燃烧，遇水和水蒸气大量放热，形成腐蚀性溶液。具有强腐</w:t>
            </w:r>
            <w:r>
              <w:rPr>
                <w:spacing w:val="3"/>
                <w:sz w:val="20"/>
                <w:szCs w:val="20"/>
              </w:rPr>
              <w:t>蚀性。</w:t>
            </w:r>
          </w:p>
          <w:p w14:paraId="7EFCDC91">
            <w:pPr>
              <w:pStyle w:val="6"/>
              <w:spacing w:line="226" w:lineRule="auto"/>
              <w:ind w:left="5"/>
              <w:rPr>
                <w:sz w:val="20"/>
                <w:szCs w:val="20"/>
              </w:rPr>
            </w:pPr>
            <w:r>
              <w:rPr>
                <w:spacing w:val="8"/>
                <w:sz w:val="20"/>
                <w:szCs w:val="20"/>
              </w:rPr>
              <w:t>有害燃烧产物：无意义</w:t>
            </w:r>
          </w:p>
          <w:p w14:paraId="393BB3BB">
            <w:pPr>
              <w:pStyle w:val="6"/>
              <w:spacing w:before="25" w:line="227" w:lineRule="auto"/>
              <w:ind w:left="7"/>
              <w:rPr>
                <w:sz w:val="20"/>
                <w:szCs w:val="20"/>
              </w:rPr>
            </w:pPr>
            <w:r>
              <w:rPr>
                <w:spacing w:val="9"/>
                <w:sz w:val="20"/>
                <w:szCs w:val="20"/>
              </w:rPr>
              <w:t>灭火方法：本品不燃。根据着火原因选择适当灭火剂灭火。</w:t>
            </w:r>
          </w:p>
          <w:p w14:paraId="7C66F1C6">
            <w:pPr>
              <w:pStyle w:val="6"/>
              <w:spacing w:before="25" w:line="232" w:lineRule="auto"/>
              <w:ind w:left="5" w:right="102" w:firstLine="1"/>
              <w:rPr>
                <w:sz w:val="20"/>
                <w:szCs w:val="20"/>
              </w:rPr>
            </w:pPr>
            <w:r>
              <w:rPr>
                <w:spacing w:val="10"/>
                <w:sz w:val="20"/>
                <w:szCs w:val="20"/>
              </w:rPr>
              <w:t>灭火注意事项及措施：消防人员须穿全身耐酸碱消防服、佩戴空气呼吸器灭火。尽</w:t>
            </w:r>
            <w:r>
              <w:rPr>
                <w:spacing w:val="9"/>
                <w:sz w:val="20"/>
                <w:szCs w:val="20"/>
              </w:rPr>
              <w:t>可能将容器从火场移至空旷处。喷水保持火场容器冷却，直至灭火结束。</w:t>
            </w:r>
          </w:p>
        </w:tc>
      </w:tr>
      <w:tr w14:paraId="36A2D6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3" w:hRule="atLeast"/>
        </w:trPr>
        <w:tc>
          <w:tcPr>
            <w:tcW w:w="495" w:type="dxa"/>
            <w:vMerge w:val="continue"/>
            <w:tcBorders>
              <w:top w:val="nil"/>
              <w:left w:val="single" w:color="000000" w:sz="6" w:space="0"/>
              <w:bottom w:val="nil"/>
              <w:right w:val="single" w:color="000000" w:sz="2" w:space="0"/>
            </w:tcBorders>
            <w:vAlign w:val="top"/>
          </w:tcPr>
          <w:p w14:paraId="7E757B85">
            <w:pPr>
              <w:rPr>
                <w:rFonts w:ascii="Arial"/>
                <w:sz w:val="21"/>
              </w:rPr>
            </w:pPr>
          </w:p>
        </w:tc>
        <w:tc>
          <w:tcPr>
            <w:tcW w:w="713" w:type="dxa"/>
            <w:tcBorders>
              <w:left w:val="single" w:color="000000" w:sz="2" w:space="0"/>
            </w:tcBorders>
            <w:vAlign w:val="top"/>
          </w:tcPr>
          <w:p w14:paraId="7DB03C8F">
            <w:pPr>
              <w:pStyle w:val="6"/>
              <w:spacing w:before="172" w:line="228" w:lineRule="auto"/>
              <w:ind w:left="198"/>
              <w:rPr>
                <w:sz w:val="20"/>
                <w:szCs w:val="20"/>
              </w:rPr>
            </w:pPr>
            <w:r>
              <w:rPr>
                <w:spacing w:val="3"/>
                <w:sz w:val="20"/>
                <w:szCs w:val="20"/>
              </w:rPr>
              <w:t>毒理</w:t>
            </w:r>
          </w:p>
          <w:p w14:paraId="45BF7366">
            <w:pPr>
              <w:pStyle w:val="6"/>
              <w:spacing w:before="25" w:line="254" w:lineRule="auto"/>
              <w:ind w:left="299" w:right="99" w:hanging="99"/>
              <w:rPr>
                <w:sz w:val="20"/>
                <w:szCs w:val="20"/>
              </w:rPr>
            </w:pPr>
            <w:r>
              <w:rPr>
                <w:spacing w:val="2"/>
                <w:sz w:val="20"/>
                <w:szCs w:val="20"/>
              </w:rPr>
              <w:t>学资</w:t>
            </w:r>
            <w:r>
              <w:rPr>
                <w:sz w:val="20"/>
                <w:szCs w:val="20"/>
              </w:rPr>
              <w:t>料</w:t>
            </w:r>
          </w:p>
        </w:tc>
        <w:tc>
          <w:tcPr>
            <w:tcW w:w="7693" w:type="dxa"/>
            <w:gridSpan w:val="3"/>
            <w:tcBorders>
              <w:right w:val="single" w:color="000000" w:sz="6" w:space="0"/>
            </w:tcBorders>
            <w:vAlign w:val="top"/>
          </w:tcPr>
          <w:p w14:paraId="0D0E64CD">
            <w:pPr>
              <w:pStyle w:val="6"/>
              <w:spacing w:before="38" w:line="221" w:lineRule="auto"/>
              <w:ind w:left="111"/>
              <w:rPr>
                <w:sz w:val="20"/>
                <w:szCs w:val="20"/>
              </w:rPr>
            </w:pPr>
            <w:r>
              <w:rPr>
                <w:spacing w:val="9"/>
                <w:sz w:val="20"/>
                <w:szCs w:val="20"/>
              </w:rPr>
              <w:t>急性毒性：</w:t>
            </w:r>
            <w:r>
              <w:rPr>
                <w:rFonts w:ascii="Times New Roman" w:hAnsi="Times New Roman" w:eastAsia="Times New Roman" w:cs="Times New Roman"/>
                <w:sz w:val="20"/>
                <w:szCs w:val="20"/>
              </w:rPr>
              <w:t>LD</w:t>
            </w:r>
            <w:r>
              <w:rPr>
                <w:rFonts w:ascii="Times New Roman" w:hAnsi="Times New Roman" w:eastAsia="Times New Roman" w:cs="Times New Roman"/>
                <w:spacing w:val="9"/>
                <w:position w:val="-1"/>
                <w:sz w:val="13"/>
                <w:szCs w:val="13"/>
              </w:rPr>
              <w:t>50</w:t>
            </w:r>
            <w:r>
              <w:rPr>
                <w:spacing w:val="9"/>
                <w:sz w:val="20"/>
                <w:szCs w:val="20"/>
              </w:rPr>
              <w:t>：</w:t>
            </w:r>
            <w:r>
              <w:rPr>
                <w:rFonts w:ascii="Times New Roman" w:hAnsi="Times New Roman" w:eastAsia="Times New Roman" w:cs="Times New Roman"/>
                <w:spacing w:val="9"/>
                <w:sz w:val="20"/>
                <w:szCs w:val="20"/>
              </w:rPr>
              <w:t>40</w:t>
            </w: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w:t>
            </w:r>
            <w:r>
              <w:rPr>
                <w:rFonts w:ascii="Times New Roman" w:hAnsi="Times New Roman" w:eastAsia="Times New Roman" w:cs="Times New Roman"/>
                <w:sz w:val="20"/>
                <w:szCs w:val="20"/>
              </w:rPr>
              <w:t>kg</w:t>
            </w:r>
            <w:r>
              <w:rPr>
                <w:spacing w:val="9"/>
                <w:sz w:val="20"/>
                <w:szCs w:val="20"/>
              </w:rPr>
              <w:t>（小鼠腹腔</w:t>
            </w:r>
            <w:r>
              <w:rPr>
                <w:spacing w:val="1"/>
                <w:sz w:val="20"/>
                <w:szCs w:val="20"/>
              </w:rPr>
              <w:t>）；</w:t>
            </w:r>
          </w:p>
          <w:p w14:paraId="1BD995B6">
            <w:pPr>
              <w:pStyle w:val="6"/>
              <w:spacing w:before="32" w:line="228" w:lineRule="auto"/>
              <w:ind w:left="1152"/>
              <w:rPr>
                <w:sz w:val="20"/>
                <w:szCs w:val="20"/>
              </w:rPr>
            </w:pPr>
            <w:r>
              <w:rPr>
                <w:rFonts w:ascii="Times New Roman" w:hAnsi="Times New Roman" w:eastAsia="Times New Roman" w:cs="Times New Roman"/>
                <w:sz w:val="20"/>
                <w:szCs w:val="20"/>
              </w:rPr>
              <w:t>LC</w:t>
            </w:r>
            <w:r>
              <w:rPr>
                <w:rFonts w:ascii="Times New Roman" w:hAnsi="Times New Roman" w:eastAsia="Times New Roman" w:cs="Times New Roman"/>
                <w:spacing w:val="8"/>
                <w:position w:val="-1"/>
                <w:sz w:val="13"/>
                <w:szCs w:val="13"/>
              </w:rPr>
              <w:t>50</w:t>
            </w:r>
            <w:r>
              <w:rPr>
                <w:spacing w:val="8"/>
                <w:sz w:val="20"/>
                <w:szCs w:val="20"/>
              </w:rPr>
              <w:t>：无资料</w:t>
            </w:r>
          </w:p>
          <w:p w14:paraId="6D3590AC">
            <w:pPr>
              <w:pStyle w:val="6"/>
              <w:spacing w:before="23" w:line="221" w:lineRule="auto"/>
              <w:ind w:left="104"/>
              <w:rPr>
                <w:sz w:val="20"/>
                <w:szCs w:val="20"/>
              </w:rPr>
            </w:pPr>
            <w:r>
              <w:rPr>
                <w:spacing w:val="7"/>
                <w:sz w:val="20"/>
                <w:szCs w:val="20"/>
              </w:rPr>
              <w:t>刺激性：家兔经皮：</w:t>
            </w:r>
            <w:r>
              <w:rPr>
                <w:rFonts w:ascii="Times New Roman" w:hAnsi="Times New Roman" w:eastAsia="Times New Roman" w:cs="Times New Roman"/>
                <w:spacing w:val="7"/>
                <w:sz w:val="20"/>
                <w:szCs w:val="20"/>
              </w:rPr>
              <w:t>50</w:t>
            </w:r>
            <w:r>
              <w:rPr>
                <w:rFonts w:ascii="Times New Roman" w:hAnsi="Times New Roman" w:eastAsia="Times New Roman" w:cs="Times New Roman"/>
                <w:sz w:val="20"/>
                <w:szCs w:val="20"/>
              </w:rPr>
              <w:t>mg</w:t>
            </w:r>
            <w:r>
              <w:rPr>
                <w:spacing w:val="7"/>
                <w:sz w:val="20"/>
                <w:szCs w:val="20"/>
              </w:rPr>
              <w:t>（</w:t>
            </w:r>
            <w:r>
              <w:rPr>
                <w:rFonts w:ascii="Times New Roman" w:hAnsi="Times New Roman" w:eastAsia="Times New Roman" w:cs="Times New Roman"/>
                <w:spacing w:val="7"/>
                <w:sz w:val="20"/>
                <w:szCs w:val="20"/>
              </w:rPr>
              <w:t>24h</w:t>
            </w:r>
            <w:r>
              <w:rPr>
                <w:spacing w:val="22"/>
                <w:sz w:val="20"/>
                <w:szCs w:val="20"/>
              </w:rPr>
              <w:t>），</w:t>
            </w:r>
            <w:r>
              <w:rPr>
                <w:spacing w:val="7"/>
                <w:sz w:val="20"/>
                <w:szCs w:val="20"/>
              </w:rPr>
              <w:t>重度刺激；</w:t>
            </w:r>
          </w:p>
          <w:p w14:paraId="1838FBB4">
            <w:pPr>
              <w:pStyle w:val="6"/>
              <w:spacing w:before="33" w:line="211" w:lineRule="auto"/>
              <w:ind w:left="946"/>
              <w:rPr>
                <w:sz w:val="20"/>
                <w:szCs w:val="20"/>
              </w:rPr>
            </w:pPr>
            <w:r>
              <w:rPr>
                <w:spacing w:val="6"/>
                <w:sz w:val="20"/>
                <w:szCs w:val="20"/>
              </w:rPr>
              <w:t>家兔经眼：</w:t>
            </w:r>
            <w:r>
              <w:rPr>
                <w:rFonts w:ascii="Times New Roman" w:hAnsi="Times New Roman" w:eastAsia="Times New Roman" w:cs="Times New Roman"/>
                <w:spacing w:val="6"/>
                <w:sz w:val="20"/>
                <w:szCs w:val="20"/>
              </w:rPr>
              <w:t>1%</w:t>
            </w:r>
            <w:r>
              <w:rPr>
                <w:rFonts w:ascii="Times New Roman" w:hAnsi="Times New Roman" w:eastAsia="Times New Roman" w:cs="Times New Roman"/>
                <w:spacing w:val="-21"/>
                <w:sz w:val="20"/>
                <w:szCs w:val="20"/>
              </w:rPr>
              <w:t xml:space="preserve"> </w:t>
            </w:r>
            <w:r>
              <w:rPr>
                <w:spacing w:val="6"/>
                <w:sz w:val="20"/>
                <w:szCs w:val="20"/>
              </w:rPr>
              <w:t>，重度刺激</w:t>
            </w:r>
          </w:p>
        </w:tc>
      </w:tr>
      <w:tr w14:paraId="3AA98C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0" w:hRule="atLeast"/>
        </w:trPr>
        <w:tc>
          <w:tcPr>
            <w:tcW w:w="495" w:type="dxa"/>
            <w:vMerge w:val="continue"/>
            <w:tcBorders>
              <w:top w:val="nil"/>
              <w:left w:val="single" w:color="000000" w:sz="6" w:space="0"/>
              <w:bottom w:val="single" w:color="000000" w:sz="6" w:space="0"/>
              <w:right w:val="single" w:color="000000" w:sz="2" w:space="0"/>
            </w:tcBorders>
            <w:vAlign w:val="top"/>
          </w:tcPr>
          <w:p w14:paraId="4BCD3C50">
            <w:pPr>
              <w:rPr>
                <w:rFonts w:ascii="Arial"/>
                <w:sz w:val="21"/>
              </w:rPr>
            </w:pPr>
          </w:p>
        </w:tc>
        <w:tc>
          <w:tcPr>
            <w:tcW w:w="713" w:type="dxa"/>
            <w:tcBorders>
              <w:left w:val="single" w:color="000000" w:sz="2" w:space="0"/>
              <w:bottom w:val="single" w:color="000000" w:sz="6" w:space="0"/>
            </w:tcBorders>
            <w:vAlign w:val="top"/>
          </w:tcPr>
          <w:p w14:paraId="30005F37">
            <w:pPr>
              <w:spacing w:line="402" w:lineRule="auto"/>
              <w:rPr>
                <w:rFonts w:ascii="Arial"/>
                <w:sz w:val="21"/>
              </w:rPr>
            </w:pPr>
          </w:p>
          <w:p w14:paraId="5DFB584F">
            <w:pPr>
              <w:pStyle w:val="6"/>
              <w:spacing w:before="65" w:line="229" w:lineRule="auto"/>
              <w:ind w:left="303"/>
              <w:rPr>
                <w:sz w:val="20"/>
                <w:szCs w:val="20"/>
              </w:rPr>
            </w:pPr>
            <w:r>
              <w:rPr>
                <w:spacing w:val="1"/>
                <w:sz w:val="20"/>
                <w:szCs w:val="20"/>
              </w:rPr>
              <w:t>接</w:t>
            </w:r>
          </w:p>
          <w:p w14:paraId="5897C16D">
            <w:pPr>
              <w:pStyle w:val="6"/>
              <w:spacing w:before="23" w:line="229" w:lineRule="auto"/>
              <w:ind w:left="304"/>
              <w:rPr>
                <w:sz w:val="20"/>
                <w:szCs w:val="20"/>
              </w:rPr>
            </w:pPr>
            <w:r>
              <w:rPr>
                <w:sz w:val="20"/>
                <w:szCs w:val="20"/>
              </w:rPr>
              <w:t>触</w:t>
            </w:r>
          </w:p>
          <w:p w14:paraId="6777DC75">
            <w:pPr>
              <w:pStyle w:val="6"/>
              <w:spacing w:before="25" w:line="251" w:lineRule="auto"/>
              <w:ind w:left="276" w:right="170" w:firstLine="27"/>
              <w:jc w:val="both"/>
              <w:rPr>
                <w:sz w:val="20"/>
                <w:szCs w:val="20"/>
              </w:rPr>
            </w:pPr>
            <w:r>
              <w:rPr>
                <w:spacing w:val="1"/>
                <w:sz w:val="20"/>
                <w:szCs w:val="20"/>
              </w:rPr>
              <w:t>控制</w:t>
            </w:r>
            <w:r>
              <w:rPr>
                <w:rFonts w:ascii="Times New Roman" w:hAnsi="Times New Roman" w:eastAsia="Times New Roman" w:cs="Times New Roman"/>
                <w:spacing w:val="1"/>
                <w:sz w:val="20"/>
                <w:szCs w:val="20"/>
              </w:rPr>
              <w:t>/</w:t>
            </w:r>
            <w:r>
              <w:rPr>
                <w:spacing w:val="28"/>
                <w:sz w:val="20"/>
                <w:szCs w:val="20"/>
              </w:rPr>
              <w:t>个</w:t>
            </w:r>
          </w:p>
          <w:p w14:paraId="1D74473A">
            <w:pPr>
              <w:pStyle w:val="6"/>
              <w:spacing w:line="229" w:lineRule="auto"/>
              <w:ind w:left="304"/>
              <w:rPr>
                <w:sz w:val="20"/>
                <w:szCs w:val="20"/>
              </w:rPr>
            </w:pPr>
            <w:r>
              <w:rPr>
                <w:sz w:val="20"/>
                <w:szCs w:val="20"/>
              </w:rPr>
              <w:t>体</w:t>
            </w:r>
          </w:p>
          <w:p w14:paraId="63443F96">
            <w:pPr>
              <w:pStyle w:val="6"/>
              <w:spacing w:before="25" w:line="228" w:lineRule="auto"/>
              <w:ind w:left="317"/>
              <w:rPr>
                <w:sz w:val="20"/>
                <w:szCs w:val="20"/>
              </w:rPr>
            </w:pPr>
            <w:r>
              <w:rPr>
                <w:sz w:val="20"/>
                <w:szCs w:val="20"/>
              </w:rPr>
              <w:t>防</w:t>
            </w:r>
          </w:p>
          <w:p w14:paraId="5DC14525">
            <w:pPr>
              <w:pStyle w:val="6"/>
              <w:spacing w:before="24" w:line="228" w:lineRule="auto"/>
              <w:ind w:left="305"/>
              <w:rPr>
                <w:sz w:val="20"/>
                <w:szCs w:val="20"/>
              </w:rPr>
            </w:pPr>
            <w:r>
              <w:rPr>
                <w:sz w:val="20"/>
                <w:szCs w:val="20"/>
              </w:rPr>
              <w:t>护</w:t>
            </w:r>
          </w:p>
        </w:tc>
        <w:tc>
          <w:tcPr>
            <w:tcW w:w="7693" w:type="dxa"/>
            <w:gridSpan w:val="3"/>
            <w:tcBorders>
              <w:bottom w:val="single" w:color="000000" w:sz="6" w:space="0"/>
              <w:right w:val="single" w:color="000000" w:sz="6" w:space="0"/>
            </w:tcBorders>
            <w:vAlign w:val="top"/>
          </w:tcPr>
          <w:p w14:paraId="73BE8649">
            <w:pPr>
              <w:pStyle w:val="6"/>
              <w:spacing w:before="61" w:line="212" w:lineRule="auto"/>
              <w:ind w:left="105"/>
              <w:rPr>
                <w:rFonts w:ascii="Times New Roman" w:hAnsi="Times New Roman" w:eastAsia="Times New Roman" w:cs="Times New Roman"/>
                <w:sz w:val="20"/>
                <w:szCs w:val="20"/>
              </w:rPr>
            </w:pPr>
            <w:r>
              <w:rPr>
                <w:spacing w:val="9"/>
                <w:sz w:val="20"/>
                <w:szCs w:val="20"/>
              </w:rPr>
              <w:t>职业性接触限值：中国</w:t>
            </w:r>
            <w:r>
              <w:rPr>
                <w:spacing w:val="-40"/>
                <w:sz w:val="20"/>
                <w:szCs w:val="20"/>
              </w:rPr>
              <w:t xml:space="preserve"> </w:t>
            </w:r>
            <w:r>
              <w:rPr>
                <w:rFonts w:ascii="Times New Roman" w:hAnsi="Times New Roman" w:eastAsia="Times New Roman" w:cs="Times New Roman"/>
                <w:sz w:val="20"/>
                <w:szCs w:val="20"/>
              </w:rPr>
              <w:t>MAC</w:t>
            </w:r>
            <w:r>
              <w:rPr>
                <w:spacing w:val="9"/>
                <w:sz w:val="20"/>
                <w:szCs w:val="20"/>
              </w:rPr>
              <w:t>（</w:t>
            </w: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/m</w:t>
            </w:r>
            <w:r>
              <w:rPr>
                <w:rFonts w:ascii="Times New Roman" w:hAnsi="Times New Roman" w:eastAsia="Times New Roman" w:cs="Times New Roman"/>
                <w:spacing w:val="9"/>
                <w:position w:val="1"/>
                <w:sz w:val="13"/>
                <w:szCs w:val="13"/>
              </w:rPr>
              <w:t>3</w:t>
            </w:r>
            <w:r>
              <w:rPr>
                <w:spacing w:val="15"/>
                <w:position w:val="1"/>
                <w:sz w:val="20"/>
                <w:szCs w:val="20"/>
              </w:rPr>
              <w:t>）</w:t>
            </w:r>
            <w:r>
              <w:rPr>
                <w:spacing w:val="15"/>
                <w:sz w:val="20"/>
                <w:szCs w:val="20"/>
              </w:rPr>
              <w:t>：</w:t>
            </w:r>
            <w:r>
              <w:rPr>
                <w:rFonts w:ascii="Times New Roman" w:hAnsi="Times New Roman" w:eastAsia="Times New Roman" w:cs="Times New Roman"/>
                <w:spacing w:val="9"/>
                <w:sz w:val="20"/>
                <w:szCs w:val="20"/>
              </w:rPr>
              <w:t>2</w:t>
            </w:r>
          </w:p>
          <w:p w14:paraId="6F392AE9">
            <w:pPr>
              <w:pStyle w:val="6"/>
              <w:spacing w:before="31" w:line="212" w:lineRule="auto"/>
              <w:ind w:left="1786"/>
              <w:rPr>
                <w:rFonts w:ascii="Times New Roman" w:hAnsi="Times New Roman" w:eastAsia="Times New Roman" w:cs="Times New Roman"/>
                <w:sz w:val="20"/>
                <w:szCs w:val="20"/>
              </w:rPr>
            </w:pPr>
            <w:r>
              <w:rPr>
                <w:spacing w:val="8"/>
                <w:sz w:val="20"/>
                <w:szCs w:val="20"/>
              </w:rPr>
              <w:t>美国（</w:t>
            </w:r>
            <w:r>
              <w:rPr>
                <w:rFonts w:ascii="Times New Roman" w:hAnsi="Times New Roman" w:eastAsia="Times New Roman" w:cs="Times New Roman"/>
                <w:sz w:val="20"/>
                <w:szCs w:val="20"/>
              </w:rPr>
              <w:t>ACGIH</w:t>
            </w:r>
            <w:r>
              <w:rPr>
                <w:spacing w:val="8"/>
                <w:sz w:val="20"/>
                <w:szCs w:val="20"/>
              </w:rPr>
              <w:t>）</w:t>
            </w:r>
            <w:r>
              <w:rPr>
                <w:rFonts w:ascii="Times New Roman" w:hAnsi="Times New Roman" w:eastAsia="Times New Roman" w:cs="Times New Roman"/>
                <w:sz w:val="20"/>
                <w:szCs w:val="20"/>
              </w:rPr>
              <w:t>TLV</w:t>
            </w:r>
            <w:r>
              <w:rPr>
                <w:rFonts w:ascii="Times New Roman" w:hAnsi="Times New Roman" w:eastAsia="Times New Roman" w:cs="Times New Roman"/>
                <w:spacing w:val="8"/>
                <w:sz w:val="20"/>
                <w:szCs w:val="20"/>
              </w:rPr>
              <w:t>-C</w:t>
            </w:r>
            <w:r>
              <w:rPr>
                <w:spacing w:val="8"/>
                <w:sz w:val="20"/>
                <w:szCs w:val="20"/>
              </w:rPr>
              <w:t>（</w:t>
            </w: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/m</w:t>
            </w:r>
            <w:r>
              <w:rPr>
                <w:rFonts w:ascii="Times New Roman" w:hAnsi="Times New Roman" w:eastAsia="Times New Roman" w:cs="Times New Roman"/>
                <w:spacing w:val="8"/>
                <w:position w:val="1"/>
                <w:sz w:val="13"/>
                <w:szCs w:val="13"/>
              </w:rPr>
              <w:t>3</w:t>
            </w:r>
            <w:r>
              <w:rPr>
                <w:spacing w:val="11"/>
                <w:position w:val="1"/>
                <w:sz w:val="20"/>
                <w:szCs w:val="20"/>
              </w:rPr>
              <w:t>）</w:t>
            </w:r>
            <w:r>
              <w:rPr>
                <w:spacing w:val="11"/>
                <w:sz w:val="20"/>
                <w:szCs w:val="20"/>
              </w:rPr>
              <w:t>：</w:t>
            </w:r>
            <w:r>
              <w:rPr>
                <w:rFonts w:ascii="Times New Roman" w:hAnsi="Times New Roman" w:eastAsia="Times New Roman" w:cs="Times New Roman"/>
                <w:spacing w:val="8"/>
                <w:sz w:val="20"/>
                <w:szCs w:val="20"/>
              </w:rPr>
              <w:t>2</w:t>
            </w:r>
          </w:p>
          <w:p w14:paraId="269E5A83">
            <w:pPr>
              <w:pStyle w:val="6"/>
              <w:spacing w:before="31" w:line="228" w:lineRule="auto"/>
              <w:ind w:left="105"/>
              <w:rPr>
                <w:sz w:val="20"/>
                <w:szCs w:val="20"/>
              </w:rPr>
            </w:pPr>
            <w:r>
              <w:rPr>
                <w:spacing w:val="9"/>
                <w:sz w:val="20"/>
                <w:szCs w:val="20"/>
              </w:rPr>
              <w:t>监测方法：火焰原子吸收光谱法</w:t>
            </w:r>
          </w:p>
          <w:p w14:paraId="5C2EAAE2">
            <w:pPr>
              <w:pStyle w:val="6"/>
              <w:spacing w:before="27" w:line="226" w:lineRule="auto"/>
              <w:ind w:left="107"/>
              <w:rPr>
                <w:sz w:val="20"/>
                <w:szCs w:val="20"/>
              </w:rPr>
            </w:pPr>
            <w:r>
              <w:rPr>
                <w:spacing w:val="9"/>
                <w:sz w:val="20"/>
                <w:szCs w:val="20"/>
              </w:rPr>
              <w:t>工程控制：密闭操作。提供安全淋浴和洗眼设备。</w:t>
            </w:r>
          </w:p>
          <w:p w14:paraId="233C4B5A">
            <w:pPr>
              <w:pStyle w:val="6"/>
              <w:spacing w:before="27" w:line="251" w:lineRule="auto"/>
              <w:ind w:left="105" w:right="210" w:firstLine="10"/>
              <w:rPr>
                <w:sz w:val="20"/>
                <w:szCs w:val="20"/>
              </w:rPr>
            </w:pPr>
            <w:r>
              <w:rPr>
                <w:spacing w:val="10"/>
                <w:sz w:val="20"/>
                <w:szCs w:val="20"/>
              </w:rPr>
              <w:t>呼吸系统防护：可能接触其粉尘时，必须佩戴过滤式防尘呼吸器。必要时佩戴空</w:t>
            </w:r>
            <w:r>
              <w:rPr>
                <w:spacing w:val="5"/>
                <w:sz w:val="20"/>
                <w:szCs w:val="20"/>
              </w:rPr>
              <w:t>气呼吸器。</w:t>
            </w:r>
          </w:p>
          <w:p w14:paraId="6568C910">
            <w:pPr>
              <w:pStyle w:val="6"/>
              <w:spacing w:line="226" w:lineRule="auto"/>
              <w:ind w:left="118"/>
              <w:rPr>
                <w:sz w:val="20"/>
                <w:szCs w:val="20"/>
              </w:rPr>
            </w:pPr>
            <w:r>
              <w:rPr>
                <w:spacing w:val="7"/>
                <w:sz w:val="20"/>
                <w:szCs w:val="20"/>
              </w:rPr>
              <w:t>眼睛防护：戴化学安全防护眼镜。</w:t>
            </w:r>
          </w:p>
          <w:p w14:paraId="41EE9A4B">
            <w:pPr>
              <w:pStyle w:val="6"/>
              <w:spacing w:before="27" w:line="228" w:lineRule="auto"/>
              <w:ind w:left="110"/>
              <w:rPr>
                <w:sz w:val="20"/>
                <w:szCs w:val="20"/>
              </w:rPr>
            </w:pPr>
            <w:r>
              <w:rPr>
                <w:spacing w:val="7"/>
                <w:sz w:val="20"/>
                <w:szCs w:val="20"/>
              </w:rPr>
              <w:t>身体防护：穿橡胶耐酸碱服。</w:t>
            </w:r>
          </w:p>
          <w:p w14:paraId="631EECFC">
            <w:pPr>
              <w:pStyle w:val="6"/>
              <w:spacing w:before="25" w:line="228" w:lineRule="auto"/>
              <w:ind w:left="105"/>
              <w:rPr>
                <w:sz w:val="20"/>
                <w:szCs w:val="20"/>
              </w:rPr>
            </w:pPr>
            <w:r>
              <w:rPr>
                <w:spacing w:val="8"/>
                <w:sz w:val="20"/>
                <w:szCs w:val="20"/>
              </w:rPr>
              <w:t>手防护：戴橡胶耐酸碱手套。</w:t>
            </w:r>
          </w:p>
          <w:p w14:paraId="53231A5C">
            <w:pPr>
              <w:pStyle w:val="6"/>
              <w:spacing w:before="26" w:line="244" w:lineRule="auto"/>
              <w:ind w:left="109" w:right="210" w:hanging="4"/>
              <w:rPr>
                <w:sz w:val="20"/>
                <w:szCs w:val="20"/>
              </w:rPr>
            </w:pPr>
            <w:r>
              <w:rPr>
                <w:spacing w:val="10"/>
                <w:sz w:val="20"/>
                <w:szCs w:val="20"/>
              </w:rPr>
              <w:t>其它：工作现场禁止吸烟、进食和饮水，饭前要洗手。工作完毕，淋浴更衣。注</w:t>
            </w:r>
            <w:r>
              <w:rPr>
                <w:spacing w:val="6"/>
                <w:sz w:val="20"/>
                <w:szCs w:val="20"/>
              </w:rPr>
              <w:t>意个人清洁卫生。</w:t>
            </w:r>
          </w:p>
        </w:tc>
      </w:tr>
    </w:tbl>
    <w:p w14:paraId="09D65FE6">
      <w:pPr>
        <w:rPr>
          <w:rFonts w:ascii="Arial"/>
          <w:sz w:val="21"/>
        </w:rPr>
      </w:pPr>
    </w:p>
    <w:p w14:paraId="649C9C4C">
      <w:pPr>
        <w:rPr>
          <w:rFonts w:ascii="Arial" w:hAnsi="Arial" w:eastAsia="Arial" w:cs="Arial"/>
          <w:sz w:val="21"/>
          <w:szCs w:val="21"/>
        </w:rPr>
        <w:sectPr>
          <w:footerReference r:id="rId83" w:type="default"/>
          <w:pgSz w:w="11906" w:h="16839"/>
          <w:pgMar w:top="400" w:right="1410" w:bottom="1237" w:left="1579" w:header="0" w:footer="1078" w:gutter="0"/>
          <w:cols w:space="720" w:num="1"/>
        </w:sectPr>
      </w:pPr>
    </w:p>
    <w:p w14:paraId="13448DCF">
      <w:pPr>
        <w:spacing w:before="56"/>
      </w:pPr>
    </w:p>
    <w:p w14:paraId="115919FE">
      <w:pPr>
        <w:spacing w:before="56"/>
      </w:pPr>
    </w:p>
    <w:p w14:paraId="472B576C">
      <w:pPr>
        <w:spacing w:before="55"/>
      </w:pPr>
    </w:p>
    <w:p w14:paraId="1E212AFD">
      <w:pPr>
        <w:spacing w:before="55"/>
      </w:pPr>
    </w:p>
    <w:tbl>
      <w:tblPr>
        <w:tblStyle w:val="5"/>
        <w:tblW w:w="8901"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5"/>
        <w:gridCol w:w="713"/>
        <w:gridCol w:w="242"/>
        <w:gridCol w:w="1275"/>
        <w:gridCol w:w="957"/>
        <w:gridCol w:w="3667"/>
        <w:gridCol w:w="1552"/>
      </w:tblGrid>
      <w:tr w14:paraId="695C82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17" w:hRule="atLeast"/>
        </w:trPr>
        <w:tc>
          <w:tcPr>
            <w:tcW w:w="495" w:type="dxa"/>
            <w:vMerge w:val="restart"/>
            <w:tcBorders>
              <w:top w:val="single" w:color="000000" w:sz="6" w:space="0"/>
              <w:left w:val="single" w:color="000000" w:sz="6" w:space="0"/>
              <w:bottom w:val="nil"/>
              <w:right w:val="single" w:color="000000" w:sz="2" w:space="0"/>
            </w:tcBorders>
            <w:vAlign w:val="top"/>
          </w:tcPr>
          <w:p w14:paraId="718BF85F">
            <w:pPr>
              <w:rPr>
                <w:rFonts w:ascii="Arial"/>
                <w:sz w:val="21"/>
              </w:rPr>
            </w:pPr>
          </w:p>
        </w:tc>
        <w:tc>
          <w:tcPr>
            <w:tcW w:w="713" w:type="dxa"/>
            <w:tcBorders>
              <w:top w:val="single" w:color="000000" w:sz="6" w:space="0"/>
              <w:left w:val="single" w:color="000000" w:sz="2" w:space="0"/>
            </w:tcBorders>
            <w:textDirection w:val="tbRlV"/>
            <w:vAlign w:val="top"/>
          </w:tcPr>
          <w:p w14:paraId="1F188C30">
            <w:pPr>
              <w:pStyle w:val="6"/>
              <w:spacing w:before="200" w:line="216" w:lineRule="auto"/>
              <w:ind w:left="510"/>
              <w:rPr>
                <w:sz w:val="20"/>
                <w:szCs w:val="20"/>
              </w:rPr>
            </w:pPr>
            <w:r>
              <w:rPr>
                <w:spacing w:val="8"/>
                <w:sz w:val="20"/>
                <w:szCs w:val="20"/>
              </w:rPr>
              <w:t>急</w:t>
            </w:r>
            <w:r>
              <w:rPr>
                <w:spacing w:val="-36"/>
                <w:sz w:val="20"/>
                <w:szCs w:val="20"/>
              </w:rPr>
              <w:t xml:space="preserve"> </w:t>
            </w:r>
            <w:r>
              <w:rPr>
                <w:spacing w:val="8"/>
                <w:sz w:val="20"/>
                <w:szCs w:val="20"/>
              </w:rPr>
              <w:t>救</w:t>
            </w:r>
            <w:r>
              <w:rPr>
                <w:spacing w:val="-38"/>
                <w:sz w:val="20"/>
                <w:szCs w:val="20"/>
              </w:rPr>
              <w:t xml:space="preserve"> </w:t>
            </w:r>
            <w:r>
              <w:rPr>
                <w:spacing w:val="8"/>
                <w:sz w:val="20"/>
                <w:szCs w:val="20"/>
              </w:rPr>
              <w:t>措</w:t>
            </w:r>
            <w:r>
              <w:rPr>
                <w:spacing w:val="-35"/>
                <w:sz w:val="20"/>
                <w:szCs w:val="20"/>
              </w:rPr>
              <w:t xml:space="preserve"> </w:t>
            </w:r>
            <w:r>
              <w:rPr>
                <w:spacing w:val="8"/>
                <w:sz w:val="20"/>
                <w:szCs w:val="20"/>
              </w:rPr>
              <w:t>施</w:t>
            </w:r>
          </w:p>
        </w:tc>
        <w:tc>
          <w:tcPr>
            <w:tcW w:w="7693" w:type="dxa"/>
            <w:gridSpan w:val="5"/>
            <w:tcBorders>
              <w:top w:val="single" w:color="000000" w:sz="6" w:space="0"/>
              <w:right w:val="single" w:color="000000" w:sz="6" w:space="0"/>
            </w:tcBorders>
            <w:vAlign w:val="top"/>
          </w:tcPr>
          <w:p w14:paraId="5082B884">
            <w:pPr>
              <w:pStyle w:val="6"/>
              <w:spacing w:before="103" w:line="250" w:lineRule="auto"/>
              <w:ind w:left="106" w:right="142" w:firstLine="1"/>
              <w:rPr>
                <w:sz w:val="20"/>
                <w:szCs w:val="20"/>
              </w:rPr>
            </w:pPr>
            <w:r>
              <w:rPr>
                <w:spacing w:val="8"/>
                <w:sz w:val="20"/>
                <w:szCs w:val="20"/>
              </w:rPr>
              <w:t>皮肤接触：立即脱去污染的衣着，用大量流动清水冲洗</w:t>
            </w:r>
            <w:r>
              <w:rPr>
                <w:rFonts w:ascii="Times New Roman" w:hAnsi="Times New Roman" w:eastAsia="Times New Roman" w:cs="Times New Roman"/>
                <w:spacing w:val="8"/>
                <w:sz w:val="20"/>
                <w:szCs w:val="20"/>
              </w:rPr>
              <w:t>20</w:t>
            </w:r>
            <w:r>
              <w:rPr>
                <w:spacing w:val="8"/>
                <w:sz w:val="20"/>
                <w:szCs w:val="20"/>
              </w:rPr>
              <w:t>～</w:t>
            </w:r>
            <w:r>
              <w:rPr>
                <w:rFonts w:ascii="Times New Roman" w:hAnsi="Times New Roman" w:eastAsia="Times New Roman" w:cs="Times New Roman"/>
                <w:spacing w:val="8"/>
                <w:sz w:val="20"/>
                <w:szCs w:val="20"/>
              </w:rPr>
              <w:t>30</w:t>
            </w:r>
            <w:r>
              <w:rPr>
                <w:rFonts w:ascii="Times New Roman" w:hAnsi="Times New Roman" w:eastAsia="Times New Roman" w:cs="Times New Roman"/>
                <w:sz w:val="20"/>
                <w:szCs w:val="20"/>
              </w:rPr>
              <w:t>min</w:t>
            </w:r>
            <w:r>
              <w:rPr>
                <w:rFonts w:ascii="Times New Roman" w:hAnsi="Times New Roman" w:eastAsia="Times New Roman" w:cs="Times New Roman"/>
                <w:spacing w:val="-18"/>
                <w:sz w:val="20"/>
                <w:szCs w:val="20"/>
              </w:rPr>
              <w:t xml:space="preserve"> </w:t>
            </w:r>
            <w:r>
              <w:rPr>
                <w:spacing w:val="8"/>
                <w:sz w:val="20"/>
                <w:szCs w:val="20"/>
              </w:rPr>
              <w:t>。如有不</w:t>
            </w:r>
            <w:r>
              <w:rPr>
                <w:spacing w:val="7"/>
                <w:sz w:val="20"/>
                <w:szCs w:val="20"/>
              </w:rPr>
              <w:t>适感。</w:t>
            </w:r>
            <w:r>
              <w:rPr>
                <w:spacing w:val="2"/>
                <w:sz w:val="20"/>
                <w:szCs w:val="20"/>
              </w:rPr>
              <w:t>就医。</w:t>
            </w:r>
          </w:p>
          <w:p w14:paraId="77DEDB8D">
            <w:pPr>
              <w:pStyle w:val="6"/>
              <w:spacing w:line="251" w:lineRule="auto"/>
              <w:ind w:left="105" w:right="213" w:firstLine="12"/>
              <w:rPr>
                <w:sz w:val="20"/>
                <w:szCs w:val="20"/>
              </w:rPr>
            </w:pPr>
            <w:r>
              <w:rPr>
                <w:spacing w:val="9"/>
                <w:sz w:val="20"/>
                <w:szCs w:val="20"/>
              </w:rPr>
              <w:t>眼睛接触：立即提起眼睑，用大量流动清水或生理盐水彻底冲洗</w:t>
            </w:r>
            <w:r>
              <w:rPr>
                <w:spacing w:val="-11"/>
                <w:sz w:val="20"/>
                <w:szCs w:val="20"/>
              </w:rPr>
              <w:t xml:space="preserve"> </w:t>
            </w:r>
            <w:r>
              <w:rPr>
                <w:rFonts w:ascii="Times New Roman" w:hAnsi="Times New Roman" w:eastAsia="Times New Roman" w:cs="Times New Roman"/>
                <w:spacing w:val="9"/>
                <w:sz w:val="20"/>
                <w:szCs w:val="20"/>
              </w:rPr>
              <w:t>10</w:t>
            </w:r>
            <w:r>
              <w:rPr>
                <w:spacing w:val="9"/>
                <w:sz w:val="20"/>
                <w:szCs w:val="20"/>
              </w:rPr>
              <w:t>～</w:t>
            </w:r>
            <w:r>
              <w:rPr>
                <w:rFonts w:ascii="Times New Roman" w:hAnsi="Times New Roman" w:eastAsia="Times New Roman" w:cs="Times New Roman"/>
                <w:spacing w:val="9"/>
                <w:sz w:val="20"/>
                <w:szCs w:val="20"/>
              </w:rPr>
              <w:t>15</w:t>
            </w:r>
            <w:r>
              <w:rPr>
                <w:rFonts w:ascii="Times New Roman" w:hAnsi="Times New Roman" w:eastAsia="Times New Roman" w:cs="Times New Roman"/>
                <w:sz w:val="20"/>
                <w:szCs w:val="20"/>
              </w:rPr>
              <w:t>min</w:t>
            </w:r>
            <w:r>
              <w:rPr>
                <w:rFonts w:ascii="Times New Roman" w:hAnsi="Times New Roman" w:eastAsia="Times New Roman" w:cs="Times New Roman"/>
                <w:spacing w:val="-17"/>
                <w:sz w:val="20"/>
                <w:szCs w:val="20"/>
              </w:rPr>
              <w:t xml:space="preserve"> </w:t>
            </w:r>
            <w:r>
              <w:rPr>
                <w:spacing w:val="9"/>
                <w:sz w:val="20"/>
                <w:szCs w:val="20"/>
              </w:rPr>
              <w:t>。如</w:t>
            </w:r>
            <w:r>
              <w:rPr>
                <w:spacing w:val="7"/>
                <w:sz w:val="20"/>
                <w:szCs w:val="20"/>
              </w:rPr>
              <w:t>有不适感，就医。</w:t>
            </w:r>
          </w:p>
          <w:p w14:paraId="5ED7539F">
            <w:pPr>
              <w:pStyle w:val="6"/>
              <w:spacing w:line="251" w:lineRule="auto"/>
              <w:ind w:left="113" w:right="210"/>
              <w:rPr>
                <w:sz w:val="20"/>
                <w:szCs w:val="20"/>
              </w:rPr>
            </w:pPr>
            <w:r>
              <w:rPr>
                <w:spacing w:val="10"/>
                <w:sz w:val="20"/>
                <w:szCs w:val="20"/>
              </w:rPr>
              <w:t>吸入：迅速脱离现场至空气新鲜处。保持呼吸道通畅。如呼吸困难，给输氧。呼</w:t>
            </w:r>
            <w:r>
              <w:rPr>
                <w:spacing w:val="8"/>
                <w:sz w:val="20"/>
                <w:szCs w:val="20"/>
              </w:rPr>
              <w:t>吸、心跳停止，立即进行心肺复苏术。就医。</w:t>
            </w:r>
          </w:p>
          <w:p w14:paraId="531AE250">
            <w:pPr>
              <w:pStyle w:val="6"/>
              <w:spacing w:line="227" w:lineRule="auto"/>
              <w:ind w:left="105"/>
              <w:rPr>
                <w:sz w:val="20"/>
                <w:szCs w:val="20"/>
              </w:rPr>
            </w:pPr>
            <w:r>
              <w:rPr>
                <w:spacing w:val="9"/>
                <w:sz w:val="20"/>
                <w:szCs w:val="20"/>
              </w:rPr>
              <w:t>食入：用水漱口，禁止催吐。给饮牛奶或蛋清，就医。</w:t>
            </w:r>
          </w:p>
        </w:tc>
      </w:tr>
      <w:tr w14:paraId="02ACCE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8" w:hRule="atLeast"/>
        </w:trPr>
        <w:tc>
          <w:tcPr>
            <w:tcW w:w="495" w:type="dxa"/>
            <w:vMerge w:val="continue"/>
            <w:tcBorders>
              <w:top w:val="nil"/>
              <w:left w:val="single" w:color="000000" w:sz="6" w:space="0"/>
              <w:bottom w:val="nil"/>
              <w:right w:val="single" w:color="000000" w:sz="2" w:space="0"/>
            </w:tcBorders>
            <w:vAlign w:val="top"/>
          </w:tcPr>
          <w:p w14:paraId="16AA7D44">
            <w:pPr>
              <w:rPr>
                <w:rFonts w:ascii="Arial"/>
                <w:sz w:val="21"/>
              </w:rPr>
            </w:pPr>
          </w:p>
        </w:tc>
        <w:tc>
          <w:tcPr>
            <w:tcW w:w="713" w:type="dxa"/>
            <w:tcBorders>
              <w:left w:val="single" w:color="000000" w:sz="2" w:space="0"/>
            </w:tcBorders>
            <w:vAlign w:val="top"/>
          </w:tcPr>
          <w:p w14:paraId="4C5C2DE4">
            <w:pPr>
              <w:pStyle w:val="6"/>
              <w:spacing w:before="248" w:line="253" w:lineRule="auto"/>
              <w:ind w:left="196" w:right="99" w:firstLine="3"/>
              <w:jc w:val="both"/>
              <w:rPr>
                <w:sz w:val="20"/>
                <w:szCs w:val="20"/>
              </w:rPr>
            </w:pPr>
            <w:r>
              <w:rPr>
                <w:spacing w:val="3"/>
                <w:sz w:val="20"/>
                <w:szCs w:val="20"/>
              </w:rPr>
              <w:t>泄漏</w:t>
            </w:r>
            <w:r>
              <w:rPr>
                <w:spacing w:val="4"/>
                <w:sz w:val="20"/>
                <w:szCs w:val="20"/>
              </w:rPr>
              <w:t>应急处理</w:t>
            </w:r>
          </w:p>
        </w:tc>
        <w:tc>
          <w:tcPr>
            <w:tcW w:w="7693" w:type="dxa"/>
            <w:gridSpan w:val="5"/>
            <w:tcBorders>
              <w:right w:val="single" w:color="000000" w:sz="6" w:space="0"/>
            </w:tcBorders>
            <w:vAlign w:val="top"/>
          </w:tcPr>
          <w:p w14:paraId="1426DCB1">
            <w:pPr>
              <w:pStyle w:val="6"/>
              <w:spacing w:before="114" w:line="252" w:lineRule="auto"/>
              <w:ind w:left="104" w:right="210" w:firstLine="13"/>
              <w:jc w:val="both"/>
              <w:rPr>
                <w:sz w:val="20"/>
                <w:szCs w:val="20"/>
              </w:rPr>
            </w:pPr>
            <w:r>
              <w:rPr>
                <w:spacing w:val="10"/>
                <w:sz w:val="20"/>
                <w:szCs w:val="20"/>
              </w:rPr>
              <w:t>隔离泄漏污染区，限制出入。建议应急处理人员戴防尘口罩，穿防酸碱服，戴橡胶耐酸碱手套。穿上适当的防护服前严禁接触破裂的容器和泄漏物。尽可能切断泄漏源。用塑料布覆盖泄漏物，减少飞散。勿使水进入包装容器内。用洁净的铲</w:t>
            </w:r>
            <w:r>
              <w:rPr>
                <w:spacing w:val="9"/>
                <w:sz w:val="20"/>
                <w:szCs w:val="20"/>
              </w:rPr>
              <w:t>子收集泄漏物，置于干净、干燥、盖子较松的容器中，将容器移离泄漏区。</w:t>
            </w:r>
          </w:p>
        </w:tc>
      </w:tr>
      <w:tr w14:paraId="252424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2" w:hRule="atLeast"/>
        </w:trPr>
        <w:tc>
          <w:tcPr>
            <w:tcW w:w="495" w:type="dxa"/>
            <w:vMerge w:val="continue"/>
            <w:tcBorders>
              <w:top w:val="nil"/>
              <w:left w:val="single" w:color="000000" w:sz="6" w:space="0"/>
              <w:bottom w:val="nil"/>
              <w:right w:val="single" w:color="000000" w:sz="2" w:space="0"/>
            </w:tcBorders>
            <w:vAlign w:val="top"/>
          </w:tcPr>
          <w:p w14:paraId="52668B7C">
            <w:pPr>
              <w:rPr>
                <w:rFonts w:ascii="Arial"/>
                <w:sz w:val="21"/>
              </w:rPr>
            </w:pPr>
          </w:p>
        </w:tc>
        <w:tc>
          <w:tcPr>
            <w:tcW w:w="713" w:type="dxa"/>
            <w:tcBorders>
              <w:left w:val="single" w:color="000000" w:sz="2" w:space="0"/>
            </w:tcBorders>
            <w:textDirection w:val="tbRlV"/>
            <w:vAlign w:val="top"/>
          </w:tcPr>
          <w:p w14:paraId="55650905">
            <w:pPr>
              <w:pStyle w:val="6"/>
              <w:spacing w:before="200" w:line="217" w:lineRule="auto"/>
              <w:ind w:left="167"/>
              <w:rPr>
                <w:sz w:val="20"/>
                <w:szCs w:val="20"/>
              </w:rPr>
            </w:pPr>
            <w:r>
              <w:rPr>
                <w:spacing w:val="8"/>
                <w:sz w:val="20"/>
                <w:szCs w:val="20"/>
              </w:rPr>
              <w:t>操</w:t>
            </w:r>
            <w:r>
              <w:rPr>
                <w:spacing w:val="-34"/>
                <w:sz w:val="20"/>
                <w:szCs w:val="20"/>
              </w:rPr>
              <w:t xml:space="preserve"> </w:t>
            </w:r>
            <w:r>
              <w:rPr>
                <w:spacing w:val="8"/>
                <w:sz w:val="20"/>
                <w:szCs w:val="20"/>
              </w:rPr>
              <w:t>作</w:t>
            </w:r>
            <w:r>
              <w:rPr>
                <w:spacing w:val="-35"/>
                <w:sz w:val="20"/>
                <w:szCs w:val="20"/>
              </w:rPr>
              <w:t xml:space="preserve"> </w:t>
            </w:r>
            <w:r>
              <w:rPr>
                <w:spacing w:val="8"/>
                <w:sz w:val="20"/>
                <w:szCs w:val="20"/>
              </w:rPr>
              <w:t>处</w:t>
            </w:r>
            <w:r>
              <w:rPr>
                <w:spacing w:val="-37"/>
                <w:sz w:val="20"/>
                <w:szCs w:val="20"/>
              </w:rPr>
              <w:t xml:space="preserve"> </w:t>
            </w:r>
            <w:r>
              <w:rPr>
                <w:spacing w:val="8"/>
                <w:sz w:val="20"/>
                <w:szCs w:val="20"/>
              </w:rPr>
              <w:t>置</w:t>
            </w:r>
            <w:r>
              <w:rPr>
                <w:spacing w:val="-36"/>
                <w:sz w:val="20"/>
                <w:szCs w:val="20"/>
              </w:rPr>
              <w:t xml:space="preserve"> </w:t>
            </w:r>
            <w:r>
              <w:rPr>
                <w:spacing w:val="8"/>
                <w:sz w:val="20"/>
                <w:szCs w:val="20"/>
              </w:rPr>
              <w:t>与</w:t>
            </w:r>
            <w:r>
              <w:rPr>
                <w:spacing w:val="-37"/>
                <w:sz w:val="20"/>
                <w:szCs w:val="20"/>
              </w:rPr>
              <w:t xml:space="preserve"> </w:t>
            </w:r>
            <w:r>
              <w:rPr>
                <w:spacing w:val="8"/>
                <w:sz w:val="20"/>
                <w:szCs w:val="20"/>
              </w:rPr>
              <w:t>储</w:t>
            </w:r>
            <w:r>
              <w:rPr>
                <w:spacing w:val="-35"/>
                <w:sz w:val="20"/>
                <w:szCs w:val="20"/>
              </w:rPr>
              <w:t xml:space="preserve"> </w:t>
            </w:r>
            <w:r>
              <w:rPr>
                <w:spacing w:val="8"/>
                <w:sz w:val="20"/>
                <w:szCs w:val="20"/>
              </w:rPr>
              <w:t>运</w:t>
            </w:r>
          </w:p>
        </w:tc>
        <w:tc>
          <w:tcPr>
            <w:tcW w:w="7693" w:type="dxa"/>
            <w:gridSpan w:val="5"/>
            <w:tcBorders>
              <w:right w:val="single" w:color="000000" w:sz="6" w:space="0"/>
            </w:tcBorders>
            <w:vAlign w:val="top"/>
          </w:tcPr>
          <w:p w14:paraId="7E59704F">
            <w:pPr>
              <w:pStyle w:val="6"/>
              <w:spacing w:before="33" w:line="251" w:lineRule="auto"/>
              <w:ind w:left="104" w:right="210"/>
              <w:jc w:val="both"/>
              <w:rPr>
                <w:sz w:val="20"/>
                <w:szCs w:val="20"/>
              </w:rPr>
            </w:pPr>
            <w:r>
              <w:rPr>
                <w:spacing w:val="10"/>
                <w:sz w:val="20"/>
                <w:szCs w:val="20"/>
              </w:rPr>
              <w:t>操作注意事项：密闭操作。操作人员必须经过专门培训，严格遵守操作规程。建议操作人员佩戴头罩型电动送风过滤式防尘呼吸器，穿橡胶耐酸碱服，戴橡胶耐酸碱手套。远离易燃、可燃物。避免产生粉尘。避免与酸类接触。搬运时要轻装轻卸，防止包装及容器损坏。配备泄漏应急处理设备。倒空的容器可能残留有害</w:t>
            </w:r>
            <w:r>
              <w:rPr>
                <w:spacing w:val="9"/>
                <w:sz w:val="20"/>
                <w:szCs w:val="20"/>
              </w:rPr>
              <w:t>物。稀释或制备溶液时，应把碱加入水中，避免沸腾和飞溅。</w:t>
            </w:r>
          </w:p>
          <w:p w14:paraId="031E409F">
            <w:pPr>
              <w:pStyle w:val="6"/>
              <w:spacing w:before="1" w:line="239" w:lineRule="auto"/>
              <w:ind w:left="104" w:right="210"/>
              <w:jc w:val="both"/>
              <w:rPr>
                <w:sz w:val="20"/>
                <w:szCs w:val="20"/>
              </w:rPr>
            </w:pPr>
            <w:r>
              <w:rPr>
                <w:spacing w:val="10"/>
                <w:sz w:val="20"/>
                <w:szCs w:val="20"/>
              </w:rPr>
              <w:t>储存注意事项：储存于阴凉、干燥、通风良好的库房。远离火种、热源。库温不</w:t>
            </w:r>
            <w:r>
              <w:rPr>
                <w:spacing w:val="4"/>
                <w:sz w:val="20"/>
                <w:szCs w:val="20"/>
              </w:rPr>
              <w:t>宜超过</w:t>
            </w:r>
            <w:r>
              <w:rPr>
                <w:spacing w:val="-28"/>
                <w:sz w:val="20"/>
                <w:szCs w:val="20"/>
              </w:rPr>
              <w:t xml:space="preserve"> </w:t>
            </w:r>
            <w:r>
              <w:rPr>
                <w:rFonts w:ascii="Times New Roman" w:hAnsi="Times New Roman" w:eastAsia="Times New Roman" w:cs="Times New Roman"/>
                <w:spacing w:val="4"/>
                <w:sz w:val="20"/>
                <w:szCs w:val="20"/>
              </w:rPr>
              <w:t>35℃</w:t>
            </w:r>
            <w:r>
              <w:rPr>
                <w:rFonts w:ascii="Times New Roman" w:hAnsi="Times New Roman" w:eastAsia="Times New Roman" w:cs="Times New Roman"/>
                <w:spacing w:val="-25"/>
                <w:sz w:val="20"/>
                <w:szCs w:val="20"/>
              </w:rPr>
              <w:t xml:space="preserve"> </w:t>
            </w:r>
            <w:r>
              <w:rPr>
                <w:spacing w:val="4"/>
                <w:sz w:val="20"/>
                <w:szCs w:val="20"/>
              </w:rPr>
              <w:t>,</w:t>
            </w:r>
            <w:r>
              <w:rPr>
                <w:spacing w:val="52"/>
                <w:sz w:val="20"/>
                <w:szCs w:val="20"/>
              </w:rPr>
              <w:t xml:space="preserve"> </w:t>
            </w:r>
            <w:r>
              <w:rPr>
                <w:spacing w:val="4"/>
                <w:sz w:val="20"/>
                <w:szCs w:val="20"/>
              </w:rPr>
              <w:t>相对湿度不超过</w:t>
            </w:r>
            <w:r>
              <w:rPr>
                <w:spacing w:val="-32"/>
                <w:sz w:val="20"/>
                <w:szCs w:val="20"/>
              </w:rPr>
              <w:t xml:space="preserve"> </w:t>
            </w:r>
            <w:r>
              <w:rPr>
                <w:rFonts w:ascii="Times New Roman" w:hAnsi="Times New Roman" w:eastAsia="Times New Roman" w:cs="Times New Roman"/>
                <w:spacing w:val="4"/>
                <w:sz w:val="20"/>
                <w:szCs w:val="20"/>
              </w:rPr>
              <w:t>80%</w:t>
            </w:r>
            <w:r>
              <w:rPr>
                <w:rFonts w:ascii="Times New Roman" w:hAnsi="Times New Roman" w:eastAsia="Times New Roman" w:cs="Times New Roman"/>
                <w:spacing w:val="-23"/>
                <w:sz w:val="20"/>
                <w:szCs w:val="20"/>
              </w:rPr>
              <w:t xml:space="preserve"> </w:t>
            </w:r>
            <w:r>
              <w:rPr>
                <w:spacing w:val="4"/>
                <w:sz w:val="20"/>
                <w:szCs w:val="20"/>
              </w:rPr>
              <w:t>。包装必须密封，切勿受潮。应与易（可）燃</w:t>
            </w:r>
            <w:r>
              <w:rPr>
                <w:spacing w:val="9"/>
                <w:sz w:val="20"/>
                <w:szCs w:val="20"/>
              </w:rPr>
              <w:t>物、酸类等分开存放，切忌混储。储区应备有合适的材料收容泄漏物。</w:t>
            </w:r>
          </w:p>
        </w:tc>
      </w:tr>
      <w:tr w14:paraId="65FF8D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3" w:hRule="atLeast"/>
        </w:trPr>
        <w:tc>
          <w:tcPr>
            <w:tcW w:w="495" w:type="dxa"/>
            <w:vMerge w:val="continue"/>
            <w:tcBorders>
              <w:top w:val="nil"/>
              <w:left w:val="single" w:color="000000" w:sz="6" w:space="0"/>
              <w:bottom w:val="nil"/>
              <w:right w:val="single" w:color="000000" w:sz="2" w:space="0"/>
            </w:tcBorders>
            <w:vAlign w:val="top"/>
          </w:tcPr>
          <w:p w14:paraId="7A45EB16">
            <w:pPr>
              <w:rPr>
                <w:rFonts w:ascii="Arial"/>
                <w:sz w:val="21"/>
              </w:rPr>
            </w:pPr>
          </w:p>
        </w:tc>
        <w:tc>
          <w:tcPr>
            <w:tcW w:w="713" w:type="dxa"/>
            <w:tcBorders>
              <w:left w:val="single" w:color="000000" w:sz="2" w:space="0"/>
            </w:tcBorders>
            <w:vAlign w:val="top"/>
          </w:tcPr>
          <w:p w14:paraId="019ACF8B">
            <w:pPr>
              <w:pStyle w:val="6"/>
              <w:spacing w:before="305" w:line="254" w:lineRule="auto"/>
              <w:ind w:left="200" w:right="99" w:hanging="5"/>
              <w:rPr>
                <w:sz w:val="20"/>
                <w:szCs w:val="20"/>
              </w:rPr>
            </w:pPr>
            <w:r>
              <w:rPr>
                <w:spacing w:val="5"/>
                <w:sz w:val="20"/>
                <w:szCs w:val="20"/>
              </w:rPr>
              <w:t>废弃</w:t>
            </w:r>
            <w:r>
              <w:rPr>
                <w:spacing w:val="2"/>
                <w:sz w:val="20"/>
                <w:szCs w:val="20"/>
              </w:rPr>
              <w:t>处置</w:t>
            </w:r>
          </w:p>
        </w:tc>
        <w:tc>
          <w:tcPr>
            <w:tcW w:w="7693" w:type="dxa"/>
            <w:gridSpan w:val="5"/>
            <w:tcBorders>
              <w:right w:val="single" w:color="000000" w:sz="6" w:space="0"/>
            </w:tcBorders>
            <w:vAlign w:val="top"/>
          </w:tcPr>
          <w:p w14:paraId="467D1837">
            <w:pPr>
              <w:pStyle w:val="6"/>
              <w:spacing w:before="31" w:line="228" w:lineRule="auto"/>
              <w:ind w:left="104"/>
              <w:rPr>
                <w:sz w:val="20"/>
                <w:szCs w:val="20"/>
              </w:rPr>
            </w:pPr>
            <w:r>
              <w:rPr>
                <w:spacing w:val="9"/>
                <w:sz w:val="20"/>
                <w:szCs w:val="20"/>
              </w:rPr>
              <w:t>废弃物性质：危险废物</w:t>
            </w:r>
          </w:p>
          <w:p w14:paraId="6DB54F8C">
            <w:pPr>
              <w:pStyle w:val="6"/>
              <w:spacing w:before="26" w:line="228" w:lineRule="auto"/>
              <w:ind w:left="104"/>
              <w:rPr>
                <w:sz w:val="20"/>
                <w:szCs w:val="20"/>
              </w:rPr>
            </w:pPr>
            <w:r>
              <w:rPr>
                <w:spacing w:val="9"/>
                <w:sz w:val="20"/>
                <w:szCs w:val="20"/>
              </w:rPr>
              <w:t>废弃处置方法：中和、稀释后，排入废水系统。</w:t>
            </w:r>
          </w:p>
          <w:p w14:paraId="69420A98">
            <w:pPr>
              <w:pStyle w:val="6"/>
              <w:spacing w:before="23" w:line="234" w:lineRule="auto"/>
              <w:ind w:left="105" w:right="210" w:hanging="1"/>
              <w:rPr>
                <w:sz w:val="20"/>
                <w:szCs w:val="20"/>
              </w:rPr>
            </w:pPr>
            <w:r>
              <w:rPr>
                <w:spacing w:val="10"/>
                <w:sz w:val="20"/>
                <w:szCs w:val="20"/>
              </w:rPr>
              <w:t>废弃注意事项：处置前应参阅国家和地方相关法规。把倒空的容器归还厂商或在</w:t>
            </w:r>
            <w:r>
              <w:rPr>
                <w:spacing w:val="6"/>
                <w:sz w:val="20"/>
                <w:szCs w:val="20"/>
              </w:rPr>
              <w:t>规定场所掩埋。</w:t>
            </w:r>
          </w:p>
        </w:tc>
      </w:tr>
      <w:tr w14:paraId="5F77FE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3" w:hRule="atLeast"/>
        </w:trPr>
        <w:tc>
          <w:tcPr>
            <w:tcW w:w="495" w:type="dxa"/>
            <w:vMerge w:val="continue"/>
            <w:tcBorders>
              <w:top w:val="nil"/>
              <w:left w:val="single" w:color="000000" w:sz="6" w:space="0"/>
              <w:bottom w:val="nil"/>
              <w:right w:val="single" w:color="000000" w:sz="2" w:space="0"/>
            </w:tcBorders>
            <w:vAlign w:val="top"/>
          </w:tcPr>
          <w:p w14:paraId="4AECAD7E">
            <w:pPr>
              <w:rPr>
                <w:rFonts w:ascii="Arial"/>
                <w:sz w:val="21"/>
              </w:rPr>
            </w:pPr>
          </w:p>
        </w:tc>
        <w:tc>
          <w:tcPr>
            <w:tcW w:w="713" w:type="dxa"/>
            <w:tcBorders>
              <w:left w:val="single" w:color="000000" w:sz="2" w:space="0"/>
              <w:bottom w:val="single" w:color="000000" w:sz="10" w:space="0"/>
            </w:tcBorders>
            <w:textDirection w:val="tbRlV"/>
            <w:vAlign w:val="top"/>
          </w:tcPr>
          <w:p w14:paraId="62E58AB6">
            <w:pPr>
              <w:pStyle w:val="6"/>
              <w:spacing w:before="200" w:line="216" w:lineRule="auto"/>
              <w:ind w:left="851"/>
              <w:rPr>
                <w:sz w:val="20"/>
                <w:szCs w:val="20"/>
              </w:rPr>
            </w:pPr>
            <w:r>
              <w:rPr>
                <w:spacing w:val="8"/>
                <w:sz w:val="20"/>
                <w:szCs w:val="20"/>
              </w:rPr>
              <w:t>运</w:t>
            </w:r>
            <w:r>
              <w:rPr>
                <w:spacing w:val="-36"/>
                <w:sz w:val="20"/>
                <w:szCs w:val="20"/>
              </w:rPr>
              <w:t xml:space="preserve"> </w:t>
            </w:r>
            <w:r>
              <w:rPr>
                <w:spacing w:val="8"/>
                <w:sz w:val="20"/>
                <w:szCs w:val="20"/>
              </w:rPr>
              <w:t>输</w:t>
            </w:r>
            <w:r>
              <w:rPr>
                <w:spacing w:val="-35"/>
                <w:sz w:val="20"/>
                <w:szCs w:val="20"/>
              </w:rPr>
              <w:t xml:space="preserve"> </w:t>
            </w:r>
            <w:r>
              <w:rPr>
                <w:spacing w:val="8"/>
                <w:sz w:val="20"/>
                <w:szCs w:val="20"/>
              </w:rPr>
              <w:t>信</w:t>
            </w:r>
            <w:r>
              <w:rPr>
                <w:spacing w:val="-38"/>
                <w:sz w:val="20"/>
                <w:szCs w:val="20"/>
              </w:rPr>
              <w:t xml:space="preserve"> </w:t>
            </w:r>
            <w:r>
              <w:rPr>
                <w:spacing w:val="8"/>
                <w:sz w:val="20"/>
                <w:szCs w:val="20"/>
              </w:rPr>
              <w:t>息</w:t>
            </w:r>
          </w:p>
        </w:tc>
        <w:tc>
          <w:tcPr>
            <w:tcW w:w="7693" w:type="dxa"/>
            <w:gridSpan w:val="5"/>
            <w:tcBorders>
              <w:bottom w:val="single" w:color="000000" w:sz="10" w:space="0"/>
              <w:right w:val="single" w:color="000000" w:sz="6" w:space="0"/>
            </w:tcBorders>
            <w:vAlign w:val="top"/>
          </w:tcPr>
          <w:p w14:paraId="61D2F423">
            <w:pPr>
              <w:pStyle w:val="6"/>
              <w:spacing w:before="35" w:line="228" w:lineRule="auto"/>
              <w:ind w:left="105"/>
              <w:rPr>
                <w:sz w:val="20"/>
                <w:szCs w:val="20"/>
              </w:rPr>
            </w:pPr>
            <w:r>
              <w:rPr>
                <w:spacing w:val="7"/>
                <w:sz w:val="20"/>
                <w:szCs w:val="20"/>
              </w:rPr>
              <w:t>包装类别：</w:t>
            </w:r>
            <w:r>
              <w:rPr>
                <w:rFonts w:ascii="Times New Roman" w:hAnsi="Times New Roman" w:eastAsia="Times New Roman" w:cs="Times New Roman"/>
                <w:spacing w:val="7"/>
                <w:sz w:val="20"/>
                <w:szCs w:val="20"/>
              </w:rPr>
              <w:t>Ⅱ</w:t>
            </w:r>
            <w:r>
              <w:rPr>
                <w:spacing w:val="7"/>
                <w:sz w:val="20"/>
                <w:szCs w:val="20"/>
              </w:rPr>
              <w:t>类包装              包装标志：腐蚀品</w:t>
            </w:r>
          </w:p>
          <w:p w14:paraId="0CAF15E2">
            <w:pPr>
              <w:pStyle w:val="6"/>
              <w:spacing w:before="22" w:line="252" w:lineRule="auto"/>
              <w:ind w:left="105" w:right="125"/>
              <w:rPr>
                <w:sz w:val="20"/>
                <w:szCs w:val="20"/>
              </w:rPr>
            </w:pPr>
            <w:r>
              <w:rPr>
                <w:spacing w:val="8"/>
                <w:sz w:val="20"/>
                <w:szCs w:val="20"/>
              </w:rPr>
              <w:t>包装方法：</w:t>
            </w:r>
            <w:r>
              <w:rPr>
                <w:spacing w:val="-58"/>
                <w:sz w:val="20"/>
                <w:szCs w:val="20"/>
              </w:rPr>
              <w:t xml:space="preserve"> </w:t>
            </w:r>
            <w:r>
              <w:rPr>
                <w:spacing w:val="8"/>
                <w:sz w:val="20"/>
                <w:szCs w:val="20"/>
              </w:rPr>
              <w:t>固体可装入</w:t>
            </w:r>
            <w:r>
              <w:rPr>
                <w:spacing w:val="-37"/>
                <w:sz w:val="20"/>
                <w:szCs w:val="20"/>
              </w:rPr>
              <w:t xml:space="preserve"> </w:t>
            </w:r>
            <w:r>
              <w:rPr>
                <w:rFonts w:ascii="Times New Roman" w:hAnsi="Times New Roman" w:eastAsia="Times New Roman" w:cs="Times New Roman"/>
                <w:spacing w:val="8"/>
                <w:sz w:val="20"/>
                <w:szCs w:val="20"/>
              </w:rPr>
              <w:t>0.5</w:t>
            </w:r>
            <w:r>
              <w:rPr>
                <w:rFonts w:ascii="Times New Roman" w:hAnsi="Times New Roman" w:eastAsia="Times New Roman" w:cs="Times New Roman"/>
                <w:spacing w:val="17"/>
                <w:sz w:val="20"/>
                <w:szCs w:val="20"/>
              </w:rPr>
              <w:t xml:space="preserve"> </w:t>
            </w:r>
            <w:r>
              <w:rPr>
                <w:spacing w:val="8"/>
                <w:sz w:val="20"/>
                <w:szCs w:val="20"/>
              </w:rPr>
              <w:t>毫米厚的钢桶中严封，每桶净重不超过</w:t>
            </w:r>
            <w:r>
              <w:rPr>
                <w:spacing w:val="-21"/>
                <w:sz w:val="20"/>
                <w:szCs w:val="20"/>
              </w:rPr>
              <w:t xml:space="preserve"> </w:t>
            </w:r>
            <w:r>
              <w:rPr>
                <w:rFonts w:ascii="Times New Roman" w:hAnsi="Times New Roman" w:eastAsia="Times New Roman" w:cs="Times New Roman"/>
                <w:spacing w:val="8"/>
                <w:sz w:val="20"/>
                <w:szCs w:val="20"/>
              </w:rPr>
              <w:t>10</w:t>
            </w:r>
            <w:r>
              <w:rPr>
                <w:rFonts w:ascii="Times New Roman" w:hAnsi="Times New Roman" w:eastAsia="Times New Roman" w:cs="Times New Roman"/>
                <w:spacing w:val="7"/>
                <w:sz w:val="20"/>
                <w:szCs w:val="20"/>
              </w:rPr>
              <w:t>0</w:t>
            </w:r>
            <w:r>
              <w:rPr>
                <w:rFonts w:ascii="Times New Roman" w:hAnsi="Times New Roman" w:eastAsia="Times New Roman" w:cs="Times New Roman"/>
                <w:spacing w:val="19"/>
                <w:sz w:val="20"/>
                <w:szCs w:val="20"/>
              </w:rPr>
              <w:t xml:space="preserve"> </w:t>
            </w:r>
            <w:r>
              <w:rPr>
                <w:spacing w:val="7"/>
                <w:sz w:val="20"/>
                <w:szCs w:val="20"/>
              </w:rPr>
              <w:t>公斤；塑</w:t>
            </w:r>
            <w:r>
              <w:rPr>
                <w:spacing w:val="11"/>
                <w:sz w:val="20"/>
                <w:szCs w:val="20"/>
              </w:rPr>
              <w:t>料袋或二层牛皮纸袋外全开口或中开口钢桶；螺纹口玻璃瓶、</w:t>
            </w:r>
            <w:r>
              <w:rPr>
                <w:spacing w:val="10"/>
                <w:sz w:val="20"/>
                <w:szCs w:val="20"/>
              </w:rPr>
              <w:t>铁盖压口玻璃瓶、</w:t>
            </w:r>
            <w:r>
              <w:rPr>
                <w:spacing w:val="7"/>
                <w:sz w:val="20"/>
                <w:szCs w:val="20"/>
              </w:rPr>
              <w:t>塑料瓶或金属桶（罐）外普通木箱；螺纹口玻璃瓶、塑料瓶或镀锡薄钢板</w:t>
            </w:r>
            <w:r>
              <w:rPr>
                <w:spacing w:val="6"/>
                <w:sz w:val="20"/>
                <w:szCs w:val="20"/>
              </w:rPr>
              <w:t>桶（罐）</w:t>
            </w:r>
            <w:r>
              <w:rPr>
                <w:spacing w:val="11"/>
                <w:sz w:val="20"/>
                <w:szCs w:val="20"/>
              </w:rPr>
              <w:t>外满底板花格箱、纤维板箱或胶合板箱；镀锡薄钢板桶（罐）</w:t>
            </w:r>
            <w:r>
              <w:rPr>
                <w:spacing w:val="10"/>
                <w:sz w:val="20"/>
                <w:szCs w:val="20"/>
              </w:rPr>
              <w:t>、金属桶（罐）、</w:t>
            </w:r>
            <w:r>
              <w:rPr>
                <w:spacing w:val="8"/>
                <w:sz w:val="20"/>
                <w:szCs w:val="20"/>
              </w:rPr>
              <w:t>塑料瓶或金属软管外瓦楞纸箱。</w:t>
            </w:r>
          </w:p>
          <w:p w14:paraId="62684C2A">
            <w:pPr>
              <w:pStyle w:val="6"/>
              <w:spacing w:before="4" w:line="242" w:lineRule="auto"/>
              <w:ind w:left="105" w:right="210"/>
              <w:rPr>
                <w:sz w:val="20"/>
                <w:szCs w:val="20"/>
              </w:rPr>
            </w:pPr>
            <w:r>
              <w:rPr>
                <w:spacing w:val="10"/>
                <w:sz w:val="20"/>
                <w:szCs w:val="20"/>
              </w:rPr>
              <w:t>运输注意事项：铁路运输时，钢桶包装的可用敞车运输。起运时包装要完整，装载应稳妥。运输过程中要确保容器不泄漏、不倒塌、不坠落、不损坏。严禁与易燃物或可燃物、酸类、食用化学品等混装混运。运输时运输车辆应配备泄漏应急</w:t>
            </w:r>
            <w:r>
              <w:rPr>
                <w:spacing w:val="5"/>
                <w:sz w:val="20"/>
                <w:szCs w:val="20"/>
              </w:rPr>
              <w:t>处理设备。</w:t>
            </w:r>
          </w:p>
        </w:tc>
      </w:tr>
      <w:tr w14:paraId="745975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0" w:hRule="atLeast"/>
        </w:trPr>
        <w:tc>
          <w:tcPr>
            <w:tcW w:w="495" w:type="dxa"/>
            <w:vMerge w:val="continue"/>
            <w:tcBorders>
              <w:top w:val="nil"/>
              <w:left w:val="single" w:color="000000" w:sz="6" w:space="0"/>
              <w:bottom w:val="nil"/>
              <w:right w:val="single" w:color="000000" w:sz="2" w:space="0"/>
            </w:tcBorders>
            <w:vAlign w:val="top"/>
          </w:tcPr>
          <w:p w14:paraId="0575E876">
            <w:pPr>
              <w:rPr>
                <w:rFonts w:ascii="Arial"/>
                <w:sz w:val="21"/>
              </w:rPr>
            </w:pPr>
          </w:p>
        </w:tc>
        <w:tc>
          <w:tcPr>
            <w:tcW w:w="8406" w:type="dxa"/>
            <w:gridSpan w:val="6"/>
            <w:tcBorders>
              <w:top w:val="single" w:color="000000" w:sz="10" w:space="0"/>
              <w:left w:val="single" w:color="000000" w:sz="2" w:space="0"/>
              <w:bottom w:val="single" w:color="000000" w:sz="10" w:space="0"/>
              <w:right w:val="single" w:color="000000" w:sz="6" w:space="0"/>
            </w:tcBorders>
            <w:vAlign w:val="top"/>
          </w:tcPr>
          <w:p w14:paraId="06094409">
            <w:pPr>
              <w:pStyle w:val="6"/>
              <w:spacing w:before="35" w:line="219" w:lineRule="auto"/>
              <w:ind w:left="600"/>
            </w:pPr>
            <w:r>
              <w:rPr>
                <w:spacing w:val="-2"/>
              </w:rPr>
              <w:t>（</w:t>
            </w:r>
            <w:r>
              <w:rPr>
                <w:rFonts w:ascii="Times New Roman" w:hAnsi="Times New Roman" w:eastAsia="Times New Roman" w:cs="Times New Roman"/>
                <w:spacing w:val="-2"/>
              </w:rPr>
              <w:t>2</w:t>
            </w:r>
            <w:r>
              <w:rPr>
                <w:spacing w:val="-2"/>
              </w:rPr>
              <w:t>）勘探过程危险性识别</w:t>
            </w:r>
          </w:p>
          <w:p w14:paraId="74694B05">
            <w:pPr>
              <w:pStyle w:val="6"/>
              <w:spacing w:before="180" w:line="220" w:lineRule="auto"/>
              <w:ind w:left="607"/>
            </w:pPr>
            <w:r>
              <w:rPr>
                <w:rFonts w:ascii="Times New Roman" w:hAnsi="Times New Roman" w:eastAsia="Times New Roman" w:cs="Times New Roman"/>
                <w:spacing w:val="-5"/>
              </w:rPr>
              <w:t>1</w:t>
            </w:r>
            <w:r>
              <w:rPr>
                <w:spacing w:val="-5"/>
              </w:rPr>
              <w:t>）危险性识别</w:t>
            </w:r>
          </w:p>
          <w:p w14:paraId="0E8F413F">
            <w:pPr>
              <w:pStyle w:val="6"/>
              <w:spacing w:before="182" w:line="359" w:lineRule="auto"/>
              <w:ind w:left="108" w:right="100" w:firstLine="479"/>
            </w:pPr>
            <w:r>
              <w:rPr>
                <w:spacing w:val="1"/>
              </w:rPr>
              <w:t>勘探井开发过程环境风险事故中，影响范围较广的风险事故</w:t>
            </w:r>
            <w:r>
              <w:t>主要为井喷及</w:t>
            </w:r>
            <w:r>
              <w:rPr>
                <w:spacing w:val="-1"/>
              </w:rPr>
              <w:t>井喷引起的火灾、爆炸等。其潜在的风险事故和危害如下表所示。</w:t>
            </w:r>
          </w:p>
          <w:p w14:paraId="6C84459E">
            <w:pPr>
              <w:spacing w:before="1" w:line="205" w:lineRule="auto"/>
              <w:ind w:left="2008"/>
              <w:rPr>
                <w:rFonts w:ascii="黑体" w:hAnsi="黑体" w:eastAsia="黑体" w:cs="黑体"/>
                <w:sz w:val="24"/>
                <w:szCs w:val="24"/>
              </w:rPr>
            </w:pPr>
            <w:r>
              <w:rPr>
                <w:rFonts w:ascii="黑体" w:hAnsi="黑体" w:eastAsia="黑体" w:cs="黑体"/>
                <w:spacing w:val="-2"/>
                <w:sz w:val="24"/>
                <w:szCs w:val="24"/>
              </w:rPr>
              <w:t>表</w:t>
            </w:r>
            <w:r>
              <w:rPr>
                <w:rFonts w:ascii="Times New Roman" w:hAnsi="Times New Roman" w:eastAsia="Times New Roman" w:cs="Times New Roman"/>
                <w:spacing w:val="-2"/>
                <w:sz w:val="24"/>
                <w:szCs w:val="24"/>
              </w:rPr>
              <w:t>4-</w:t>
            </w:r>
            <w:r>
              <w:rPr>
                <w:rFonts w:ascii="Times New Roman" w:hAnsi="Times New Roman" w:eastAsia="Times New Roman" w:cs="Times New Roman"/>
                <w:spacing w:val="-27"/>
                <w:sz w:val="24"/>
                <w:szCs w:val="24"/>
              </w:rPr>
              <w:t xml:space="preserve"> </w:t>
            </w:r>
            <w:r>
              <w:rPr>
                <w:rFonts w:ascii="Times New Roman" w:hAnsi="Times New Roman" w:eastAsia="Times New Roman" w:cs="Times New Roman"/>
                <w:spacing w:val="-2"/>
                <w:sz w:val="24"/>
                <w:szCs w:val="24"/>
              </w:rPr>
              <w:t xml:space="preserve">17  </w:t>
            </w:r>
            <w:r>
              <w:rPr>
                <w:rFonts w:ascii="黑体" w:hAnsi="黑体" w:eastAsia="黑体" w:cs="黑体"/>
                <w:spacing w:val="-2"/>
                <w:sz w:val="24"/>
                <w:szCs w:val="24"/>
              </w:rPr>
              <w:t>主要事故类型、来源及影响环境的途径</w:t>
            </w:r>
          </w:p>
        </w:tc>
      </w:tr>
      <w:tr w14:paraId="207FB7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495" w:type="dxa"/>
            <w:vMerge w:val="continue"/>
            <w:tcBorders>
              <w:top w:val="nil"/>
              <w:left w:val="single" w:color="000000" w:sz="6" w:space="0"/>
              <w:bottom w:val="nil"/>
              <w:right w:val="single" w:color="000000" w:sz="2" w:space="0"/>
            </w:tcBorders>
            <w:vAlign w:val="top"/>
          </w:tcPr>
          <w:p w14:paraId="2F3D23E1">
            <w:pPr>
              <w:rPr>
                <w:rFonts w:ascii="Arial"/>
                <w:sz w:val="21"/>
              </w:rPr>
            </w:pPr>
          </w:p>
        </w:tc>
        <w:tc>
          <w:tcPr>
            <w:tcW w:w="955" w:type="dxa"/>
            <w:gridSpan w:val="2"/>
            <w:tcBorders>
              <w:top w:val="single" w:color="000000" w:sz="10" w:space="0"/>
              <w:left w:val="single" w:color="000000" w:sz="2" w:space="0"/>
            </w:tcBorders>
            <w:vAlign w:val="top"/>
          </w:tcPr>
          <w:p w14:paraId="53C0B012">
            <w:pPr>
              <w:pStyle w:val="6"/>
              <w:spacing w:before="33" w:line="228" w:lineRule="auto"/>
              <w:ind w:left="316"/>
              <w:rPr>
                <w:sz w:val="20"/>
                <w:szCs w:val="20"/>
              </w:rPr>
            </w:pPr>
            <w:r>
              <w:rPr>
                <w:spacing w:val="4"/>
                <w:sz w:val="20"/>
                <w:szCs w:val="20"/>
              </w:rPr>
              <w:t>事故</w:t>
            </w:r>
          </w:p>
          <w:p w14:paraId="4049DE57">
            <w:pPr>
              <w:pStyle w:val="6"/>
              <w:spacing w:before="25" w:line="208" w:lineRule="auto"/>
              <w:ind w:left="316"/>
              <w:rPr>
                <w:sz w:val="20"/>
                <w:szCs w:val="20"/>
              </w:rPr>
            </w:pPr>
            <w:r>
              <w:rPr>
                <w:spacing w:val="4"/>
                <w:sz w:val="20"/>
                <w:szCs w:val="20"/>
              </w:rPr>
              <w:t>类型</w:t>
            </w:r>
          </w:p>
        </w:tc>
        <w:tc>
          <w:tcPr>
            <w:tcW w:w="1275" w:type="dxa"/>
            <w:tcBorders>
              <w:top w:val="single" w:color="000000" w:sz="10" w:space="0"/>
            </w:tcBorders>
            <w:vAlign w:val="top"/>
          </w:tcPr>
          <w:p w14:paraId="06091847">
            <w:pPr>
              <w:pStyle w:val="6"/>
              <w:spacing w:before="169" w:line="228" w:lineRule="auto"/>
              <w:ind w:left="427"/>
              <w:rPr>
                <w:sz w:val="20"/>
                <w:szCs w:val="20"/>
              </w:rPr>
            </w:pPr>
            <w:r>
              <w:rPr>
                <w:spacing w:val="4"/>
                <w:sz w:val="20"/>
                <w:szCs w:val="20"/>
              </w:rPr>
              <w:t>来源</w:t>
            </w:r>
          </w:p>
        </w:tc>
        <w:tc>
          <w:tcPr>
            <w:tcW w:w="957" w:type="dxa"/>
            <w:tcBorders>
              <w:top w:val="single" w:color="000000" w:sz="10" w:space="0"/>
            </w:tcBorders>
            <w:vAlign w:val="top"/>
          </w:tcPr>
          <w:p w14:paraId="4D409FEB">
            <w:pPr>
              <w:pStyle w:val="6"/>
              <w:spacing w:before="170" w:line="228" w:lineRule="auto"/>
              <w:ind w:left="61"/>
              <w:rPr>
                <w:sz w:val="20"/>
                <w:szCs w:val="20"/>
              </w:rPr>
            </w:pPr>
            <w:r>
              <w:rPr>
                <w:spacing w:val="6"/>
                <w:sz w:val="20"/>
                <w:szCs w:val="20"/>
              </w:rPr>
              <w:t>危险物质</w:t>
            </w:r>
          </w:p>
        </w:tc>
        <w:tc>
          <w:tcPr>
            <w:tcW w:w="3667" w:type="dxa"/>
            <w:tcBorders>
              <w:top w:val="single" w:color="000000" w:sz="10" w:space="0"/>
            </w:tcBorders>
            <w:vAlign w:val="top"/>
          </w:tcPr>
          <w:p w14:paraId="116EAE82">
            <w:pPr>
              <w:pStyle w:val="6"/>
              <w:spacing w:before="169" w:line="228" w:lineRule="auto"/>
              <w:ind w:left="1103"/>
              <w:rPr>
                <w:sz w:val="20"/>
                <w:szCs w:val="20"/>
              </w:rPr>
            </w:pPr>
            <w:r>
              <w:rPr>
                <w:spacing w:val="8"/>
                <w:sz w:val="20"/>
                <w:szCs w:val="20"/>
              </w:rPr>
              <w:t>影响环境的途径</w:t>
            </w:r>
          </w:p>
        </w:tc>
        <w:tc>
          <w:tcPr>
            <w:tcW w:w="1552" w:type="dxa"/>
            <w:tcBorders>
              <w:top w:val="single" w:color="000000" w:sz="10" w:space="0"/>
              <w:right w:val="single" w:color="000000" w:sz="6" w:space="0"/>
            </w:tcBorders>
            <w:vAlign w:val="top"/>
          </w:tcPr>
          <w:p w14:paraId="0666BA7E">
            <w:pPr>
              <w:pStyle w:val="6"/>
              <w:spacing w:before="33" w:line="230" w:lineRule="auto"/>
              <w:ind w:left="204" w:right="189" w:hanging="102"/>
              <w:rPr>
                <w:sz w:val="20"/>
                <w:szCs w:val="20"/>
              </w:rPr>
            </w:pPr>
            <w:r>
              <w:rPr>
                <w:spacing w:val="7"/>
                <w:sz w:val="20"/>
                <w:szCs w:val="20"/>
              </w:rPr>
              <w:t>可能影响的环境敏感目标</w:t>
            </w:r>
          </w:p>
        </w:tc>
      </w:tr>
      <w:tr w14:paraId="6EB525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7" w:hRule="atLeast"/>
        </w:trPr>
        <w:tc>
          <w:tcPr>
            <w:tcW w:w="495" w:type="dxa"/>
            <w:vMerge w:val="continue"/>
            <w:tcBorders>
              <w:top w:val="nil"/>
              <w:left w:val="single" w:color="000000" w:sz="6" w:space="0"/>
              <w:bottom w:val="single" w:color="000000" w:sz="6" w:space="0"/>
              <w:right w:val="single" w:color="000000" w:sz="2" w:space="0"/>
            </w:tcBorders>
            <w:vAlign w:val="top"/>
          </w:tcPr>
          <w:p w14:paraId="34195A4B">
            <w:pPr>
              <w:rPr>
                <w:rFonts w:ascii="Arial"/>
                <w:sz w:val="21"/>
              </w:rPr>
            </w:pPr>
          </w:p>
        </w:tc>
        <w:tc>
          <w:tcPr>
            <w:tcW w:w="955" w:type="dxa"/>
            <w:gridSpan w:val="2"/>
            <w:tcBorders>
              <w:left w:val="single" w:color="000000" w:sz="2" w:space="0"/>
              <w:bottom w:val="single" w:color="000000" w:sz="6" w:space="0"/>
            </w:tcBorders>
            <w:vAlign w:val="top"/>
          </w:tcPr>
          <w:p w14:paraId="560279C4">
            <w:pPr>
              <w:spacing w:line="326" w:lineRule="auto"/>
              <w:rPr>
                <w:rFonts w:ascii="Arial"/>
                <w:sz w:val="21"/>
              </w:rPr>
            </w:pPr>
          </w:p>
          <w:p w14:paraId="71EEDDC0">
            <w:pPr>
              <w:spacing w:line="327" w:lineRule="auto"/>
              <w:rPr>
                <w:rFonts w:ascii="Arial"/>
                <w:sz w:val="21"/>
              </w:rPr>
            </w:pPr>
          </w:p>
          <w:p w14:paraId="19899B01">
            <w:pPr>
              <w:pStyle w:val="6"/>
              <w:spacing w:before="65" w:line="228" w:lineRule="auto"/>
              <w:ind w:left="316"/>
              <w:rPr>
                <w:sz w:val="20"/>
                <w:szCs w:val="20"/>
              </w:rPr>
            </w:pPr>
            <w:r>
              <w:rPr>
                <w:spacing w:val="4"/>
                <w:sz w:val="20"/>
                <w:szCs w:val="20"/>
              </w:rPr>
              <w:t>井喷</w:t>
            </w:r>
          </w:p>
        </w:tc>
        <w:tc>
          <w:tcPr>
            <w:tcW w:w="1275" w:type="dxa"/>
            <w:tcBorders>
              <w:bottom w:val="single" w:color="000000" w:sz="6" w:space="0"/>
            </w:tcBorders>
            <w:vAlign w:val="top"/>
          </w:tcPr>
          <w:p w14:paraId="70FFD7DC">
            <w:pPr>
              <w:spacing w:line="326" w:lineRule="auto"/>
              <w:rPr>
                <w:rFonts w:ascii="Arial"/>
                <w:sz w:val="21"/>
              </w:rPr>
            </w:pPr>
          </w:p>
          <w:p w14:paraId="4DFC152C">
            <w:pPr>
              <w:spacing w:line="327" w:lineRule="auto"/>
              <w:rPr>
                <w:rFonts w:ascii="Arial"/>
                <w:sz w:val="21"/>
              </w:rPr>
            </w:pPr>
          </w:p>
          <w:p w14:paraId="4C7D34AB">
            <w:pPr>
              <w:pStyle w:val="6"/>
              <w:spacing w:before="65" w:line="228" w:lineRule="auto"/>
              <w:ind w:left="427"/>
              <w:rPr>
                <w:sz w:val="20"/>
                <w:szCs w:val="20"/>
              </w:rPr>
            </w:pPr>
            <w:r>
              <w:rPr>
                <w:spacing w:val="4"/>
                <w:sz w:val="20"/>
                <w:szCs w:val="20"/>
              </w:rPr>
              <w:t>钻井</w:t>
            </w:r>
          </w:p>
        </w:tc>
        <w:tc>
          <w:tcPr>
            <w:tcW w:w="957" w:type="dxa"/>
            <w:tcBorders>
              <w:bottom w:val="single" w:color="000000" w:sz="6" w:space="0"/>
            </w:tcBorders>
            <w:vAlign w:val="top"/>
          </w:tcPr>
          <w:p w14:paraId="78DB2337">
            <w:pPr>
              <w:spacing w:line="326" w:lineRule="auto"/>
              <w:rPr>
                <w:rFonts w:ascii="Arial"/>
                <w:sz w:val="21"/>
              </w:rPr>
            </w:pPr>
          </w:p>
          <w:p w14:paraId="4FA2C0D8">
            <w:pPr>
              <w:spacing w:line="327" w:lineRule="auto"/>
              <w:rPr>
                <w:rFonts w:ascii="Arial"/>
                <w:sz w:val="21"/>
              </w:rPr>
            </w:pPr>
          </w:p>
          <w:p w14:paraId="3D7F33F8">
            <w:pPr>
              <w:pStyle w:val="6"/>
              <w:spacing w:before="65" w:line="232" w:lineRule="auto"/>
              <w:ind w:left="273"/>
              <w:rPr>
                <w:sz w:val="20"/>
                <w:szCs w:val="20"/>
              </w:rPr>
            </w:pPr>
            <w:r>
              <w:rPr>
                <w:spacing w:val="2"/>
                <w:sz w:val="20"/>
                <w:szCs w:val="20"/>
              </w:rPr>
              <w:t>原油</w:t>
            </w:r>
          </w:p>
        </w:tc>
        <w:tc>
          <w:tcPr>
            <w:tcW w:w="3667" w:type="dxa"/>
            <w:tcBorders>
              <w:bottom w:val="single" w:color="000000" w:sz="6" w:space="0"/>
            </w:tcBorders>
            <w:vAlign w:val="top"/>
          </w:tcPr>
          <w:p w14:paraId="7772459A">
            <w:pPr>
              <w:pStyle w:val="6"/>
              <w:spacing w:before="43" w:line="250" w:lineRule="auto"/>
              <w:ind w:left="11" w:hanging="3"/>
              <w:rPr>
                <w:sz w:val="20"/>
                <w:szCs w:val="20"/>
              </w:rPr>
            </w:pPr>
            <w:r>
              <w:rPr>
                <w:spacing w:val="14"/>
                <w:sz w:val="20"/>
                <w:szCs w:val="20"/>
              </w:rPr>
              <w:t>①释放有毒污染物，引发火灾从而污染</w:t>
            </w:r>
            <w:r>
              <w:rPr>
                <w:spacing w:val="5"/>
                <w:sz w:val="20"/>
                <w:szCs w:val="20"/>
              </w:rPr>
              <w:t>大气环境；</w:t>
            </w:r>
          </w:p>
          <w:p w14:paraId="33E76E82">
            <w:pPr>
              <w:pStyle w:val="6"/>
              <w:spacing w:before="2" w:line="251" w:lineRule="auto"/>
              <w:ind w:left="9" w:hanging="2"/>
              <w:rPr>
                <w:sz w:val="20"/>
                <w:szCs w:val="20"/>
              </w:rPr>
            </w:pPr>
            <w:r>
              <w:rPr>
                <w:spacing w:val="14"/>
                <w:sz w:val="20"/>
                <w:szCs w:val="20"/>
              </w:rPr>
              <w:t>②原油泄漏进入地表，阻塞土壤孔隙，使土壤板结，降低通透性，不利于植物</w:t>
            </w:r>
            <w:r>
              <w:rPr>
                <w:spacing w:val="2"/>
                <w:sz w:val="20"/>
                <w:szCs w:val="20"/>
              </w:rPr>
              <w:t>生长；</w:t>
            </w:r>
          </w:p>
          <w:p w14:paraId="0419CD92">
            <w:pPr>
              <w:pStyle w:val="6"/>
              <w:spacing w:line="215" w:lineRule="auto"/>
              <w:ind w:left="7"/>
              <w:rPr>
                <w:sz w:val="20"/>
                <w:szCs w:val="20"/>
              </w:rPr>
            </w:pPr>
            <w:r>
              <w:rPr>
                <w:spacing w:val="8"/>
                <w:sz w:val="20"/>
                <w:szCs w:val="20"/>
              </w:rPr>
              <w:t>③进入地下水层，污染地下水水质。</w:t>
            </w:r>
          </w:p>
        </w:tc>
        <w:tc>
          <w:tcPr>
            <w:tcW w:w="1552" w:type="dxa"/>
            <w:tcBorders>
              <w:bottom w:val="single" w:color="000000" w:sz="6" w:space="0"/>
              <w:right w:val="single" w:color="000000" w:sz="6" w:space="0"/>
            </w:tcBorders>
            <w:vAlign w:val="top"/>
          </w:tcPr>
          <w:p w14:paraId="5F7F8EDE">
            <w:pPr>
              <w:spacing w:line="384" w:lineRule="auto"/>
              <w:rPr>
                <w:rFonts w:ascii="Arial"/>
                <w:sz w:val="21"/>
              </w:rPr>
            </w:pPr>
          </w:p>
          <w:p w14:paraId="138F6134">
            <w:pPr>
              <w:pStyle w:val="6"/>
              <w:spacing w:before="65" w:line="228" w:lineRule="auto"/>
              <w:ind w:left="15"/>
              <w:rPr>
                <w:sz w:val="20"/>
                <w:szCs w:val="20"/>
              </w:rPr>
            </w:pPr>
            <w:r>
              <w:rPr>
                <w:spacing w:val="6"/>
                <w:sz w:val="20"/>
                <w:szCs w:val="20"/>
              </w:rPr>
              <w:t>周围大气环境、</w:t>
            </w:r>
          </w:p>
          <w:p w14:paraId="172AA32F">
            <w:pPr>
              <w:pStyle w:val="6"/>
              <w:spacing w:before="24" w:line="228" w:lineRule="auto"/>
              <w:ind w:left="15"/>
              <w:rPr>
                <w:sz w:val="20"/>
                <w:szCs w:val="20"/>
              </w:rPr>
            </w:pPr>
            <w:r>
              <w:rPr>
                <w:spacing w:val="2"/>
                <w:sz w:val="20"/>
                <w:szCs w:val="20"/>
              </w:rPr>
              <w:t>土壤环境、地下</w:t>
            </w:r>
          </w:p>
          <w:p w14:paraId="10D6EB08">
            <w:pPr>
              <w:pStyle w:val="6"/>
              <w:spacing w:before="23" w:line="228" w:lineRule="auto"/>
              <w:ind w:left="417"/>
              <w:rPr>
                <w:sz w:val="20"/>
                <w:szCs w:val="20"/>
              </w:rPr>
            </w:pPr>
            <w:r>
              <w:rPr>
                <w:spacing w:val="6"/>
                <w:sz w:val="20"/>
                <w:szCs w:val="20"/>
              </w:rPr>
              <w:t>水环境</w:t>
            </w:r>
          </w:p>
        </w:tc>
      </w:tr>
    </w:tbl>
    <w:p w14:paraId="304438E1">
      <w:pPr>
        <w:spacing w:line="217" w:lineRule="exact"/>
        <w:rPr>
          <w:rFonts w:ascii="Arial"/>
          <w:sz w:val="18"/>
        </w:rPr>
      </w:pPr>
    </w:p>
    <w:p w14:paraId="1DF20020">
      <w:pPr>
        <w:spacing w:line="217" w:lineRule="exact"/>
        <w:rPr>
          <w:rFonts w:ascii="Arial" w:hAnsi="Arial" w:eastAsia="Arial" w:cs="Arial"/>
          <w:sz w:val="18"/>
          <w:szCs w:val="18"/>
        </w:rPr>
        <w:sectPr>
          <w:footerReference r:id="rId84" w:type="default"/>
          <w:pgSz w:w="11906" w:h="16839"/>
          <w:pgMar w:top="400" w:right="1410" w:bottom="1240" w:left="1579" w:header="0" w:footer="1078" w:gutter="0"/>
          <w:cols w:space="720" w:num="1"/>
        </w:sectPr>
      </w:pPr>
    </w:p>
    <w:p w14:paraId="3A8D7770">
      <w:pPr>
        <w:spacing w:before="56"/>
      </w:pPr>
    </w:p>
    <w:p w14:paraId="0ABF142F">
      <w:pPr>
        <w:spacing w:before="56"/>
      </w:pPr>
    </w:p>
    <w:p w14:paraId="1A0F3D3B">
      <w:pPr>
        <w:spacing w:before="55"/>
      </w:pPr>
    </w:p>
    <w:p w14:paraId="506CB7BF">
      <w:pPr>
        <w:spacing w:before="55"/>
      </w:pPr>
    </w:p>
    <w:tbl>
      <w:tblPr>
        <w:tblStyle w:val="5"/>
        <w:tblW w:w="8901"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5"/>
        <w:gridCol w:w="955"/>
        <w:gridCol w:w="1275"/>
        <w:gridCol w:w="957"/>
        <w:gridCol w:w="3667"/>
        <w:gridCol w:w="1552"/>
      </w:tblGrid>
      <w:tr w14:paraId="28571D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trPr>
        <w:tc>
          <w:tcPr>
            <w:tcW w:w="495" w:type="dxa"/>
            <w:vMerge w:val="restart"/>
            <w:tcBorders>
              <w:top w:val="single" w:color="000000" w:sz="6" w:space="0"/>
              <w:left w:val="single" w:color="000000" w:sz="6" w:space="0"/>
              <w:bottom w:val="nil"/>
              <w:right w:val="single" w:color="000000" w:sz="2" w:space="0"/>
            </w:tcBorders>
            <w:vAlign w:val="top"/>
          </w:tcPr>
          <w:p w14:paraId="7E75845D">
            <w:pPr>
              <w:rPr>
                <w:rFonts w:ascii="Arial"/>
                <w:sz w:val="21"/>
              </w:rPr>
            </w:pPr>
          </w:p>
        </w:tc>
        <w:tc>
          <w:tcPr>
            <w:tcW w:w="955" w:type="dxa"/>
            <w:tcBorders>
              <w:top w:val="single" w:color="000000" w:sz="6" w:space="0"/>
              <w:left w:val="single" w:color="000000" w:sz="2" w:space="0"/>
            </w:tcBorders>
            <w:vAlign w:val="top"/>
          </w:tcPr>
          <w:p w14:paraId="522A93D2">
            <w:pPr>
              <w:pStyle w:val="6"/>
              <w:spacing w:before="201" w:line="228" w:lineRule="auto"/>
              <w:ind w:left="316"/>
              <w:rPr>
                <w:sz w:val="20"/>
                <w:szCs w:val="20"/>
              </w:rPr>
            </w:pPr>
            <w:r>
              <w:rPr>
                <w:spacing w:val="4"/>
                <w:sz w:val="20"/>
                <w:szCs w:val="20"/>
              </w:rPr>
              <w:t>井漏</w:t>
            </w:r>
          </w:p>
        </w:tc>
        <w:tc>
          <w:tcPr>
            <w:tcW w:w="1275" w:type="dxa"/>
            <w:tcBorders>
              <w:top w:val="single" w:color="000000" w:sz="6" w:space="0"/>
            </w:tcBorders>
            <w:vAlign w:val="top"/>
          </w:tcPr>
          <w:p w14:paraId="4AD97191">
            <w:pPr>
              <w:pStyle w:val="6"/>
              <w:spacing w:before="201" w:line="228" w:lineRule="auto"/>
              <w:ind w:left="427"/>
              <w:rPr>
                <w:sz w:val="20"/>
                <w:szCs w:val="20"/>
              </w:rPr>
            </w:pPr>
            <w:r>
              <w:rPr>
                <w:spacing w:val="4"/>
                <w:sz w:val="20"/>
                <w:szCs w:val="20"/>
              </w:rPr>
              <w:t>钻井</w:t>
            </w:r>
          </w:p>
        </w:tc>
        <w:tc>
          <w:tcPr>
            <w:tcW w:w="957" w:type="dxa"/>
            <w:tcBorders>
              <w:top w:val="single" w:color="000000" w:sz="6" w:space="0"/>
            </w:tcBorders>
            <w:vAlign w:val="top"/>
          </w:tcPr>
          <w:p w14:paraId="507099DB">
            <w:pPr>
              <w:pStyle w:val="6"/>
              <w:spacing w:before="65" w:line="236" w:lineRule="auto"/>
              <w:ind w:left="375" w:right="58" w:hanging="316"/>
              <w:rPr>
                <w:sz w:val="20"/>
                <w:szCs w:val="20"/>
              </w:rPr>
            </w:pPr>
            <w:r>
              <w:rPr>
                <w:spacing w:val="7"/>
                <w:sz w:val="20"/>
                <w:szCs w:val="20"/>
              </w:rPr>
              <w:t>钻井泥浆</w:t>
            </w:r>
            <w:r>
              <w:rPr>
                <w:sz w:val="20"/>
                <w:szCs w:val="20"/>
              </w:rPr>
              <w:t>等</w:t>
            </w:r>
          </w:p>
        </w:tc>
        <w:tc>
          <w:tcPr>
            <w:tcW w:w="3667" w:type="dxa"/>
            <w:tcBorders>
              <w:top w:val="single" w:color="000000" w:sz="6" w:space="0"/>
            </w:tcBorders>
            <w:vAlign w:val="top"/>
          </w:tcPr>
          <w:p w14:paraId="2858A4A4">
            <w:pPr>
              <w:pStyle w:val="6"/>
              <w:spacing w:before="65" w:line="236" w:lineRule="auto"/>
              <w:ind w:left="10" w:right="137" w:hanging="1"/>
              <w:rPr>
                <w:sz w:val="20"/>
                <w:szCs w:val="20"/>
              </w:rPr>
            </w:pPr>
            <w:r>
              <w:rPr>
                <w:spacing w:val="6"/>
                <w:sz w:val="20"/>
                <w:szCs w:val="20"/>
              </w:rPr>
              <w:t>钻井泥浆等沿裂缝漏失进入地下水层，</w:t>
            </w:r>
            <w:r>
              <w:rPr>
                <w:spacing w:val="7"/>
                <w:sz w:val="20"/>
                <w:szCs w:val="20"/>
              </w:rPr>
              <w:t>污染地下水水质。</w:t>
            </w:r>
          </w:p>
        </w:tc>
        <w:tc>
          <w:tcPr>
            <w:tcW w:w="1552" w:type="dxa"/>
            <w:tcBorders>
              <w:top w:val="single" w:color="000000" w:sz="6" w:space="0"/>
              <w:right w:val="single" w:color="000000" w:sz="6" w:space="0"/>
            </w:tcBorders>
            <w:vAlign w:val="top"/>
          </w:tcPr>
          <w:p w14:paraId="606F85F5">
            <w:pPr>
              <w:pStyle w:val="6"/>
              <w:spacing w:before="200" w:line="228" w:lineRule="auto"/>
              <w:ind w:left="204"/>
              <w:rPr>
                <w:sz w:val="20"/>
                <w:szCs w:val="20"/>
              </w:rPr>
            </w:pPr>
            <w:r>
              <w:rPr>
                <w:spacing w:val="8"/>
                <w:sz w:val="20"/>
                <w:szCs w:val="20"/>
              </w:rPr>
              <w:t>地下水环境</w:t>
            </w:r>
          </w:p>
        </w:tc>
      </w:tr>
      <w:tr w14:paraId="1FAF3F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4" w:hRule="atLeast"/>
        </w:trPr>
        <w:tc>
          <w:tcPr>
            <w:tcW w:w="495" w:type="dxa"/>
            <w:vMerge w:val="continue"/>
            <w:tcBorders>
              <w:top w:val="nil"/>
              <w:left w:val="single" w:color="000000" w:sz="6" w:space="0"/>
              <w:bottom w:val="nil"/>
              <w:right w:val="single" w:color="000000" w:sz="2" w:space="0"/>
            </w:tcBorders>
            <w:vAlign w:val="top"/>
          </w:tcPr>
          <w:p w14:paraId="3E8C7FC6">
            <w:pPr>
              <w:rPr>
                <w:rFonts w:ascii="Arial"/>
                <w:sz w:val="21"/>
              </w:rPr>
            </w:pPr>
          </w:p>
        </w:tc>
        <w:tc>
          <w:tcPr>
            <w:tcW w:w="955" w:type="dxa"/>
            <w:tcBorders>
              <w:left w:val="single" w:color="000000" w:sz="2" w:space="0"/>
            </w:tcBorders>
            <w:vAlign w:val="top"/>
          </w:tcPr>
          <w:p w14:paraId="310B9B22">
            <w:pPr>
              <w:pStyle w:val="6"/>
              <w:spacing w:before="162" w:line="228" w:lineRule="auto"/>
              <w:ind w:left="184"/>
              <w:rPr>
                <w:rFonts w:ascii="Times New Roman" w:hAnsi="Times New Roman" w:eastAsia="Times New Roman" w:cs="Times New Roman"/>
                <w:sz w:val="20"/>
                <w:szCs w:val="20"/>
              </w:rPr>
            </w:pPr>
            <w:r>
              <w:rPr>
                <w:spacing w:val="5"/>
                <w:sz w:val="20"/>
                <w:szCs w:val="20"/>
              </w:rPr>
              <w:t>柴油罐</w:t>
            </w:r>
            <w:r>
              <w:rPr>
                <w:rFonts w:ascii="Times New Roman" w:hAnsi="Times New Roman" w:eastAsia="Times New Roman" w:cs="Times New Roman"/>
                <w:spacing w:val="5"/>
                <w:sz w:val="20"/>
                <w:szCs w:val="20"/>
              </w:rPr>
              <w:t>/</w:t>
            </w:r>
          </w:p>
          <w:p w14:paraId="79CDE4D3">
            <w:pPr>
              <w:pStyle w:val="6"/>
              <w:spacing w:before="24" w:line="228" w:lineRule="auto"/>
              <w:ind w:right="10"/>
              <w:jc w:val="right"/>
              <w:rPr>
                <w:sz w:val="20"/>
                <w:szCs w:val="20"/>
              </w:rPr>
            </w:pPr>
            <w:r>
              <w:rPr>
                <w:spacing w:val="7"/>
                <w:sz w:val="20"/>
                <w:szCs w:val="20"/>
              </w:rPr>
              <w:t>储液罐泄</w:t>
            </w:r>
          </w:p>
          <w:p w14:paraId="3C094380">
            <w:pPr>
              <w:pStyle w:val="6"/>
              <w:spacing w:before="26" w:line="228" w:lineRule="auto"/>
              <w:jc w:val="right"/>
              <w:rPr>
                <w:sz w:val="20"/>
                <w:szCs w:val="20"/>
              </w:rPr>
            </w:pPr>
            <w:r>
              <w:rPr>
                <w:spacing w:val="-27"/>
                <w:w w:val="97"/>
                <w:sz w:val="20"/>
                <w:szCs w:val="20"/>
              </w:rPr>
              <w:t>漏、火灾、</w:t>
            </w:r>
          </w:p>
          <w:p w14:paraId="61AEB9A9">
            <w:pPr>
              <w:pStyle w:val="6"/>
              <w:spacing w:before="27" w:line="226" w:lineRule="auto"/>
              <w:ind w:left="316"/>
              <w:rPr>
                <w:sz w:val="20"/>
                <w:szCs w:val="20"/>
              </w:rPr>
            </w:pPr>
            <w:r>
              <w:rPr>
                <w:spacing w:val="4"/>
                <w:sz w:val="20"/>
                <w:szCs w:val="20"/>
              </w:rPr>
              <w:t>爆炸</w:t>
            </w:r>
          </w:p>
        </w:tc>
        <w:tc>
          <w:tcPr>
            <w:tcW w:w="1275" w:type="dxa"/>
            <w:vAlign w:val="top"/>
          </w:tcPr>
          <w:p w14:paraId="711E6FA8">
            <w:pPr>
              <w:spacing w:line="252" w:lineRule="auto"/>
              <w:rPr>
                <w:rFonts w:ascii="Arial"/>
                <w:sz w:val="21"/>
              </w:rPr>
            </w:pPr>
          </w:p>
          <w:p w14:paraId="1CF70C90">
            <w:pPr>
              <w:spacing w:line="253" w:lineRule="auto"/>
              <w:rPr>
                <w:rFonts w:ascii="Arial"/>
                <w:sz w:val="21"/>
              </w:rPr>
            </w:pPr>
          </w:p>
          <w:p w14:paraId="294DB836">
            <w:pPr>
              <w:pStyle w:val="6"/>
              <w:spacing w:before="65" w:line="228" w:lineRule="auto"/>
              <w:ind w:left="187"/>
              <w:rPr>
                <w:sz w:val="20"/>
                <w:szCs w:val="20"/>
              </w:rPr>
            </w:pPr>
            <w:r>
              <w:rPr>
                <w:spacing w:val="6"/>
                <w:sz w:val="20"/>
                <w:szCs w:val="20"/>
              </w:rPr>
              <w:t>钻井</w:t>
            </w:r>
            <w:r>
              <w:rPr>
                <w:rFonts w:ascii="Times New Roman" w:hAnsi="Times New Roman" w:eastAsia="Times New Roman" w:cs="Times New Roman"/>
                <w:spacing w:val="6"/>
                <w:sz w:val="20"/>
                <w:szCs w:val="20"/>
              </w:rPr>
              <w:t>/</w:t>
            </w:r>
            <w:r>
              <w:rPr>
                <w:spacing w:val="6"/>
                <w:sz w:val="20"/>
                <w:szCs w:val="20"/>
              </w:rPr>
              <w:t>试油</w:t>
            </w:r>
          </w:p>
        </w:tc>
        <w:tc>
          <w:tcPr>
            <w:tcW w:w="957" w:type="dxa"/>
            <w:vAlign w:val="top"/>
          </w:tcPr>
          <w:p w14:paraId="4EE79F3B">
            <w:pPr>
              <w:spacing w:line="252" w:lineRule="auto"/>
              <w:rPr>
                <w:rFonts w:ascii="Arial"/>
                <w:sz w:val="21"/>
              </w:rPr>
            </w:pPr>
          </w:p>
          <w:p w14:paraId="0041FFB9">
            <w:pPr>
              <w:spacing w:line="253" w:lineRule="auto"/>
              <w:rPr>
                <w:rFonts w:ascii="Arial"/>
                <w:sz w:val="21"/>
              </w:rPr>
            </w:pPr>
          </w:p>
          <w:p w14:paraId="0B65E326">
            <w:pPr>
              <w:pStyle w:val="6"/>
              <w:spacing w:before="65" w:line="228" w:lineRule="auto"/>
              <w:ind w:left="30"/>
              <w:rPr>
                <w:sz w:val="20"/>
                <w:szCs w:val="20"/>
              </w:rPr>
            </w:pPr>
            <w:r>
              <w:rPr>
                <w:spacing w:val="6"/>
                <w:sz w:val="20"/>
                <w:szCs w:val="20"/>
              </w:rPr>
              <w:t>柴油</w:t>
            </w:r>
            <w:r>
              <w:rPr>
                <w:rFonts w:ascii="Times New Roman" w:hAnsi="Times New Roman" w:eastAsia="Times New Roman" w:cs="Times New Roman"/>
                <w:spacing w:val="6"/>
                <w:sz w:val="20"/>
                <w:szCs w:val="20"/>
              </w:rPr>
              <w:t>/</w:t>
            </w:r>
            <w:r>
              <w:rPr>
                <w:spacing w:val="6"/>
                <w:sz w:val="20"/>
                <w:szCs w:val="20"/>
              </w:rPr>
              <w:t>原油</w:t>
            </w:r>
          </w:p>
        </w:tc>
        <w:tc>
          <w:tcPr>
            <w:tcW w:w="3667" w:type="dxa"/>
            <w:vAlign w:val="top"/>
          </w:tcPr>
          <w:p w14:paraId="6CF664E9">
            <w:pPr>
              <w:pStyle w:val="6"/>
              <w:spacing w:before="29" w:line="251" w:lineRule="auto"/>
              <w:ind w:left="11" w:right="89" w:hanging="3"/>
              <w:rPr>
                <w:sz w:val="20"/>
                <w:szCs w:val="20"/>
              </w:rPr>
            </w:pPr>
            <w:r>
              <w:rPr>
                <w:spacing w:val="9"/>
                <w:sz w:val="20"/>
                <w:szCs w:val="20"/>
              </w:rPr>
              <w:t>①释放有毒污染物，引发火灾从而污染</w:t>
            </w:r>
            <w:r>
              <w:rPr>
                <w:spacing w:val="5"/>
                <w:sz w:val="20"/>
                <w:szCs w:val="20"/>
              </w:rPr>
              <w:t>大气环境；</w:t>
            </w:r>
          </w:p>
          <w:p w14:paraId="008FD06B">
            <w:pPr>
              <w:pStyle w:val="6"/>
              <w:spacing w:line="251" w:lineRule="auto"/>
              <w:ind w:left="8" w:hanging="1"/>
              <w:rPr>
                <w:sz w:val="20"/>
                <w:szCs w:val="20"/>
              </w:rPr>
            </w:pPr>
            <w:r>
              <w:rPr>
                <w:spacing w:val="6"/>
                <w:sz w:val="20"/>
                <w:szCs w:val="20"/>
              </w:rPr>
              <w:t>②泄漏进入地表，阻塞土壤孔隙，使土</w:t>
            </w:r>
            <w:r>
              <w:rPr>
                <w:spacing w:val="2"/>
                <w:sz w:val="20"/>
                <w:szCs w:val="20"/>
              </w:rPr>
              <w:t>壤板结，降低通透性，不利于植物生长；</w:t>
            </w:r>
          </w:p>
          <w:p w14:paraId="7D4AB030">
            <w:pPr>
              <w:pStyle w:val="6"/>
              <w:spacing w:line="217" w:lineRule="auto"/>
              <w:ind w:left="7"/>
              <w:rPr>
                <w:sz w:val="20"/>
                <w:szCs w:val="20"/>
              </w:rPr>
            </w:pPr>
            <w:r>
              <w:rPr>
                <w:spacing w:val="8"/>
                <w:sz w:val="20"/>
                <w:szCs w:val="20"/>
              </w:rPr>
              <w:t>③进入地下水层，污染地下水水质。</w:t>
            </w:r>
          </w:p>
        </w:tc>
        <w:tc>
          <w:tcPr>
            <w:tcW w:w="1552" w:type="dxa"/>
            <w:tcBorders>
              <w:right w:val="single" w:color="000000" w:sz="6" w:space="0"/>
            </w:tcBorders>
            <w:vAlign w:val="top"/>
          </w:tcPr>
          <w:p w14:paraId="58FAA383">
            <w:pPr>
              <w:pStyle w:val="6"/>
              <w:spacing w:before="300" w:line="228" w:lineRule="auto"/>
              <w:ind w:left="15"/>
              <w:rPr>
                <w:sz w:val="20"/>
                <w:szCs w:val="20"/>
              </w:rPr>
            </w:pPr>
            <w:r>
              <w:rPr>
                <w:spacing w:val="6"/>
                <w:sz w:val="20"/>
                <w:szCs w:val="20"/>
              </w:rPr>
              <w:t>周围大气环境、</w:t>
            </w:r>
          </w:p>
          <w:p w14:paraId="45CB45B9">
            <w:pPr>
              <w:pStyle w:val="6"/>
              <w:spacing w:before="24" w:line="228" w:lineRule="auto"/>
              <w:ind w:left="15"/>
              <w:rPr>
                <w:sz w:val="20"/>
                <w:szCs w:val="20"/>
              </w:rPr>
            </w:pPr>
            <w:r>
              <w:rPr>
                <w:spacing w:val="2"/>
                <w:sz w:val="20"/>
                <w:szCs w:val="20"/>
              </w:rPr>
              <w:t>土壤环境、地下</w:t>
            </w:r>
          </w:p>
          <w:p w14:paraId="7D0F52FC">
            <w:pPr>
              <w:pStyle w:val="6"/>
              <w:spacing w:before="23" w:line="228" w:lineRule="auto"/>
              <w:ind w:left="417"/>
              <w:rPr>
                <w:sz w:val="20"/>
                <w:szCs w:val="20"/>
              </w:rPr>
            </w:pPr>
            <w:r>
              <w:rPr>
                <w:spacing w:val="6"/>
                <w:sz w:val="20"/>
                <w:szCs w:val="20"/>
              </w:rPr>
              <w:t>水环境</w:t>
            </w:r>
          </w:p>
        </w:tc>
      </w:tr>
      <w:tr w14:paraId="78F81B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7" w:hRule="atLeast"/>
        </w:trPr>
        <w:tc>
          <w:tcPr>
            <w:tcW w:w="495" w:type="dxa"/>
            <w:vMerge w:val="continue"/>
            <w:tcBorders>
              <w:top w:val="nil"/>
              <w:left w:val="single" w:color="000000" w:sz="6" w:space="0"/>
              <w:bottom w:val="nil"/>
              <w:right w:val="single" w:color="000000" w:sz="2" w:space="0"/>
            </w:tcBorders>
            <w:vAlign w:val="top"/>
          </w:tcPr>
          <w:p w14:paraId="4DDE29C8">
            <w:pPr>
              <w:rPr>
                <w:rFonts w:ascii="Arial"/>
                <w:sz w:val="21"/>
              </w:rPr>
            </w:pPr>
          </w:p>
        </w:tc>
        <w:tc>
          <w:tcPr>
            <w:tcW w:w="955" w:type="dxa"/>
            <w:tcBorders>
              <w:left w:val="single" w:color="000000" w:sz="2" w:space="0"/>
            </w:tcBorders>
            <w:vAlign w:val="top"/>
          </w:tcPr>
          <w:p w14:paraId="256B2167">
            <w:pPr>
              <w:spacing w:line="253" w:lineRule="auto"/>
              <w:rPr>
                <w:rFonts w:ascii="Arial"/>
                <w:sz w:val="21"/>
              </w:rPr>
            </w:pPr>
          </w:p>
          <w:p w14:paraId="7C368717">
            <w:pPr>
              <w:spacing w:line="254" w:lineRule="auto"/>
              <w:rPr>
                <w:rFonts w:ascii="Arial"/>
                <w:sz w:val="21"/>
              </w:rPr>
            </w:pPr>
          </w:p>
          <w:p w14:paraId="1C6F9036">
            <w:pPr>
              <w:pStyle w:val="6"/>
              <w:spacing w:before="65" w:line="253" w:lineRule="auto"/>
              <w:ind w:left="112" w:right="10" w:hanging="1"/>
              <w:rPr>
                <w:sz w:val="20"/>
                <w:szCs w:val="20"/>
              </w:rPr>
            </w:pPr>
            <w:r>
              <w:rPr>
                <w:spacing w:val="6"/>
                <w:sz w:val="20"/>
                <w:szCs w:val="20"/>
              </w:rPr>
              <w:t>泄漏、火灾、爆炸</w:t>
            </w:r>
          </w:p>
        </w:tc>
        <w:tc>
          <w:tcPr>
            <w:tcW w:w="1275" w:type="dxa"/>
            <w:vAlign w:val="top"/>
          </w:tcPr>
          <w:p w14:paraId="24EC3427">
            <w:pPr>
              <w:spacing w:line="373" w:lineRule="auto"/>
              <w:rPr>
                <w:rFonts w:ascii="Arial"/>
                <w:sz w:val="21"/>
              </w:rPr>
            </w:pPr>
          </w:p>
          <w:p w14:paraId="705FC410">
            <w:pPr>
              <w:pStyle w:val="6"/>
              <w:spacing w:before="65" w:line="228" w:lineRule="auto"/>
              <w:ind w:left="7"/>
              <w:rPr>
                <w:sz w:val="20"/>
                <w:szCs w:val="20"/>
              </w:rPr>
            </w:pPr>
            <w:r>
              <w:rPr>
                <w:spacing w:val="8"/>
                <w:sz w:val="20"/>
                <w:szCs w:val="20"/>
              </w:rPr>
              <w:t>试油过程井口</w:t>
            </w:r>
          </w:p>
          <w:p w14:paraId="405F45CC">
            <w:pPr>
              <w:pStyle w:val="6"/>
              <w:spacing w:before="23" w:line="228" w:lineRule="auto"/>
              <w:ind w:left="7"/>
              <w:rPr>
                <w:sz w:val="20"/>
                <w:szCs w:val="20"/>
              </w:rPr>
            </w:pPr>
            <w:r>
              <w:rPr>
                <w:spacing w:val="8"/>
                <w:sz w:val="20"/>
                <w:szCs w:val="20"/>
              </w:rPr>
              <w:t>装置、管线泄</w:t>
            </w:r>
          </w:p>
          <w:p w14:paraId="4C8D2DDB">
            <w:pPr>
              <w:pStyle w:val="6"/>
              <w:spacing w:before="24" w:line="229" w:lineRule="auto"/>
              <w:ind w:left="530"/>
              <w:rPr>
                <w:sz w:val="20"/>
                <w:szCs w:val="20"/>
              </w:rPr>
            </w:pPr>
            <w:r>
              <w:rPr>
                <w:sz w:val="20"/>
                <w:szCs w:val="20"/>
              </w:rPr>
              <w:t>漏</w:t>
            </w:r>
          </w:p>
        </w:tc>
        <w:tc>
          <w:tcPr>
            <w:tcW w:w="957" w:type="dxa"/>
            <w:vAlign w:val="top"/>
          </w:tcPr>
          <w:p w14:paraId="59029710">
            <w:pPr>
              <w:spacing w:line="253" w:lineRule="auto"/>
              <w:rPr>
                <w:rFonts w:ascii="Arial"/>
                <w:sz w:val="21"/>
              </w:rPr>
            </w:pPr>
          </w:p>
          <w:p w14:paraId="7B29DF99">
            <w:pPr>
              <w:spacing w:line="254" w:lineRule="auto"/>
              <w:rPr>
                <w:rFonts w:ascii="Arial"/>
                <w:sz w:val="21"/>
              </w:rPr>
            </w:pPr>
          </w:p>
          <w:p w14:paraId="67A50251">
            <w:pPr>
              <w:pStyle w:val="6"/>
              <w:spacing w:before="65" w:line="254" w:lineRule="auto"/>
              <w:ind w:left="271" w:right="2" w:hanging="264"/>
              <w:rPr>
                <w:sz w:val="20"/>
                <w:szCs w:val="20"/>
              </w:rPr>
            </w:pPr>
            <w:r>
              <w:rPr>
                <w:spacing w:val="-13"/>
                <w:sz w:val="20"/>
                <w:szCs w:val="20"/>
              </w:rPr>
              <w:t>石油类、挥</w:t>
            </w:r>
            <w:r>
              <w:rPr>
                <w:spacing w:val="3"/>
                <w:sz w:val="20"/>
                <w:szCs w:val="20"/>
              </w:rPr>
              <w:t>发烃</w:t>
            </w:r>
          </w:p>
        </w:tc>
        <w:tc>
          <w:tcPr>
            <w:tcW w:w="3667" w:type="dxa"/>
            <w:vAlign w:val="top"/>
          </w:tcPr>
          <w:p w14:paraId="3259142C">
            <w:pPr>
              <w:pStyle w:val="6"/>
              <w:spacing w:before="32" w:line="250" w:lineRule="auto"/>
              <w:ind w:left="9" w:right="89" w:hanging="1"/>
              <w:rPr>
                <w:sz w:val="20"/>
                <w:szCs w:val="20"/>
              </w:rPr>
            </w:pPr>
            <w:r>
              <w:rPr>
                <w:spacing w:val="9"/>
                <w:sz w:val="20"/>
                <w:szCs w:val="20"/>
              </w:rPr>
              <w:t>①油品挥发，引发火灾从而污染大气环</w:t>
            </w:r>
            <w:r>
              <w:rPr>
                <w:sz w:val="20"/>
                <w:szCs w:val="20"/>
              </w:rPr>
              <w:t>境；</w:t>
            </w:r>
          </w:p>
          <w:p w14:paraId="5D248048">
            <w:pPr>
              <w:pStyle w:val="6"/>
              <w:spacing w:before="2" w:line="251" w:lineRule="auto"/>
              <w:ind w:left="9" w:right="86" w:hanging="2"/>
              <w:rPr>
                <w:sz w:val="20"/>
                <w:szCs w:val="20"/>
              </w:rPr>
            </w:pPr>
            <w:r>
              <w:rPr>
                <w:spacing w:val="9"/>
                <w:sz w:val="20"/>
                <w:szCs w:val="20"/>
              </w:rPr>
              <w:t>②原油泄漏进入地表，阻塞土壤孔隙，使土壤板结，降低通透性，不利于植物</w:t>
            </w:r>
            <w:r>
              <w:rPr>
                <w:spacing w:val="2"/>
                <w:sz w:val="20"/>
                <w:szCs w:val="20"/>
              </w:rPr>
              <w:t>生长；</w:t>
            </w:r>
          </w:p>
          <w:p w14:paraId="39557097">
            <w:pPr>
              <w:pStyle w:val="6"/>
              <w:spacing w:before="1" w:line="215" w:lineRule="auto"/>
              <w:ind w:left="7"/>
              <w:rPr>
                <w:sz w:val="20"/>
                <w:szCs w:val="20"/>
              </w:rPr>
            </w:pPr>
            <w:r>
              <w:rPr>
                <w:spacing w:val="8"/>
                <w:sz w:val="20"/>
                <w:szCs w:val="20"/>
              </w:rPr>
              <w:t>③进入地下水层，污染地下水水质。</w:t>
            </w:r>
          </w:p>
        </w:tc>
        <w:tc>
          <w:tcPr>
            <w:tcW w:w="1552" w:type="dxa"/>
            <w:tcBorders>
              <w:right w:val="single" w:color="000000" w:sz="6" w:space="0"/>
            </w:tcBorders>
            <w:vAlign w:val="top"/>
          </w:tcPr>
          <w:p w14:paraId="1509A386">
            <w:pPr>
              <w:spacing w:line="373" w:lineRule="auto"/>
              <w:rPr>
                <w:rFonts w:ascii="Arial"/>
                <w:sz w:val="21"/>
              </w:rPr>
            </w:pPr>
          </w:p>
          <w:p w14:paraId="055DC527">
            <w:pPr>
              <w:pStyle w:val="6"/>
              <w:spacing w:before="65" w:line="228" w:lineRule="auto"/>
              <w:ind w:left="15"/>
              <w:rPr>
                <w:sz w:val="20"/>
                <w:szCs w:val="20"/>
              </w:rPr>
            </w:pPr>
            <w:r>
              <w:rPr>
                <w:spacing w:val="6"/>
                <w:sz w:val="20"/>
                <w:szCs w:val="20"/>
              </w:rPr>
              <w:t>周围大气环境、</w:t>
            </w:r>
          </w:p>
          <w:p w14:paraId="0047E033">
            <w:pPr>
              <w:pStyle w:val="6"/>
              <w:spacing w:before="24" w:line="228" w:lineRule="auto"/>
              <w:ind w:left="15"/>
              <w:rPr>
                <w:sz w:val="20"/>
                <w:szCs w:val="20"/>
              </w:rPr>
            </w:pPr>
            <w:r>
              <w:rPr>
                <w:spacing w:val="2"/>
                <w:sz w:val="20"/>
                <w:szCs w:val="20"/>
              </w:rPr>
              <w:t>土壤环境、地下</w:t>
            </w:r>
          </w:p>
          <w:p w14:paraId="316601CB">
            <w:pPr>
              <w:pStyle w:val="6"/>
              <w:spacing w:before="23" w:line="228" w:lineRule="auto"/>
              <w:ind w:left="417"/>
              <w:rPr>
                <w:sz w:val="20"/>
                <w:szCs w:val="20"/>
              </w:rPr>
            </w:pPr>
            <w:r>
              <w:rPr>
                <w:spacing w:val="6"/>
                <w:sz w:val="20"/>
                <w:szCs w:val="20"/>
              </w:rPr>
              <w:t>水环境</w:t>
            </w:r>
          </w:p>
        </w:tc>
      </w:tr>
      <w:tr w14:paraId="67E967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495" w:type="dxa"/>
            <w:vMerge w:val="continue"/>
            <w:tcBorders>
              <w:top w:val="nil"/>
              <w:left w:val="single" w:color="000000" w:sz="6" w:space="0"/>
              <w:bottom w:val="nil"/>
              <w:right w:val="single" w:color="000000" w:sz="2" w:space="0"/>
            </w:tcBorders>
            <w:vAlign w:val="top"/>
          </w:tcPr>
          <w:p w14:paraId="407AB9B8">
            <w:pPr>
              <w:rPr>
                <w:rFonts w:ascii="Arial"/>
                <w:sz w:val="21"/>
              </w:rPr>
            </w:pPr>
          </w:p>
        </w:tc>
        <w:tc>
          <w:tcPr>
            <w:tcW w:w="955" w:type="dxa"/>
            <w:tcBorders>
              <w:left w:val="single" w:color="000000" w:sz="2" w:space="0"/>
              <w:bottom w:val="single" w:color="000000" w:sz="10" w:space="0"/>
            </w:tcBorders>
            <w:vAlign w:val="top"/>
          </w:tcPr>
          <w:p w14:paraId="68E0273F">
            <w:pPr>
              <w:pStyle w:val="6"/>
              <w:spacing w:before="305" w:line="228" w:lineRule="auto"/>
              <w:ind w:right="10"/>
              <w:jc w:val="right"/>
              <w:rPr>
                <w:sz w:val="20"/>
                <w:szCs w:val="20"/>
              </w:rPr>
            </w:pPr>
            <w:r>
              <w:rPr>
                <w:spacing w:val="6"/>
                <w:sz w:val="20"/>
                <w:szCs w:val="20"/>
              </w:rPr>
              <w:t>危废泄漏</w:t>
            </w:r>
          </w:p>
        </w:tc>
        <w:tc>
          <w:tcPr>
            <w:tcW w:w="1275" w:type="dxa"/>
            <w:tcBorders>
              <w:bottom w:val="single" w:color="000000" w:sz="10" w:space="0"/>
            </w:tcBorders>
            <w:vAlign w:val="top"/>
          </w:tcPr>
          <w:p w14:paraId="6E6CC8B1">
            <w:pPr>
              <w:pStyle w:val="6"/>
              <w:spacing w:before="304" w:line="228" w:lineRule="auto"/>
              <w:ind w:left="218"/>
              <w:rPr>
                <w:sz w:val="20"/>
                <w:szCs w:val="20"/>
              </w:rPr>
            </w:pPr>
            <w:r>
              <w:rPr>
                <w:spacing w:val="6"/>
                <w:sz w:val="20"/>
                <w:szCs w:val="20"/>
              </w:rPr>
              <w:t>危废暂存</w:t>
            </w:r>
          </w:p>
        </w:tc>
        <w:tc>
          <w:tcPr>
            <w:tcW w:w="957" w:type="dxa"/>
            <w:tcBorders>
              <w:bottom w:val="single" w:color="000000" w:sz="10" w:space="0"/>
            </w:tcBorders>
            <w:vAlign w:val="top"/>
          </w:tcPr>
          <w:p w14:paraId="26124D39">
            <w:pPr>
              <w:pStyle w:val="6"/>
              <w:spacing w:before="168" w:line="254" w:lineRule="auto"/>
              <w:ind w:left="374" w:right="58" w:hanging="316"/>
              <w:rPr>
                <w:sz w:val="20"/>
                <w:szCs w:val="20"/>
              </w:rPr>
            </w:pPr>
            <w:r>
              <w:rPr>
                <w:spacing w:val="7"/>
                <w:sz w:val="20"/>
                <w:szCs w:val="20"/>
              </w:rPr>
              <w:t>废润滑油</w:t>
            </w:r>
            <w:r>
              <w:rPr>
                <w:sz w:val="20"/>
                <w:szCs w:val="20"/>
              </w:rPr>
              <w:t>等</w:t>
            </w:r>
          </w:p>
        </w:tc>
        <w:tc>
          <w:tcPr>
            <w:tcW w:w="3667" w:type="dxa"/>
            <w:tcBorders>
              <w:bottom w:val="single" w:color="000000" w:sz="10" w:space="0"/>
            </w:tcBorders>
            <w:vAlign w:val="top"/>
          </w:tcPr>
          <w:p w14:paraId="71FAEEB5">
            <w:pPr>
              <w:pStyle w:val="6"/>
              <w:spacing w:before="168" w:line="254" w:lineRule="auto"/>
              <w:ind w:left="11" w:right="86" w:firstLine="1"/>
              <w:rPr>
                <w:sz w:val="20"/>
                <w:szCs w:val="20"/>
              </w:rPr>
            </w:pPr>
            <w:r>
              <w:rPr>
                <w:spacing w:val="9"/>
                <w:sz w:val="20"/>
                <w:szCs w:val="20"/>
              </w:rPr>
              <w:t>泄漏后污染区域地下水及土壤；若发生火宅，污染区域大气环境</w:t>
            </w:r>
          </w:p>
        </w:tc>
        <w:tc>
          <w:tcPr>
            <w:tcW w:w="1552" w:type="dxa"/>
            <w:tcBorders>
              <w:bottom w:val="single" w:color="000000" w:sz="10" w:space="0"/>
              <w:right w:val="single" w:color="000000" w:sz="6" w:space="0"/>
            </w:tcBorders>
            <w:vAlign w:val="top"/>
          </w:tcPr>
          <w:p w14:paraId="78F3291C">
            <w:pPr>
              <w:pStyle w:val="6"/>
              <w:spacing w:before="34" w:line="228" w:lineRule="auto"/>
              <w:ind w:left="15"/>
              <w:rPr>
                <w:sz w:val="20"/>
                <w:szCs w:val="20"/>
              </w:rPr>
            </w:pPr>
            <w:r>
              <w:rPr>
                <w:spacing w:val="6"/>
                <w:sz w:val="20"/>
                <w:szCs w:val="20"/>
              </w:rPr>
              <w:t>周围大气环境、</w:t>
            </w:r>
          </w:p>
          <w:p w14:paraId="14867E35">
            <w:pPr>
              <w:pStyle w:val="6"/>
              <w:spacing w:before="24" w:line="228" w:lineRule="auto"/>
              <w:ind w:left="15"/>
              <w:rPr>
                <w:sz w:val="20"/>
                <w:szCs w:val="20"/>
              </w:rPr>
            </w:pPr>
            <w:r>
              <w:rPr>
                <w:spacing w:val="2"/>
                <w:sz w:val="20"/>
                <w:szCs w:val="20"/>
              </w:rPr>
              <w:t>土壤环境、地下</w:t>
            </w:r>
          </w:p>
          <w:p w14:paraId="3020EF7B">
            <w:pPr>
              <w:pStyle w:val="6"/>
              <w:spacing w:before="23" w:line="224" w:lineRule="auto"/>
              <w:ind w:left="417"/>
              <w:rPr>
                <w:sz w:val="20"/>
                <w:szCs w:val="20"/>
              </w:rPr>
            </w:pPr>
            <w:r>
              <w:rPr>
                <w:spacing w:val="6"/>
                <w:sz w:val="20"/>
                <w:szCs w:val="20"/>
              </w:rPr>
              <w:t>水环境</w:t>
            </w:r>
          </w:p>
        </w:tc>
      </w:tr>
      <w:tr w14:paraId="1FEF4E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68" w:hRule="atLeast"/>
        </w:trPr>
        <w:tc>
          <w:tcPr>
            <w:tcW w:w="495" w:type="dxa"/>
            <w:vMerge w:val="continue"/>
            <w:tcBorders>
              <w:top w:val="nil"/>
              <w:left w:val="single" w:color="000000" w:sz="6" w:space="0"/>
              <w:bottom w:val="single" w:color="000000" w:sz="6" w:space="0"/>
              <w:right w:val="single" w:color="000000" w:sz="2" w:space="0"/>
            </w:tcBorders>
            <w:vAlign w:val="top"/>
          </w:tcPr>
          <w:p w14:paraId="22251479">
            <w:pPr>
              <w:rPr>
                <w:rFonts w:ascii="Arial"/>
                <w:sz w:val="21"/>
              </w:rPr>
            </w:pPr>
          </w:p>
        </w:tc>
        <w:tc>
          <w:tcPr>
            <w:tcW w:w="8406" w:type="dxa"/>
            <w:gridSpan w:val="5"/>
            <w:tcBorders>
              <w:top w:val="single" w:color="000000" w:sz="10" w:space="0"/>
              <w:left w:val="single" w:color="000000" w:sz="2" w:space="0"/>
              <w:bottom w:val="single" w:color="000000" w:sz="6" w:space="0"/>
              <w:right w:val="single" w:color="000000" w:sz="6" w:space="0"/>
            </w:tcBorders>
            <w:vAlign w:val="top"/>
          </w:tcPr>
          <w:p w14:paraId="53425C55">
            <w:pPr>
              <w:pStyle w:val="6"/>
              <w:spacing w:before="32" w:line="219" w:lineRule="auto"/>
              <w:ind w:left="584"/>
            </w:pPr>
            <w:r>
              <w:rPr>
                <w:rFonts w:ascii="Times New Roman" w:hAnsi="Times New Roman" w:eastAsia="Times New Roman" w:cs="Times New Roman"/>
                <w:spacing w:val="-1"/>
              </w:rPr>
              <w:t>2</w:t>
            </w:r>
            <w:r>
              <w:rPr>
                <w:spacing w:val="-1"/>
              </w:rPr>
              <w:t>）风险事故类比调查</w:t>
            </w:r>
          </w:p>
          <w:p w14:paraId="4860BE6C">
            <w:pPr>
              <w:pStyle w:val="6"/>
              <w:spacing w:before="181" w:line="359" w:lineRule="auto"/>
              <w:ind w:left="107" w:right="100" w:firstLine="499"/>
            </w:pPr>
            <w:r>
              <w:t>因地层的复杂多变性，钻井过程中存在井喷事故发生的可能性，但油气田</w:t>
            </w:r>
            <w:r>
              <w:rPr>
                <w:spacing w:val="1"/>
              </w:rPr>
              <w:t>已发生的井喷事故多发生在油气田勘探开发初期，随着对地</w:t>
            </w:r>
            <w:r>
              <w:t>层和地质状况的不</w:t>
            </w:r>
            <w:r>
              <w:rPr>
                <w:spacing w:val="-1"/>
              </w:rPr>
              <w:t>断深入了解，加之防喷技术的提高，</w:t>
            </w:r>
            <w:r>
              <w:rPr>
                <w:spacing w:val="-60"/>
              </w:rPr>
              <w:t xml:space="preserve"> </w:t>
            </w:r>
            <w:r>
              <w:rPr>
                <w:spacing w:val="-1"/>
              </w:rPr>
              <w:t>目前油气田勘探开发过程中井喷事故的发</w:t>
            </w:r>
            <w:r>
              <w:rPr>
                <w:spacing w:val="1"/>
              </w:rPr>
              <w:t>生概率在不断降低。通过对巴彦油田现有勘探井数据分析，</w:t>
            </w:r>
            <w:r>
              <w:t>压力分布规律及控</w:t>
            </w:r>
            <w:r>
              <w:rPr>
                <w:spacing w:val="1"/>
              </w:rPr>
              <w:t>制措施已基本掌握，勘探井发生井喷的概率极低，即使发生</w:t>
            </w:r>
            <w:r>
              <w:t>井喷事故，压井措</w:t>
            </w:r>
            <w:r>
              <w:rPr>
                <w:spacing w:val="-1"/>
              </w:rPr>
              <w:t>施也比较容易成功。</w:t>
            </w:r>
          </w:p>
          <w:p w14:paraId="06544AC6">
            <w:pPr>
              <w:pStyle w:val="6"/>
              <w:spacing w:line="219" w:lineRule="auto"/>
              <w:ind w:left="587"/>
            </w:pPr>
            <w:r>
              <w:t>据不完全统计，中国在油气勘探开发的</w:t>
            </w:r>
            <w:r>
              <w:rPr>
                <w:spacing w:val="-56"/>
              </w:rPr>
              <w:t xml:space="preserve"> </w:t>
            </w:r>
            <w:r>
              <w:rPr>
                <w:rFonts w:ascii="Times New Roman" w:hAnsi="Times New Roman" w:eastAsia="Times New Roman" w:cs="Times New Roman"/>
              </w:rPr>
              <w:t>40</w:t>
            </w:r>
            <w:r>
              <w:rPr>
                <w:rFonts w:ascii="Times New Roman" w:hAnsi="Times New Roman" w:eastAsia="Times New Roman" w:cs="Times New Roman"/>
                <w:spacing w:val="-1"/>
              </w:rPr>
              <w:t xml:space="preserve"> </w:t>
            </w:r>
            <w:r>
              <w:rPr>
                <w:spacing w:val="-1"/>
              </w:rPr>
              <w:t>年间，累计发生井喷失控事故</w:t>
            </w:r>
          </w:p>
          <w:p w14:paraId="58BDC94F">
            <w:pPr>
              <w:pStyle w:val="6"/>
              <w:spacing w:before="184" w:line="359" w:lineRule="auto"/>
              <w:ind w:left="108" w:right="102" w:hanging="4"/>
              <w:jc w:val="both"/>
            </w:pPr>
            <w:r>
              <w:rPr>
                <w:rFonts w:ascii="Times New Roman" w:hAnsi="Times New Roman" w:eastAsia="Times New Roman" w:cs="Times New Roman"/>
                <w:spacing w:val="-3"/>
              </w:rPr>
              <w:t>230</w:t>
            </w:r>
            <w:r>
              <w:rPr>
                <w:rFonts w:ascii="Times New Roman" w:hAnsi="Times New Roman" w:eastAsia="Times New Roman" w:cs="Times New Roman"/>
                <w:spacing w:val="22"/>
                <w:w w:val="101"/>
              </w:rPr>
              <w:t xml:space="preserve"> </w:t>
            </w:r>
            <w:r>
              <w:rPr>
                <w:spacing w:val="-3"/>
              </w:rPr>
              <w:t>次，占完井总数的</w:t>
            </w:r>
            <w:r>
              <w:rPr>
                <w:spacing w:val="-55"/>
              </w:rPr>
              <w:t xml:space="preserve"> </w:t>
            </w:r>
            <w:r>
              <w:rPr>
                <w:rFonts w:ascii="Times New Roman" w:hAnsi="Times New Roman" w:eastAsia="Times New Roman" w:cs="Times New Roman"/>
                <w:spacing w:val="-3"/>
              </w:rPr>
              <w:t>2.41‰</w:t>
            </w:r>
            <w:r>
              <w:rPr>
                <w:rFonts w:ascii="Times New Roman" w:hAnsi="Times New Roman" w:eastAsia="Times New Roman" w:cs="Times New Roman"/>
                <w:spacing w:val="-31"/>
              </w:rPr>
              <w:t xml:space="preserve"> </w:t>
            </w:r>
            <w:r>
              <w:rPr>
                <w:spacing w:val="-3"/>
              </w:rPr>
              <w:t>，其中，井喷失控着火</w:t>
            </w:r>
            <w:r>
              <w:rPr>
                <w:spacing w:val="-51"/>
              </w:rPr>
              <w:t xml:space="preserve"> </w:t>
            </w:r>
            <w:r>
              <w:rPr>
                <w:rFonts w:ascii="Times New Roman" w:hAnsi="Times New Roman" w:eastAsia="Times New Roman" w:cs="Times New Roman"/>
                <w:spacing w:val="-3"/>
              </w:rPr>
              <w:t>78</w:t>
            </w:r>
            <w:r>
              <w:rPr>
                <w:rFonts w:ascii="Times New Roman" w:hAnsi="Times New Roman" w:eastAsia="Times New Roman" w:cs="Times New Roman"/>
                <w:spacing w:val="15"/>
                <w:w w:val="101"/>
              </w:rPr>
              <w:t xml:space="preserve"> </w:t>
            </w:r>
            <w:r>
              <w:rPr>
                <w:spacing w:val="-3"/>
              </w:rPr>
              <w:t>次，占井喷失控总数的</w:t>
            </w:r>
            <w:r>
              <w:rPr>
                <w:rFonts w:ascii="Times New Roman" w:hAnsi="Times New Roman" w:eastAsia="Times New Roman" w:cs="Times New Roman"/>
                <w:spacing w:val="-1"/>
              </w:rPr>
              <w:t>34%</w:t>
            </w:r>
            <w:r>
              <w:rPr>
                <w:rFonts w:ascii="Times New Roman" w:hAnsi="Times New Roman" w:eastAsia="Times New Roman" w:cs="Times New Roman"/>
                <w:spacing w:val="-35"/>
              </w:rPr>
              <w:t xml:space="preserve"> </w:t>
            </w:r>
            <w:r>
              <w:rPr>
                <w:spacing w:val="-1"/>
              </w:rPr>
              <w:t>，因此，井喷失控的事故率约为</w:t>
            </w:r>
            <w:r>
              <w:rPr>
                <w:spacing w:val="-51"/>
              </w:rPr>
              <w:t xml:space="preserve"> </w:t>
            </w:r>
            <w:r>
              <w:rPr>
                <w:rFonts w:ascii="Times New Roman" w:hAnsi="Times New Roman" w:eastAsia="Times New Roman" w:cs="Times New Roman"/>
                <w:spacing w:val="-1"/>
              </w:rPr>
              <w:t>0.603×</w:t>
            </w:r>
            <w:r>
              <w:rPr>
                <w:rFonts w:ascii="Times New Roman" w:hAnsi="Times New Roman" w:eastAsia="Times New Roman" w:cs="Times New Roman"/>
                <w:spacing w:val="-2"/>
              </w:rPr>
              <w:t>10</w:t>
            </w:r>
            <w:r>
              <w:rPr>
                <w:rFonts w:ascii="Times New Roman" w:hAnsi="Times New Roman" w:eastAsia="Times New Roman" w:cs="Times New Roman"/>
                <w:spacing w:val="-2"/>
                <w:position w:val="7"/>
                <w:sz w:val="15"/>
                <w:szCs w:val="15"/>
              </w:rPr>
              <w:t>-4</w:t>
            </w:r>
            <w:r>
              <w:rPr>
                <w:rFonts w:ascii="Times New Roman" w:hAnsi="Times New Roman" w:eastAsia="Times New Roman" w:cs="Times New Roman"/>
                <w:spacing w:val="18"/>
                <w:w w:val="101"/>
                <w:position w:val="7"/>
                <w:sz w:val="15"/>
                <w:szCs w:val="15"/>
              </w:rPr>
              <w:t xml:space="preserve"> </w:t>
            </w:r>
            <w:r>
              <w:rPr>
                <w:spacing w:val="-2"/>
              </w:rPr>
              <w:t>次</w:t>
            </w:r>
            <w:r>
              <w:rPr>
                <w:rFonts w:ascii="Times New Roman" w:hAnsi="Times New Roman" w:eastAsia="Times New Roman" w:cs="Times New Roman"/>
                <w:spacing w:val="-2"/>
              </w:rPr>
              <w:t>/</w:t>
            </w:r>
            <w:r>
              <w:rPr>
                <w:spacing w:val="-2"/>
              </w:rPr>
              <w:t>年，其中井喷失控着火的事</w:t>
            </w:r>
            <w:r>
              <w:rPr>
                <w:spacing w:val="-1"/>
              </w:rPr>
              <w:t>故率约为</w:t>
            </w:r>
            <w:r>
              <w:rPr>
                <w:spacing w:val="-51"/>
              </w:rPr>
              <w:t xml:space="preserve"> </w:t>
            </w:r>
            <w:r>
              <w:rPr>
                <w:rFonts w:ascii="Times New Roman" w:hAnsi="Times New Roman" w:eastAsia="Times New Roman" w:cs="Times New Roman"/>
                <w:spacing w:val="-1"/>
              </w:rPr>
              <w:t>0.203×10</w:t>
            </w:r>
            <w:r>
              <w:rPr>
                <w:rFonts w:ascii="Times New Roman" w:hAnsi="Times New Roman" w:eastAsia="Times New Roman" w:cs="Times New Roman"/>
                <w:spacing w:val="-1"/>
                <w:position w:val="8"/>
                <w:sz w:val="15"/>
                <w:szCs w:val="15"/>
              </w:rPr>
              <w:t>-4</w:t>
            </w:r>
            <w:r>
              <w:rPr>
                <w:rFonts w:ascii="Times New Roman" w:hAnsi="Times New Roman" w:eastAsia="Times New Roman" w:cs="Times New Roman"/>
                <w:spacing w:val="18"/>
                <w:w w:val="101"/>
                <w:position w:val="8"/>
                <w:sz w:val="15"/>
                <w:szCs w:val="15"/>
              </w:rPr>
              <w:t xml:space="preserve"> </w:t>
            </w:r>
            <w:r>
              <w:rPr>
                <w:spacing w:val="-1"/>
              </w:rPr>
              <w:t>次</w:t>
            </w:r>
            <w:r>
              <w:rPr>
                <w:rFonts w:ascii="Times New Roman" w:hAnsi="Times New Roman" w:eastAsia="Times New Roman" w:cs="Times New Roman"/>
                <w:spacing w:val="-1"/>
              </w:rPr>
              <w:t>/</w:t>
            </w:r>
            <w:r>
              <w:rPr>
                <w:spacing w:val="-1"/>
              </w:rPr>
              <w:t>年，未着火</w:t>
            </w:r>
            <w:r>
              <w:rPr>
                <w:spacing w:val="-2"/>
              </w:rPr>
              <w:t>的事故率约为</w:t>
            </w:r>
            <w:r>
              <w:rPr>
                <w:spacing w:val="-52"/>
              </w:rPr>
              <w:t xml:space="preserve"> </w:t>
            </w:r>
            <w:r>
              <w:rPr>
                <w:rFonts w:ascii="Times New Roman" w:hAnsi="Times New Roman" w:eastAsia="Times New Roman" w:cs="Times New Roman"/>
                <w:spacing w:val="-2"/>
              </w:rPr>
              <w:t>0.4×10</w:t>
            </w:r>
            <w:r>
              <w:rPr>
                <w:rFonts w:ascii="Times New Roman" w:hAnsi="Times New Roman" w:eastAsia="Times New Roman" w:cs="Times New Roman"/>
                <w:spacing w:val="-2"/>
                <w:position w:val="8"/>
                <w:sz w:val="15"/>
                <w:szCs w:val="15"/>
              </w:rPr>
              <w:t>-4</w:t>
            </w:r>
            <w:r>
              <w:rPr>
                <w:rFonts w:ascii="Times New Roman" w:hAnsi="Times New Roman" w:eastAsia="Times New Roman" w:cs="Times New Roman"/>
                <w:spacing w:val="18"/>
                <w:w w:val="101"/>
                <w:position w:val="8"/>
                <w:sz w:val="15"/>
                <w:szCs w:val="15"/>
              </w:rPr>
              <w:t xml:space="preserve"> </w:t>
            </w:r>
            <w:r>
              <w:rPr>
                <w:spacing w:val="-2"/>
              </w:rPr>
              <w:t>次</w:t>
            </w:r>
            <w:r>
              <w:rPr>
                <w:rFonts w:ascii="Times New Roman" w:hAnsi="Times New Roman" w:eastAsia="Times New Roman" w:cs="Times New Roman"/>
                <w:spacing w:val="-2"/>
              </w:rPr>
              <w:t>/</w:t>
            </w:r>
            <w:r>
              <w:rPr>
                <w:spacing w:val="-2"/>
              </w:rPr>
              <w:t>年。</w:t>
            </w:r>
          </w:p>
          <w:p w14:paraId="6009C803">
            <w:pPr>
              <w:pStyle w:val="6"/>
              <w:spacing w:before="3" w:line="358" w:lineRule="auto"/>
              <w:ind w:left="108" w:right="100" w:firstLine="480"/>
              <w:jc w:val="both"/>
            </w:pPr>
            <w:r>
              <w:rPr>
                <w:spacing w:val="1"/>
              </w:rPr>
              <w:t>根据施工工艺特点，可能造成潜在环境风险的主要环节包</w:t>
            </w:r>
            <w:r>
              <w:t>括：钻井、起下</w:t>
            </w:r>
            <w:r>
              <w:rPr>
                <w:spacing w:val="1"/>
              </w:rPr>
              <w:t>钻、下套管、固井、测井和试油作业等，在整个钻井过程</w:t>
            </w:r>
            <w:r>
              <w:t>中可能发生的事故以</w:t>
            </w:r>
            <w:r>
              <w:rPr>
                <w:spacing w:val="1"/>
              </w:rPr>
              <w:t>井喷后果最为严重，井喷失控易酿成火灾、爆炸事故，造</w:t>
            </w:r>
            <w:r>
              <w:t>成人员伤亡、设备损</w:t>
            </w:r>
            <w:r>
              <w:rPr>
                <w:spacing w:val="-1"/>
              </w:rPr>
              <w:t>坏、油井报废和自然环境的污染。</w:t>
            </w:r>
          </w:p>
          <w:p w14:paraId="080966AE">
            <w:pPr>
              <w:pStyle w:val="6"/>
              <w:spacing w:line="219" w:lineRule="auto"/>
              <w:ind w:left="600"/>
            </w:pPr>
            <w:r>
              <w:rPr>
                <w:spacing w:val="-2"/>
              </w:rPr>
              <w:t>（</w:t>
            </w:r>
            <w:r>
              <w:rPr>
                <w:rFonts w:ascii="Times New Roman" w:hAnsi="Times New Roman" w:eastAsia="Times New Roman" w:cs="Times New Roman"/>
                <w:spacing w:val="-2"/>
              </w:rPr>
              <w:t>3</w:t>
            </w:r>
            <w:r>
              <w:rPr>
                <w:spacing w:val="-2"/>
              </w:rPr>
              <w:t>）环境影响途径及危害程度</w:t>
            </w:r>
          </w:p>
          <w:p w14:paraId="6927CDD2">
            <w:pPr>
              <w:pStyle w:val="6"/>
              <w:spacing w:before="183" w:line="219" w:lineRule="auto"/>
              <w:ind w:left="607"/>
            </w:pPr>
            <w:r>
              <w:rPr>
                <w:rFonts w:ascii="Times New Roman" w:hAnsi="Times New Roman" w:eastAsia="Times New Roman" w:cs="Times New Roman"/>
                <w:spacing w:val="-5"/>
              </w:rPr>
              <w:t>1</w:t>
            </w:r>
            <w:r>
              <w:rPr>
                <w:spacing w:val="-5"/>
              </w:rPr>
              <w:t>）随空气扩散</w:t>
            </w:r>
          </w:p>
          <w:p w14:paraId="785DA851">
            <w:pPr>
              <w:pStyle w:val="6"/>
              <w:spacing w:before="183" w:line="342" w:lineRule="auto"/>
              <w:ind w:left="109" w:right="22" w:firstLine="481"/>
            </w:pPr>
            <w:r>
              <w:rPr>
                <w:spacing w:val="-5"/>
              </w:rPr>
              <w:t>工程环境风险事故中随空气扩散的物质主要是火灾爆炸</w:t>
            </w:r>
            <w:r>
              <w:rPr>
                <w:spacing w:val="-6"/>
              </w:rPr>
              <w:t>烟气中的</w:t>
            </w:r>
            <w:r>
              <w:rPr>
                <w:spacing w:val="-69"/>
              </w:rPr>
              <w:t xml:space="preserve"> </w:t>
            </w:r>
            <w:r>
              <w:rPr>
                <w:rFonts w:ascii="Times New Roman" w:hAnsi="Times New Roman" w:eastAsia="Times New Roman" w:cs="Times New Roman"/>
                <w:spacing w:val="-6"/>
              </w:rPr>
              <w:t>SO</w:t>
            </w:r>
            <w:r>
              <w:rPr>
                <w:rFonts w:ascii="Times New Roman" w:hAnsi="Times New Roman" w:eastAsia="Times New Roman" w:cs="Times New Roman"/>
                <w:spacing w:val="-6"/>
                <w:position w:val="-1"/>
                <w:sz w:val="15"/>
                <w:szCs w:val="15"/>
              </w:rPr>
              <w:t>2</w:t>
            </w:r>
            <w:r>
              <w:rPr>
                <w:spacing w:val="-6"/>
              </w:rPr>
              <w:t>、</w:t>
            </w:r>
            <w:r>
              <w:rPr>
                <w:rFonts w:ascii="Times New Roman" w:hAnsi="Times New Roman" w:eastAsia="Times New Roman" w:cs="Times New Roman"/>
                <w:spacing w:val="-6"/>
              </w:rPr>
              <w:t>CO</w:t>
            </w:r>
            <w:r>
              <w:rPr>
                <w:spacing w:val="-6"/>
              </w:rPr>
              <w:t>、</w:t>
            </w:r>
            <w:r>
              <w:rPr>
                <w:spacing w:val="1"/>
              </w:rPr>
              <w:t>轻烃等物质以及泄漏事故中挥发大空气中的烃类物质。</w:t>
            </w:r>
            <w:r>
              <w:t>其中挥发的烃类物质扩</w:t>
            </w:r>
          </w:p>
        </w:tc>
      </w:tr>
    </w:tbl>
    <w:p w14:paraId="26040853">
      <w:pPr>
        <w:rPr>
          <w:rFonts w:ascii="Arial"/>
          <w:sz w:val="21"/>
        </w:rPr>
      </w:pPr>
    </w:p>
    <w:p w14:paraId="0E760DFB">
      <w:pPr>
        <w:rPr>
          <w:rFonts w:ascii="Arial" w:hAnsi="Arial" w:eastAsia="Arial" w:cs="Arial"/>
          <w:sz w:val="21"/>
          <w:szCs w:val="21"/>
        </w:rPr>
        <w:sectPr>
          <w:footerReference r:id="rId85" w:type="default"/>
          <w:pgSz w:w="11906" w:h="16839"/>
          <w:pgMar w:top="400" w:right="1410" w:bottom="1240" w:left="1579" w:header="0" w:footer="1078" w:gutter="0"/>
          <w:cols w:space="720" w:num="1"/>
        </w:sectPr>
      </w:pPr>
    </w:p>
    <w:p w14:paraId="21788811">
      <w:pPr>
        <w:spacing w:before="56"/>
      </w:pPr>
    </w:p>
    <w:p w14:paraId="19CA96D9">
      <w:pPr>
        <w:spacing w:before="56"/>
      </w:pPr>
    </w:p>
    <w:p w14:paraId="51F81597">
      <w:pPr>
        <w:spacing w:before="55"/>
      </w:pPr>
    </w:p>
    <w:p w14:paraId="32084FBE">
      <w:pPr>
        <w:spacing w:before="55"/>
      </w:pPr>
    </w:p>
    <w:tbl>
      <w:tblPr>
        <w:tblStyle w:val="5"/>
        <w:tblW w:w="890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95"/>
        <w:gridCol w:w="8406"/>
      </w:tblGrid>
      <w:tr w14:paraId="31A0E2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495" w:type="dxa"/>
            <w:tcBorders>
              <w:right w:val="single" w:color="000000" w:sz="2" w:space="0"/>
            </w:tcBorders>
            <w:vAlign w:val="top"/>
          </w:tcPr>
          <w:p w14:paraId="0F7B2457">
            <w:pPr>
              <w:rPr>
                <w:rFonts w:ascii="Arial"/>
                <w:sz w:val="21"/>
              </w:rPr>
            </w:pPr>
          </w:p>
        </w:tc>
        <w:tc>
          <w:tcPr>
            <w:tcW w:w="8406" w:type="dxa"/>
            <w:tcBorders>
              <w:left w:val="single" w:color="000000" w:sz="2" w:space="0"/>
            </w:tcBorders>
            <w:vAlign w:val="top"/>
          </w:tcPr>
          <w:p w14:paraId="334C535F">
            <w:pPr>
              <w:pStyle w:val="6"/>
              <w:spacing w:before="41" w:line="359" w:lineRule="auto"/>
              <w:ind w:left="108" w:right="100" w:hanging="1"/>
            </w:pPr>
            <w:r>
              <w:rPr>
                <w:spacing w:val="-3"/>
              </w:rPr>
              <w:t>散范围较近，只影响泄漏点附近范围；而火灾爆炸烟气中的</w:t>
            </w:r>
            <w:r>
              <w:rPr>
                <w:spacing w:val="-44"/>
              </w:rPr>
              <w:t xml:space="preserve"> </w:t>
            </w:r>
            <w:r>
              <w:rPr>
                <w:rFonts w:ascii="Times New Roman" w:hAnsi="Times New Roman" w:eastAsia="Times New Roman" w:cs="Times New Roman"/>
                <w:spacing w:val="-3"/>
              </w:rPr>
              <w:t>SO</w:t>
            </w:r>
            <w:r>
              <w:rPr>
                <w:rFonts w:ascii="Times New Roman" w:hAnsi="Times New Roman" w:eastAsia="Times New Roman" w:cs="Times New Roman"/>
                <w:spacing w:val="-3"/>
                <w:position w:val="-1"/>
                <w:sz w:val="15"/>
                <w:szCs w:val="15"/>
              </w:rPr>
              <w:t>2</w:t>
            </w:r>
            <w:r>
              <w:rPr>
                <w:rFonts w:ascii="Times New Roman" w:hAnsi="Times New Roman" w:eastAsia="Times New Roman" w:cs="Times New Roman"/>
                <w:spacing w:val="-10"/>
                <w:position w:val="-1"/>
                <w:sz w:val="15"/>
                <w:szCs w:val="15"/>
              </w:rPr>
              <w:t xml:space="preserve"> </w:t>
            </w:r>
            <w:r>
              <w:rPr>
                <w:spacing w:val="-3"/>
              </w:rPr>
              <w:t>、</w:t>
            </w:r>
            <w:r>
              <w:rPr>
                <w:rFonts w:ascii="Times New Roman" w:hAnsi="Times New Roman" w:eastAsia="Times New Roman" w:cs="Times New Roman"/>
                <w:spacing w:val="-3"/>
              </w:rPr>
              <w:t>NOx</w:t>
            </w:r>
            <w:r>
              <w:rPr>
                <w:rFonts w:ascii="Times New Roman" w:hAnsi="Times New Roman" w:eastAsia="Times New Roman" w:cs="Times New Roman"/>
                <w:spacing w:val="-34"/>
              </w:rPr>
              <w:t xml:space="preserve"> </w:t>
            </w:r>
            <w:r>
              <w:rPr>
                <w:spacing w:val="-3"/>
              </w:rPr>
              <w:t>、</w:t>
            </w:r>
            <w:r>
              <w:rPr>
                <w:rFonts w:ascii="Times New Roman" w:hAnsi="Times New Roman" w:eastAsia="Times New Roman" w:cs="Times New Roman"/>
                <w:spacing w:val="-3"/>
              </w:rPr>
              <w:t>CO</w:t>
            </w:r>
            <w:r>
              <w:rPr>
                <w:rFonts w:ascii="Times New Roman" w:hAnsi="Times New Roman" w:eastAsia="Times New Roman" w:cs="Times New Roman"/>
                <w:spacing w:val="-34"/>
              </w:rPr>
              <w:t xml:space="preserve"> </w:t>
            </w:r>
            <w:r>
              <w:rPr>
                <w:spacing w:val="-3"/>
              </w:rPr>
              <w:t>、</w:t>
            </w:r>
            <w:r>
              <w:rPr>
                <w:spacing w:val="1"/>
              </w:rPr>
              <w:t>烟尘等物质则受烟气排量大的影响，扩散范围较远，一</w:t>
            </w:r>
            <w:r>
              <w:t>般可随空气流通扩散至</w:t>
            </w:r>
            <w:r>
              <w:rPr>
                <w:spacing w:val="-1"/>
              </w:rPr>
              <w:t>几公里甚至更远的范围，将会严重影响周边区域环境空气质量。</w:t>
            </w:r>
          </w:p>
          <w:p w14:paraId="1A42B261">
            <w:pPr>
              <w:pStyle w:val="6"/>
              <w:spacing w:line="219" w:lineRule="auto"/>
              <w:ind w:left="584"/>
            </w:pPr>
            <w:r>
              <w:rPr>
                <w:rFonts w:ascii="Times New Roman" w:hAnsi="Times New Roman" w:eastAsia="Times New Roman" w:cs="Times New Roman"/>
                <w:spacing w:val="-1"/>
              </w:rPr>
              <w:t>2</w:t>
            </w:r>
            <w:r>
              <w:rPr>
                <w:spacing w:val="-1"/>
              </w:rPr>
              <w:t>）随河流水体扩散</w:t>
            </w:r>
          </w:p>
          <w:p w14:paraId="028BD2A0">
            <w:pPr>
              <w:pStyle w:val="6"/>
              <w:spacing w:before="180" w:line="359" w:lineRule="auto"/>
              <w:ind w:left="118" w:right="100" w:firstLine="474"/>
            </w:pPr>
            <w:r>
              <w:rPr>
                <w:spacing w:val="1"/>
              </w:rPr>
              <w:t>一旦发生井喷、油品泄漏等事故，喷出或泄漏出</w:t>
            </w:r>
            <w:r>
              <w:t>的油品如果未及时清理可</w:t>
            </w:r>
            <w:r>
              <w:rPr>
                <w:spacing w:val="-1"/>
              </w:rPr>
              <w:t>能进入附近地表水体，对河流水质造成污染。</w:t>
            </w:r>
          </w:p>
          <w:p w14:paraId="6DC410C5">
            <w:pPr>
              <w:pStyle w:val="6"/>
              <w:spacing w:line="218" w:lineRule="auto"/>
              <w:ind w:left="592"/>
            </w:pPr>
            <w:r>
              <w:rPr>
                <w:spacing w:val="-1"/>
              </w:rPr>
              <w:t>项目距离地表水体较远，不会对地表水环境产生影响。</w:t>
            </w:r>
          </w:p>
          <w:p w14:paraId="5DF13395">
            <w:pPr>
              <w:pStyle w:val="6"/>
              <w:spacing w:before="184" w:line="219" w:lineRule="auto"/>
              <w:ind w:left="589"/>
            </w:pPr>
            <w:r>
              <w:rPr>
                <w:rFonts w:ascii="Times New Roman" w:hAnsi="Times New Roman" w:eastAsia="Times New Roman" w:cs="Times New Roman"/>
                <w:spacing w:val="-2"/>
              </w:rPr>
              <w:t>3</w:t>
            </w:r>
            <w:r>
              <w:rPr>
                <w:spacing w:val="-2"/>
              </w:rPr>
              <w:t>）进入地下水</w:t>
            </w:r>
          </w:p>
          <w:p w14:paraId="6396A3E0">
            <w:pPr>
              <w:pStyle w:val="6"/>
              <w:spacing w:before="182" w:line="359" w:lineRule="auto"/>
              <w:ind w:left="112" w:right="100" w:firstLine="474"/>
            </w:pPr>
            <w:r>
              <w:rPr>
                <w:spacing w:val="1"/>
              </w:rPr>
              <w:t>进入地下水扩散传播的主要是事故状态下泄漏的油品，他们当</w:t>
            </w:r>
            <w:r>
              <w:t>中含有的石</w:t>
            </w:r>
            <w:r>
              <w:rPr>
                <w:spacing w:val="1"/>
              </w:rPr>
              <w:t>油类等有害物质会直接进入受污染区域的土壤，</w:t>
            </w:r>
            <w:r>
              <w:t>在地下水位埋深浅的区域还可</w:t>
            </w:r>
            <w:r>
              <w:rPr>
                <w:spacing w:val="-1"/>
              </w:rPr>
              <w:t>能通过土壤渗透到地下水环境，进而可能造成区域的地下水环境污染。</w:t>
            </w:r>
          </w:p>
          <w:p w14:paraId="113330F0">
            <w:pPr>
              <w:pStyle w:val="6"/>
              <w:spacing w:line="359" w:lineRule="auto"/>
              <w:ind w:left="117" w:right="100" w:firstLine="475"/>
            </w:pPr>
            <w:r>
              <w:rPr>
                <w:spacing w:val="1"/>
              </w:rPr>
              <w:t>项目采用撬装式储罐，下方铺设有防渗膜，发生</w:t>
            </w:r>
            <w:r>
              <w:t>油类泄漏时可及时发现并</w:t>
            </w:r>
            <w:r>
              <w:rPr>
                <w:spacing w:val="-1"/>
              </w:rPr>
              <w:t>收集处置，因此不会进入到地下水环境。</w:t>
            </w:r>
          </w:p>
          <w:p w14:paraId="1511AB18">
            <w:pPr>
              <w:pStyle w:val="6"/>
              <w:spacing w:line="220" w:lineRule="auto"/>
              <w:ind w:left="584"/>
            </w:pPr>
            <w:r>
              <w:rPr>
                <w:rFonts w:ascii="Times New Roman" w:hAnsi="Times New Roman" w:eastAsia="Times New Roman" w:cs="Times New Roman"/>
                <w:spacing w:val="-4"/>
              </w:rPr>
              <w:t>2</w:t>
            </w:r>
            <w:r>
              <w:rPr>
                <w:rFonts w:ascii="Times New Roman" w:hAnsi="Times New Roman" w:eastAsia="Times New Roman" w:cs="Times New Roman"/>
                <w:spacing w:val="-34"/>
              </w:rPr>
              <w:t xml:space="preserve"> </w:t>
            </w:r>
            <w:r>
              <w:rPr>
                <w:spacing w:val="-4"/>
              </w:rPr>
              <w:t>、环境风险分析</w:t>
            </w:r>
          </w:p>
          <w:p w14:paraId="546BDF71">
            <w:pPr>
              <w:pStyle w:val="6"/>
              <w:spacing w:before="182" w:line="220" w:lineRule="auto"/>
              <w:ind w:left="600"/>
            </w:pPr>
            <w:r>
              <w:rPr>
                <w:spacing w:val="-2"/>
              </w:rPr>
              <w:t>（</w:t>
            </w:r>
            <w:r>
              <w:rPr>
                <w:rFonts w:ascii="Times New Roman" w:hAnsi="Times New Roman" w:eastAsia="Times New Roman" w:cs="Times New Roman"/>
                <w:spacing w:val="-2"/>
              </w:rPr>
              <w:t>1</w:t>
            </w:r>
            <w:r>
              <w:rPr>
                <w:spacing w:val="-2"/>
              </w:rPr>
              <w:t>）环境空气风险分析</w:t>
            </w:r>
          </w:p>
          <w:p w14:paraId="28A722F3">
            <w:pPr>
              <w:pStyle w:val="6"/>
              <w:spacing w:before="180" w:line="359" w:lineRule="auto"/>
              <w:ind w:left="108" w:right="140" w:firstLine="483"/>
            </w:pPr>
            <w:r>
              <w:rPr>
                <w:spacing w:val="-1"/>
              </w:rPr>
              <w:t>项目对大气环境造成影响的风险事故主要为井喷、柴油罐、采出液储罐、井口至储液罐管线及危险废物泄漏事故。</w:t>
            </w:r>
          </w:p>
          <w:p w14:paraId="0654095C">
            <w:pPr>
              <w:pStyle w:val="6"/>
              <w:spacing w:line="220" w:lineRule="auto"/>
              <w:ind w:left="607"/>
            </w:pPr>
            <w:r>
              <w:rPr>
                <w:rFonts w:ascii="Times New Roman" w:hAnsi="Times New Roman" w:eastAsia="Times New Roman" w:cs="Times New Roman"/>
                <w:spacing w:val="-5"/>
              </w:rPr>
              <w:t>1</w:t>
            </w:r>
            <w:r>
              <w:rPr>
                <w:spacing w:val="-5"/>
              </w:rPr>
              <w:t>）井喷事故</w:t>
            </w:r>
          </w:p>
          <w:p w14:paraId="532C5A66">
            <w:pPr>
              <w:pStyle w:val="6"/>
              <w:spacing w:before="183" w:line="359" w:lineRule="auto"/>
              <w:ind w:left="109" w:right="41" w:firstLine="479"/>
            </w:pPr>
            <w:r>
              <w:rPr>
                <w:spacing w:val="1"/>
              </w:rPr>
              <w:t>井喷失控事故对大气环境造成的影响较大。其主要成分是</w:t>
            </w:r>
            <w:r>
              <w:t>烷烃和芳烃碳氢</w:t>
            </w:r>
            <w:r>
              <w:rPr>
                <w:spacing w:val="1"/>
              </w:rPr>
              <w:t>化合物，其中，对大气环境可造成污染的是其中较轻的</w:t>
            </w:r>
            <w:r>
              <w:t>烃类组分，这些成分挥</w:t>
            </w:r>
            <w:r>
              <w:rPr>
                <w:spacing w:val="-5"/>
              </w:rPr>
              <w:t>发进入大气形成烃类污染。若泄漏得不到及时处理，则烃类挥发时间持续较长，</w:t>
            </w:r>
            <w:r>
              <w:rPr>
                <w:spacing w:val="1"/>
              </w:rPr>
              <w:t>形成的污染就较严重。如果一次事故泄漏量过多，覆盖</w:t>
            </w:r>
            <w:r>
              <w:t>面较大，在未能及时回</w:t>
            </w:r>
            <w:r>
              <w:rPr>
                <w:spacing w:val="1"/>
              </w:rPr>
              <w:t>收、气象因子适宜的条件下，便可形成较重的局部大气</w:t>
            </w:r>
            <w:r>
              <w:t>污染，这时，大气中总</w:t>
            </w:r>
            <w:r>
              <w:rPr>
                <w:spacing w:val="1"/>
              </w:rPr>
              <w:t>烃的浓度可比正常情况高出数倍甚至更多。泄漏后如果</w:t>
            </w:r>
            <w:r>
              <w:t>发生火灾，则燃烧形成</w:t>
            </w:r>
            <w:r>
              <w:rPr>
                <w:spacing w:val="1"/>
              </w:rPr>
              <w:t>的黑烟造成较重的大气污染。根据对相似油田和华北油</w:t>
            </w:r>
            <w:r>
              <w:t>田历史上发生的井喷事</w:t>
            </w:r>
            <w:r>
              <w:rPr>
                <w:spacing w:val="-1"/>
              </w:rPr>
              <w:t>故的调查，一旦发生井喷事故，污染范围通常在</w:t>
            </w:r>
            <w:r>
              <w:rPr>
                <w:spacing w:val="-32"/>
              </w:rPr>
              <w:t xml:space="preserve"> </w:t>
            </w:r>
            <w:r>
              <w:rPr>
                <w:rFonts w:ascii="Times New Roman" w:hAnsi="Times New Roman" w:eastAsia="Times New Roman" w:cs="Times New Roman"/>
                <w:spacing w:val="-1"/>
              </w:rPr>
              <w:t>100~2</w:t>
            </w:r>
            <w:r>
              <w:rPr>
                <w:rFonts w:ascii="Times New Roman" w:hAnsi="Times New Roman" w:eastAsia="Times New Roman" w:cs="Times New Roman"/>
                <w:spacing w:val="-2"/>
              </w:rPr>
              <w:t xml:space="preserve">00m </w:t>
            </w:r>
            <w:r>
              <w:rPr>
                <w:spacing w:val="-2"/>
              </w:rPr>
              <w:t>范围内。</w:t>
            </w:r>
          </w:p>
          <w:p w14:paraId="04FC9229">
            <w:pPr>
              <w:pStyle w:val="6"/>
              <w:spacing w:before="3" w:line="347" w:lineRule="auto"/>
              <w:ind w:left="107" w:right="100" w:firstLine="480"/>
              <w:jc w:val="both"/>
            </w:pPr>
            <w:r>
              <w:rPr>
                <w:spacing w:val="1"/>
              </w:rPr>
              <w:t>造成井喷必须有三个基本条件：要有连通性好的地层；要有</w:t>
            </w:r>
            <w:r>
              <w:t>石油、气、水</w:t>
            </w:r>
            <w:r>
              <w:rPr>
                <w:spacing w:val="1"/>
              </w:rPr>
              <w:t>的存在；要有一定的能量（地层压力）。项目钻井时根据地</w:t>
            </w:r>
            <w:r>
              <w:t>层压力特征采取了</w:t>
            </w:r>
            <w:r>
              <w:rPr>
                <w:spacing w:val="1"/>
              </w:rPr>
              <w:t>对应的防喷措施，在按照钻井安全环保控制措施施工条件下</w:t>
            </w:r>
            <w:r>
              <w:t>井喷事故的发生频</w:t>
            </w:r>
          </w:p>
        </w:tc>
      </w:tr>
    </w:tbl>
    <w:p w14:paraId="69BDB4FD">
      <w:pPr>
        <w:rPr>
          <w:rFonts w:ascii="Arial"/>
          <w:sz w:val="21"/>
        </w:rPr>
      </w:pPr>
    </w:p>
    <w:p w14:paraId="786FB68F">
      <w:pPr>
        <w:rPr>
          <w:rFonts w:ascii="Arial" w:hAnsi="Arial" w:eastAsia="Arial" w:cs="Arial"/>
          <w:sz w:val="21"/>
          <w:szCs w:val="21"/>
        </w:rPr>
        <w:sectPr>
          <w:footerReference r:id="rId86" w:type="default"/>
          <w:pgSz w:w="11906" w:h="16839"/>
          <w:pgMar w:top="400" w:right="1410" w:bottom="1240" w:left="1579" w:header="0" w:footer="1078" w:gutter="0"/>
          <w:cols w:space="720" w:num="1"/>
        </w:sectPr>
      </w:pPr>
    </w:p>
    <w:p w14:paraId="57AB2ABB">
      <w:pPr>
        <w:spacing w:before="56"/>
      </w:pPr>
    </w:p>
    <w:p w14:paraId="2E67FBEA">
      <w:pPr>
        <w:spacing w:before="56"/>
      </w:pPr>
    </w:p>
    <w:p w14:paraId="2570456E">
      <w:pPr>
        <w:spacing w:before="55"/>
      </w:pPr>
    </w:p>
    <w:p w14:paraId="6C93E20C">
      <w:pPr>
        <w:spacing w:before="55"/>
      </w:pPr>
    </w:p>
    <w:tbl>
      <w:tblPr>
        <w:tblStyle w:val="5"/>
        <w:tblW w:w="890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95"/>
        <w:gridCol w:w="8406"/>
      </w:tblGrid>
      <w:tr w14:paraId="310F20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495" w:type="dxa"/>
            <w:tcBorders>
              <w:right w:val="single" w:color="000000" w:sz="2" w:space="0"/>
            </w:tcBorders>
            <w:vAlign w:val="top"/>
          </w:tcPr>
          <w:p w14:paraId="25005044">
            <w:pPr>
              <w:rPr>
                <w:rFonts w:ascii="Arial"/>
                <w:sz w:val="21"/>
              </w:rPr>
            </w:pPr>
          </w:p>
        </w:tc>
        <w:tc>
          <w:tcPr>
            <w:tcW w:w="8406" w:type="dxa"/>
            <w:tcBorders>
              <w:left w:val="single" w:color="000000" w:sz="2" w:space="0"/>
            </w:tcBorders>
            <w:vAlign w:val="top"/>
          </w:tcPr>
          <w:p w14:paraId="24A0D0B6">
            <w:pPr>
              <w:pStyle w:val="6"/>
              <w:spacing w:before="40" w:line="219" w:lineRule="auto"/>
              <w:ind w:left="110"/>
            </w:pPr>
            <w:r>
              <w:rPr>
                <w:spacing w:val="-3"/>
              </w:rPr>
              <w:t>率很小。</w:t>
            </w:r>
          </w:p>
          <w:p w14:paraId="207AAD59">
            <w:pPr>
              <w:pStyle w:val="6"/>
              <w:spacing w:before="183" w:line="359" w:lineRule="auto"/>
              <w:ind w:left="108" w:right="102" w:firstLine="475"/>
            </w:pPr>
            <w:r>
              <w:rPr>
                <w:rFonts w:ascii="Times New Roman" w:hAnsi="Times New Roman" w:eastAsia="Times New Roman" w:cs="Times New Roman"/>
                <w:spacing w:val="-3"/>
              </w:rPr>
              <w:t>2</w:t>
            </w:r>
            <w:r>
              <w:rPr>
                <w:spacing w:val="-3"/>
              </w:rPr>
              <w:t>）柴油罐、采出液储罐、井口至储液罐管线、废润滑油和落地油泄漏事故影响分析</w:t>
            </w:r>
          </w:p>
          <w:p w14:paraId="65BBEA0C">
            <w:pPr>
              <w:pStyle w:val="6"/>
              <w:spacing w:line="359" w:lineRule="auto"/>
              <w:ind w:left="107" w:right="102" w:firstLine="481"/>
            </w:pPr>
            <w:r>
              <w:rPr>
                <w:spacing w:val="1"/>
              </w:rPr>
              <w:t>风险影响主要是柴油罐、采出液储罐、井口至储液</w:t>
            </w:r>
            <w:r>
              <w:t>罐管线、撬装式危废贮</w:t>
            </w:r>
            <w:r>
              <w:rPr>
                <w:spacing w:val="-1"/>
              </w:rPr>
              <w:t>存点的废润滑油和落地油泄漏后产生的次生灾害火灾爆炸。</w:t>
            </w:r>
          </w:p>
          <w:p w14:paraId="6AD3A5D1">
            <w:pPr>
              <w:pStyle w:val="6"/>
              <w:spacing w:line="359" w:lineRule="auto"/>
              <w:ind w:left="107" w:right="100" w:firstLine="480"/>
            </w:pPr>
            <w:r>
              <w:rPr>
                <w:spacing w:val="1"/>
              </w:rPr>
              <w:t>废润滑油、落地油产生量较小，密闭暂存于撬装式危废</w:t>
            </w:r>
            <w:r>
              <w:t>贮存点，撬装式危</w:t>
            </w:r>
            <w:r>
              <w:rPr>
                <w:spacing w:val="1"/>
              </w:rPr>
              <w:t>废贮存点采用定制专用板房，底板及围堰进行重点防渗，泄</w:t>
            </w:r>
            <w:r>
              <w:t>漏概率比较低。柴</w:t>
            </w:r>
            <w:r>
              <w:rPr>
                <w:spacing w:val="-1"/>
              </w:rPr>
              <w:t>油和采出液均采用密闭防腐储罐，由于容器、罐体和管线破裂</w:t>
            </w:r>
            <w:r>
              <w:rPr>
                <w:spacing w:val="-2"/>
              </w:rPr>
              <w:t>导致柴油</w:t>
            </w:r>
            <w:r>
              <w:rPr>
                <w:rFonts w:ascii="Times New Roman" w:hAnsi="Times New Roman" w:eastAsia="Times New Roman" w:cs="Times New Roman"/>
                <w:spacing w:val="-2"/>
              </w:rPr>
              <w:t>/</w:t>
            </w:r>
            <w:r>
              <w:rPr>
                <w:spacing w:val="-2"/>
              </w:rPr>
              <w:t>采出液</w:t>
            </w:r>
            <w:r>
              <w:rPr>
                <w:spacing w:val="1"/>
              </w:rPr>
              <w:t>大量泄漏的概率很小，一般情况管道阀门泄漏，少量跑冒漏</w:t>
            </w:r>
            <w:r>
              <w:t>滴均收集围堰内，</w:t>
            </w:r>
            <w:r>
              <w:rPr>
                <w:spacing w:val="1"/>
              </w:rPr>
              <w:t>对事故现场空气环境产生影响较小，局部大气中烃类浓度可</w:t>
            </w:r>
            <w:r>
              <w:t>能高出正常情况。</w:t>
            </w:r>
            <w:r>
              <w:rPr>
                <w:spacing w:val="1"/>
              </w:rPr>
              <w:t>若遇明火引发的火灾事故或爆炸时产生的次生污染物</w:t>
            </w:r>
            <w:r>
              <w:rPr>
                <w:spacing w:val="-45"/>
              </w:rPr>
              <w:t xml:space="preserve"> </w:t>
            </w:r>
            <w:r>
              <w:rPr>
                <w:rFonts w:ascii="Times New Roman" w:hAnsi="Times New Roman" w:eastAsia="Times New Roman" w:cs="Times New Roman"/>
              </w:rPr>
              <w:t>CO</w:t>
            </w:r>
            <w:r>
              <w:rPr>
                <w:rFonts w:ascii="Times New Roman" w:hAnsi="Times New Roman" w:eastAsia="Times New Roman" w:cs="Times New Roman"/>
                <w:spacing w:val="1"/>
              </w:rPr>
              <w:t xml:space="preserve"> </w:t>
            </w:r>
            <w:r>
              <w:rPr>
                <w:spacing w:val="1"/>
              </w:rPr>
              <w:t>等，不完全燃烧伴生的</w:t>
            </w:r>
            <w:r>
              <w:rPr>
                <w:spacing w:val="-43"/>
              </w:rPr>
              <w:t xml:space="preserve"> </w:t>
            </w:r>
            <w:r>
              <w:rPr>
                <w:rFonts w:ascii="Times New Roman" w:hAnsi="Times New Roman" w:eastAsia="Times New Roman" w:cs="Times New Roman"/>
              </w:rPr>
              <w:t>CO</w:t>
            </w:r>
            <w:r>
              <w:rPr>
                <w:rFonts w:ascii="Times New Roman" w:hAnsi="Times New Roman" w:eastAsia="Times New Roman" w:cs="Times New Roman"/>
                <w:spacing w:val="1"/>
              </w:rPr>
              <w:t xml:space="preserve"> </w:t>
            </w:r>
            <w:r>
              <w:rPr>
                <w:spacing w:val="1"/>
              </w:rPr>
              <w:t>产生时间短、产生量较小，扩散进入大气后环境中的有害气体浓度较低</w:t>
            </w:r>
            <w:r>
              <w:t>且持续时间不长，不会产生较大的急性中毒事</w:t>
            </w:r>
            <w:r>
              <w:rPr>
                <w:spacing w:val="-1"/>
              </w:rPr>
              <w:t>件，对环境影响较小。</w:t>
            </w:r>
          </w:p>
          <w:p w14:paraId="3C9D9F16">
            <w:pPr>
              <w:pStyle w:val="6"/>
              <w:spacing w:line="219" w:lineRule="auto"/>
              <w:ind w:left="600"/>
            </w:pPr>
            <w:r>
              <w:rPr>
                <w:spacing w:val="-2"/>
              </w:rPr>
              <w:t>（</w:t>
            </w:r>
            <w:r>
              <w:rPr>
                <w:rFonts w:ascii="Times New Roman" w:hAnsi="Times New Roman" w:eastAsia="Times New Roman" w:cs="Times New Roman"/>
                <w:spacing w:val="-2"/>
              </w:rPr>
              <w:t>2</w:t>
            </w:r>
            <w:r>
              <w:rPr>
                <w:spacing w:val="-2"/>
              </w:rPr>
              <w:t>）地表水环境风险分析</w:t>
            </w:r>
          </w:p>
          <w:p w14:paraId="51A3159C">
            <w:pPr>
              <w:pStyle w:val="6"/>
              <w:spacing w:before="182" w:line="219" w:lineRule="auto"/>
              <w:ind w:left="592"/>
            </w:pPr>
            <w:r>
              <w:rPr>
                <w:spacing w:val="-1"/>
              </w:rPr>
              <w:t>项目周围近距离无地表水敏感目标，不会对地表水体产生不利影响。</w:t>
            </w:r>
          </w:p>
          <w:p w14:paraId="6A6D07D9">
            <w:pPr>
              <w:pStyle w:val="6"/>
              <w:spacing w:before="181" w:line="219" w:lineRule="auto"/>
              <w:ind w:left="600"/>
            </w:pPr>
            <w:r>
              <w:rPr>
                <w:spacing w:val="-2"/>
              </w:rPr>
              <w:t>（</w:t>
            </w:r>
            <w:r>
              <w:rPr>
                <w:rFonts w:ascii="Times New Roman" w:hAnsi="Times New Roman" w:eastAsia="Times New Roman" w:cs="Times New Roman"/>
                <w:spacing w:val="-2"/>
              </w:rPr>
              <w:t>3</w:t>
            </w:r>
            <w:r>
              <w:rPr>
                <w:spacing w:val="-2"/>
              </w:rPr>
              <w:t>）地下水环境风险分析</w:t>
            </w:r>
          </w:p>
          <w:p w14:paraId="3D7B9667">
            <w:pPr>
              <w:pStyle w:val="6"/>
              <w:spacing w:before="183" w:line="220" w:lineRule="auto"/>
              <w:ind w:left="607"/>
            </w:pPr>
            <w:r>
              <w:rPr>
                <w:rFonts w:ascii="Times New Roman" w:hAnsi="Times New Roman" w:eastAsia="Times New Roman" w:cs="Times New Roman"/>
                <w:spacing w:val="-3"/>
              </w:rPr>
              <w:t>1</w:t>
            </w:r>
            <w:r>
              <w:rPr>
                <w:spacing w:val="-3"/>
              </w:rPr>
              <w:t>）井漏事故影响分析</w:t>
            </w:r>
          </w:p>
          <w:p w14:paraId="0030EE65">
            <w:pPr>
              <w:pStyle w:val="6"/>
              <w:spacing w:before="180" w:line="359" w:lineRule="auto"/>
              <w:ind w:left="108" w:right="22" w:firstLine="480"/>
            </w:pPr>
            <w:r>
              <w:rPr>
                <w:spacing w:val="1"/>
              </w:rPr>
              <w:t>井漏事故对地下水的污染是指在钻井过程中，钻井泥浆漏</w:t>
            </w:r>
            <w:r>
              <w:t>失于地下水含水</w:t>
            </w:r>
            <w:r>
              <w:rPr>
                <w:spacing w:val="-4"/>
              </w:rPr>
              <w:t>层中，造成含水层水质污染。就钻井源漏失而言，发生在局部且持续时间较短。</w:t>
            </w:r>
          </w:p>
          <w:p w14:paraId="6A1C02C0">
            <w:pPr>
              <w:pStyle w:val="6"/>
              <w:spacing w:before="2" w:line="359" w:lineRule="auto"/>
              <w:ind w:left="107" w:right="102" w:firstLine="484"/>
            </w:pPr>
            <w:r>
              <w:rPr>
                <w:spacing w:val="1"/>
              </w:rPr>
              <w:t>项目导管阶段钻井泥浆主要成分为清水和膨</w:t>
            </w:r>
            <w:r>
              <w:t>润土等，不含有毒有害物质，</w:t>
            </w:r>
            <w:r>
              <w:rPr>
                <w:spacing w:val="-4"/>
              </w:rPr>
              <w:t>导管深度为</w:t>
            </w:r>
            <w:r>
              <w:rPr>
                <w:spacing w:val="-19"/>
              </w:rPr>
              <w:t xml:space="preserve"> </w:t>
            </w:r>
            <w:r>
              <w:rPr>
                <w:rFonts w:ascii="Times New Roman" w:hAnsi="Times New Roman" w:eastAsia="Times New Roman" w:cs="Times New Roman"/>
                <w:spacing w:val="-4"/>
              </w:rPr>
              <w:t>120m</w:t>
            </w:r>
            <w:r>
              <w:rPr>
                <w:spacing w:val="-4"/>
              </w:rPr>
              <w:t>，一至两天就能完成并下入导管后固井，时间较短，表层套管</w:t>
            </w:r>
            <w:r>
              <w:rPr>
                <w:spacing w:val="-3"/>
              </w:rPr>
              <w:t>下深至</w:t>
            </w:r>
            <w:r>
              <w:rPr>
                <w:spacing w:val="-22"/>
              </w:rPr>
              <w:t xml:space="preserve"> </w:t>
            </w:r>
            <w:r>
              <w:rPr>
                <w:rFonts w:ascii="Times New Roman" w:hAnsi="Times New Roman" w:eastAsia="Times New Roman" w:cs="Times New Roman"/>
                <w:spacing w:val="-3"/>
              </w:rPr>
              <w:t xml:space="preserve">1200m </w:t>
            </w:r>
            <w:r>
              <w:rPr>
                <w:spacing w:val="-3"/>
              </w:rPr>
              <w:t>左右并注入水泥封固，确保套管能完全封隔含水层，</w:t>
            </w:r>
            <w:r>
              <w:rPr>
                <w:rFonts w:ascii="Times New Roman" w:hAnsi="Times New Roman" w:eastAsia="Times New Roman" w:cs="Times New Roman"/>
                <w:spacing w:val="-3"/>
              </w:rPr>
              <w:t>1200m</w:t>
            </w:r>
            <w:r>
              <w:rPr>
                <w:rFonts w:ascii="Times New Roman" w:hAnsi="Times New Roman" w:eastAsia="Times New Roman" w:cs="Times New Roman"/>
                <w:spacing w:val="29"/>
                <w:w w:val="101"/>
              </w:rPr>
              <w:t xml:space="preserve"> </w:t>
            </w:r>
            <w:r>
              <w:rPr>
                <w:spacing w:val="-3"/>
              </w:rPr>
              <w:t>的深</w:t>
            </w:r>
            <w:r>
              <w:rPr>
                <w:spacing w:val="1"/>
              </w:rPr>
              <w:t>度基本涵盖了可能具有使用功能的地下水，因此项目钻</w:t>
            </w:r>
            <w:r>
              <w:t>井过程不会对可能具备</w:t>
            </w:r>
            <w:r>
              <w:rPr>
                <w:spacing w:val="-1"/>
              </w:rPr>
              <w:t>使用功能的地下水造成影响。</w:t>
            </w:r>
          </w:p>
          <w:p w14:paraId="12DC3AB4">
            <w:pPr>
              <w:pStyle w:val="6"/>
              <w:spacing w:before="2" w:line="352" w:lineRule="auto"/>
              <w:ind w:left="108" w:right="100" w:firstLine="481"/>
              <w:jc w:val="both"/>
            </w:pPr>
            <w:r>
              <w:rPr>
                <w:spacing w:val="1"/>
              </w:rPr>
              <w:t>后续施工时已完成水泥固井，因此钻井泥浆不会</w:t>
            </w:r>
            <w:r>
              <w:t>在套管范围内漏失，漏失</w:t>
            </w:r>
            <w:r>
              <w:rPr>
                <w:spacing w:val="1"/>
              </w:rPr>
              <w:t>发生在套管以下的范围内。由于钻井泥浆中的固相颗</w:t>
            </w:r>
            <w:r>
              <w:t>粒在井壁可形成低渗透性</w:t>
            </w:r>
            <w:r>
              <w:rPr>
                <w:spacing w:val="1"/>
              </w:rPr>
              <w:t>的滤饼，能有效减少液体渗入地层，同时采用近平衡或欠</w:t>
            </w:r>
            <w:r>
              <w:t>平衡钻井技术（即钻井泥浆液柱压力等于或小于地层压力</w:t>
            </w:r>
            <w:r>
              <w:rPr>
                <w:spacing w:val="12"/>
              </w:rPr>
              <w:t>），</w:t>
            </w:r>
            <w:r>
              <w:t>可有效防止钻井泥浆进入地层中，因</w:t>
            </w:r>
            <w:r>
              <w:rPr>
                <w:spacing w:val="-1"/>
              </w:rPr>
              <w:t>此对后续施工二开、三开范围内的深层地下水影响较小。</w:t>
            </w:r>
          </w:p>
        </w:tc>
      </w:tr>
    </w:tbl>
    <w:p w14:paraId="34B705BD">
      <w:pPr>
        <w:rPr>
          <w:rFonts w:ascii="Arial"/>
          <w:sz w:val="21"/>
        </w:rPr>
      </w:pPr>
    </w:p>
    <w:p w14:paraId="2120A576">
      <w:pPr>
        <w:rPr>
          <w:rFonts w:ascii="Arial" w:hAnsi="Arial" w:eastAsia="Arial" w:cs="Arial"/>
          <w:sz w:val="21"/>
          <w:szCs w:val="21"/>
        </w:rPr>
        <w:sectPr>
          <w:footerReference r:id="rId87" w:type="default"/>
          <w:pgSz w:w="11906" w:h="16839"/>
          <w:pgMar w:top="400" w:right="1410" w:bottom="1240" w:left="1579" w:header="0" w:footer="1078" w:gutter="0"/>
          <w:cols w:space="720" w:num="1"/>
        </w:sectPr>
      </w:pPr>
    </w:p>
    <w:p w14:paraId="3963AD5B">
      <w:pPr>
        <w:spacing w:before="56"/>
      </w:pPr>
    </w:p>
    <w:p w14:paraId="65722AD4">
      <w:pPr>
        <w:spacing w:before="56"/>
      </w:pPr>
    </w:p>
    <w:p w14:paraId="5EF7D9F5">
      <w:pPr>
        <w:spacing w:before="55"/>
      </w:pPr>
    </w:p>
    <w:p w14:paraId="7678D01F">
      <w:pPr>
        <w:spacing w:before="55"/>
      </w:pPr>
    </w:p>
    <w:tbl>
      <w:tblPr>
        <w:tblStyle w:val="5"/>
        <w:tblW w:w="890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95"/>
        <w:gridCol w:w="8406"/>
      </w:tblGrid>
      <w:tr w14:paraId="1A8AF0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495" w:type="dxa"/>
            <w:tcBorders>
              <w:right w:val="single" w:color="000000" w:sz="2" w:space="0"/>
            </w:tcBorders>
            <w:vAlign w:val="top"/>
          </w:tcPr>
          <w:p w14:paraId="725A0377">
            <w:pPr>
              <w:rPr>
                <w:rFonts w:ascii="Arial"/>
                <w:sz w:val="21"/>
              </w:rPr>
            </w:pPr>
          </w:p>
        </w:tc>
        <w:tc>
          <w:tcPr>
            <w:tcW w:w="8406" w:type="dxa"/>
            <w:tcBorders>
              <w:left w:val="single" w:color="000000" w:sz="2" w:space="0"/>
            </w:tcBorders>
            <w:vAlign w:val="top"/>
          </w:tcPr>
          <w:p w14:paraId="111B58D7">
            <w:pPr>
              <w:pStyle w:val="6"/>
              <w:spacing w:before="41" w:line="359" w:lineRule="auto"/>
              <w:ind w:left="108" w:right="100" w:firstLine="480"/>
              <w:jc w:val="both"/>
            </w:pPr>
            <w:r>
              <w:rPr>
                <w:spacing w:val="1"/>
              </w:rPr>
              <w:t>井漏主要发生于具有特殊地质结构的油藏区，如具有溶洞</w:t>
            </w:r>
            <w:r>
              <w:t>、裂隙等不稳定</w:t>
            </w:r>
            <w:r>
              <w:rPr>
                <w:spacing w:val="1"/>
              </w:rPr>
              <w:t>的地层构造区域。在油气资源勘探过程中未发现不稳定地</w:t>
            </w:r>
            <w:r>
              <w:t>质因素。另外，施工</w:t>
            </w:r>
            <w:r>
              <w:rPr>
                <w:spacing w:val="1"/>
              </w:rPr>
              <w:t>单位针对井漏制定有完善的应对措施，钻井过程中一旦发</w:t>
            </w:r>
            <w:r>
              <w:t>现异常，施工单位将</w:t>
            </w:r>
            <w:r>
              <w:rPr>
                <w:spacing w:val="1"/>
              </w:rPr>
              <w:t>立即停钻采取添加堵漏剂、打水泥塞等措施，防止井</w:t>
            </w:r>
            <w:r>
              <w:t>漏事故的发生，可有效减</w:t>
            </w:r>
            <w:r>
              <w:rPr>
                <w:spacing w:val="-1"/>
              </w:rPr>
              <w:t>轻井漏对地下水的影响。</w:t>
            </w:r>
          </w:p>
          <w:p w14:paraId="0A0F86B6">
            <w:pPr>
              <w:pStyle w:val="6"/>
              <w:spacing w:line="219" w:lineRule="auto"/>
              <w:ind w:left="584"/>
            </w:pPr>
            <w:r>
              <w:rPr>
                <w:rFonts w:ascii="Times New Roman" w:hAnsi="Times New Roman" w:eastAsia="Times New Roman" w:cs="Times New Roman"/>
                <w:spacing w:val="-1"/>
              </w:rPr>
              <w:t>2</w:t>
            </w:r>
            <w:r>
              <w:rPr>
                <w:spacing w:val="-1"/>
              </w:rPr>
              <w:t>）钻井泥浆储罐泄漏事故影响分析</w:t>
            </w:r>
          </w:p>
          <w:p w14:paraId="3EECBB21">
            <w:pPr>
              <w:pStyle w:val="6"/>
              <w:spacing w:before="181" w:line="359" w:lineRule="auto"/>
              <w:ind w:left="108" w:right="100" w:firstLine="480"/>
            </w:pPr>
            <w:r>
              <w:rPr>
                <w:spacing w:val="1"/>
              </w:rPr>
              <w:t>钻井泥浆正常情况下储存在罐中，对地下水影响较小。一</w:t>
            </w:r>
            <w:r>
              <w:t>旦钻井泥浆罐渗</w:t>
            </w:r>
            <w:r>
              <w:rPr>
                <w:spacing w:val="1"/>
              </w:rPr>
              <w:t>漏，钻井泥浆会直接进入土层，通过包气带下渗。项目施</w:t>
            </w:r>
            <w:r>
              <w:t>工过程中对井场采取分区防渗措施，做好防渗工作，就不会发生钻井泥</w:t>
            </w:r>
            <w:r>
              <w:rPr>
                <w:spacing w:val="-1"/>
              </w:rPr>
              <w:t>浆泄漏对地下水的影响。</w:t>
            </w:r>
          </w:p>
          <w:p w14:paraId="04D86773">
            <w:pPr>
              <w:pStyle w:val="6"/>
              <w:spacing w:line="219" w:lineRule="auto"/>
              <w:ind w:left="589"/>
            </w:pPr>
            <w:r>
              <w:rPr>
                <w:rFonts w:ascii="Times New Roman" w:hAnsi="Times New Roman" w:eastAsia="Times New Roman" w:cs="Times New Roman"/>
                <w:spacing w:val="-1"/>
              </w:rPr>
              <w:t>3</w:t>
            </w:r>
            <w:r>
              <w:rPr>
                <w:spacing w:val="-1"/>
              </w:rPr>
              <w:t>）危废贮存点、柴油罐等泄漏事故</w:t>
            </w:r>
          </w:p>
          <w:p w14:paraId="4CF789FC">
            <w:pPr>
              <w:pStyle w:val="6"/>
              <w:spacing w:before="182" w:line="359" w:lineRule="auto"/>
              <w:ind w:left="108" w:right="100" w:firstLine="480"/>
            </w:pPr>
            <w:r>
              <w:rPr>
                <w:spacing w:val="1"/>
              </w:rPr>
              <w:t>若危废贮存容器、柴油储罐发生破损，同时危废贮存区</w:t>
            </w:r>
            <w:r>
              <w:t>、柴油罐区内防渗</w:t>
            </w:r>
            <w:r>
              <w:rPr>
                <w:spacing w:val="1"/>
              </w:rPr>
              <w:t>层发生破损，则泄漏的废润滑油、柴油等液态物质可能会</w:t>
            </w:r>
            <w:r>
              <w:t>通过破损的防渗层下</w:t>
            </w:r>
            <w:r>
              <w:rPr>
                <w:spacing w:val="-1"/>
              </w:rPr>
              <w:t>渗至土壤直至地下水层，污染区域地下水。</w:t>
            </w:r>
          </w:p>
          <w:p w14:paraId="55C837F7">
            <w:pPr>
              <w:pStyle w:val="6"/>
              <w:spacing w:line="359" w:lineRule="auto"/>
              <w:ind w:left="109" w:right="100" w:firstLine="482"/>
            </w:pPr>
            <w:r>
              <w:rPr>
                <w:spacing w:val="1"/>
              </w:rPr>
              <w:t>项目施工过程中，加强日常监管、加强巡视来减</w:t>
            </w:r>
            <w:r>
              <w:t>少此类事故的发生，从而</w:t>
            </w:r>
            <w:r>
              <w:rPr>
                <w:spacing w:val="-1"/>
              </w:rPr>
              <w:t>有效减轻对区域地下水的影响。</w:t>
            </w:r>
          </w:p>
          <w:p w14:paraId="1E339E31">
            <w:pPr>
              <w:pStyle w:val="6"/>
              <w:spacing w:line="220" w:lineRule="auto"/>
              <w:ind w:left="600"/>
            </w:pPr>
            <w:r>
              <w:rPr>
                <w:spacing w:val="-2"/>
              </w:rPr>
              <w:t>（</w:t>
            </w:r>
            <w:r>
              <w:rPr>
                <w:rFonts w:ascii="Times New Roman" w:hAnsi="Times New Roman" w:eastAsia="Times New Roman" w:cs="Times New Roman"/>
                <w:spacing w:val="-2"/>
              </w:rPr>
              <w:t>4</w:t>
            </w:r>
            <w:r>
              <w:rPr>
                <w:spacing w:val="-2"/>
              </w:rPr>
              <w:t>）对生态环境的影响分析</w:t>
            </w:r>
          </w:p>
          <w:p w14:paraId="7B743E61">
            <w:pPr>
              <w:pStyle w:val="6"/>
              <w:spacing w:before="184" w:line="359" w:lineRule="auto"/>
              <w:ind w:left="108" w:right="100" w:firstLine="485"/>
            </w:pPr>
            <w:r>
              <w:rPr>
                <w:spacing w:val="1"/>
              </w:rPr>
              <w:t>原油和含油污水的事故性泄漏对土壤环境污</w:t>
            </w:r>
            <w:r>
              <w:t>染显著。原油使生长于地表面</w:t>
            </w:r>
            <w:r>
              <w:rPr>
                <w:spacing w:val="1"/>
              </w:rPr>
              <w:t>的植物破坏和死亡，短期内不能恢复，导致土壤抗蚀能力</w:t>
            </w:r>
            <w:r>
              <w:t>下降，土地风沙化严</w:t>
            </w:r>
            <w:r>
              <w:rPr>
                <w:spacing w:val="1"/>
              </w:rPr>
              <w:t>重。泄漏原油流入土壤孔隙，降低土壤的通透性和土壤中</w:t>
            </w:r>
            <w:r>
              <w:t>酶活性，使土壤生物</w:t>
            </w:r>
            <w:r>
              <w:rPr>
                <w:spacing w:val="1"/>
              </w:rPr>
              <w:t>减少。原油集中于土壤表层</w:t>
            </w:r>
            <w:r>
              <w:rPr>
                <w:spacing w:val="-33"/>
              </w:rPr>
              <w:t xml:space="preserve"> </w:t>
            </w:r>
            <w:r>
              <w:rPr>
                <w:rFonts w:ascii="Times New Roman" w:hAnsi="Times New Roman" w:eastAsia="Times New Roman" w:cs="Times New Roman"/>
                <w:spacing w:val="1"/>
              </w:rPr>
              <w:t>0~20</w:t>
            </w:r>
            <w:r>
              <w:rPr>
                <w:rFonts w:ascii="Times New Roman" w:hAnsi="Times New Roman" w:eastAsia="Times New Roman" w:cs="Times New Roman"/>
              </w:rPr>
              <w:t>cm</w:t>
            </w:r>
            <w:r>
              <w:rPr>
                <w:rFonts w:ascii="Times New Roman" w:hAnsi="Times New Roman" w:eastAsia="Times New Roman" w:cs="Times New Roman"/>
                <w:spacing w:val="19"/>
              </w:rPr>
              <w:t xml:space="preserve"> </w:t>
            </w:r>
            <w:r>
              <w:rPr>
                <w:spacing w:val="1"/>
              </w:rPr>
              <w:t>范围内，这便使得根系分布于此深度的植物不能生长。含油污水中的油类也由于土壤吸附作用集中</w:t>
            </w:r>
            <w:r>
              <w:t>于表层，形成污染。</w:t>
            </w:r>
            <w:r>
              <w:rPr>
                <w:spacing w:val="1"/>
              </w:rPr>
              <w:t>油类对土壤的污染，可造成土壤肥力下降，改变土壤的理</w:t>
            </w:r>
            <w:r>
              <w:t>化性质，影响土壤正</w:t>
            </w:r>
            <w:r>
              <w:rPr>
                <w:spacing w:val="-2"/>
              </w:rPr>
              <w:t>常的结构和能力。</w:t>
            </w:r>
          </w:p>
          <w:p w14:paraId="3A483DEA">
            <w:pPr>
              <w:pStyle w:val="6"/>
              <w:spacing w:before="3" w:line="353" w:lineRule="auto"/>
              <w:ind w:left="99" w:right="100" w:firstLine="494"/>
              <w:jc w:val="both"/>
            </w:pPr>
            <w:r>
              <w:rPr>
                <w:spacing w:val="1"/>
              </w:rPr>
              <w:t>原油泄漏对生态环境（主要指植物）的影响</w:t>
            </w:r>
            <w:r>
              <w:t>也较显著。泄漏原油粘附于植</w:t>
            </w:r>
            <w:r>
              <w:rPr>
                <w:spacing w:val="1"/>
              </w:rPr>
              <w:t>物叶片表面将阻断植物的光合作用，使植物枯萎、死亡；土壤污染造成的土壤理化性状变化往往也会影响植物生长，严重时可导致植物死亡；含油污水中油</w:t>
            </w:r>
            <w:r>
              <w:rPr>
                <w:spacing w:val="-1"/>
              </w:rPr>
              <w:t>浓度不高时（几十毫克</w:t>
            </w:r>
            <w:r>
              <w:rPr>
                <w:rFonts w:ascii="Times New Roman" w:hAnsi="Times New Roman" w:eastAsia="Times New Roman" w:cs="Times New Roman"/>
                <w:spacing w:val="-1"/>
              </w:rPr>
              <w:t>/</w:t>
            </w:r>
            <w:r>
              <w:rPr>
                <w:spacing w:val="-1"/>
              </w:rPr>
              <w:t>升），对植物的影响不显著，但浓度较高时（几百毫克</w:t>
            </w:r>
            <w:r>
              <w:rPr>
                <w:rFonts w:ascii="Times New Roman" w:hAnsi="Times New Roman" w:eastAsia="Times New Roman" w:cs="Times New Roman"/>
                <w:spacing w:val="-3"/>
              </w:rPr>
              <w:t>/</w:t>
            </w:r>
            <w:r>
              <w:rPr>
                <w:spacing w:val="-3"/>
              </w:rPr>
              <w:t>升以上）可影响植物生长。因此，就土壤</w:t>
            </w:r>
            <w:r>
              <w:rPr>
                <w:rFonts w:ascii="Times New Roman" w:hAnsi="Times New Roman" w:eastAsia="Times New Roman" w:cs="Times New Roman"/>
                <w:spacing w:val="-3"/>
              </w:rPr>
              <w:t>-</w:t>
            </w:r>
            <w:r>
              <w:rPr>
                <w:spacing w:val="-3"/>
              </w:rPr>
              <w:t>植物生态系统而言，</w:t>
            </w:r>
            <w:r>
              <w:rPr>
                <w:spacing w:val="-4"/>
              </w:rPr>
              <w:t>原油泄漏事故造</w:t>
            </w:r>
            <w:r>
              <w:rPr>
                <w:spacing w:val="1"/>
              </w:rPr>
              <w:t>成的影响一般比较显著，但由于植物生长范围较固定，因此影响仅限于直接有</w:t>
            </w:r>
          </w:p>
        </w:tc>
      </w:tr>
    </w:tbl>
    <w:p w14:paraId="18379C73">
      <w:pPr>
        <w:rPr>
          <w:rFonts w:ascii="Arial"/>
          <w:sz w:val="21"/>
        </w:rPr>
      </w:pPr>
    </w:p>
    <w:p w14:paraId="4643AD66">
      <w:pPr>
        <w:rPr>
          <w:rFonts w:ascii="Arial" w:hAnsi="Arial" w:eastAsia="Arial" w:cs="Arial"/>
          <w:sz w:val="21"/>
          <w:szCs w:val="21"/>
        </w:rPr>
        <w:sectPr>
          <w:footerReference r:id="rId88" w:type="default"/>
          <w:pgSz w:w="11906" w:h="16839"/>
          <w:pgMar w:top="400" w:right="1410" w:bottom="1240" w:left="1579" w:header="0" w:footer="1078" w:gutter="0"/>
          <w:cols w:space="720" w:num="1"/>
        </w:sectPr>
      </w:pPr>
    </w:p>
    <w:p w14:paraId="251E7AA7">
      <w:pPr>
        <w:spacing w:before="56"/>
      </w:pPr>
    </w:p>
    <w:p w14:paraId="5E92450F">
      <w:pPr>
        <w:spacing w:before="56"/>
      </w:pPr>
    </w:p>
    <w:p w14:paraId="6EFE5C65">
      <w:pPr>
        <w:spacing w:before="55"/>
      </w:pPr>
    </w:p>
    <w:p w14:paraId="01CCAE55">
      <w:pPr>
        <w:spacing w:before="55"/>
      </w:pPr>
    </w:p>
    <w:tbl>
      <w:tblPr>
        <w:tblStyle w:val="5"/>
        <w:tblW w:w="8901"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5"/>
        <w:gridCol w:w="712"/>
        <w:gridCol w:w="1054"/>
        <w:gridCol w:w="1425"/>
        <w:gridCol w:w="971"/>
        <w:gridCol w:w="3172"/>
        <w:gridCol w:w="1072"/>
      </w:tblGrid>
      <w:tr w14:paraId="0B4220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9" w:hRule="atLeast"/>
        </w:trPr>
        <w:tc>
          <w:tcPr>
            <w:tcW w:w="495" w:type="dxa"/>
            <w:vMerge w:val="restart"/>
            <w:tcBorders>
              <w:top w:val="single" w:color="000000" w:sz="6" w:space="0"/>
              <w:left w:val="single" w:color="000000" w:sz="6" w:space="0"/>
              <w:bottom w:val="nil"/>
              <w:right w:val="single" w:color="000000" w:sz="2" w:space="0"/>
            </w:tcBorders>
            <w:vAlign w:val="top"/>
          </w:tcPr>
          <w:p w14:paraId="1EA67712">
            <w:pPr>
              <w:rPr>
                <w:rFonts w:ascii="Arial"/>
                <w:sz w:val="21"/>
              </w:rPr>
            </w:pPr>
          </w:p>
        </w:tc>
        <w:tc>
          <w:tcPr>
            <w:tcW w:w="8406" w:type="dxa"/>
            <w:gridSpan w:val="6"/>
            <w:tcBorders>
              <w:top w:val="single" w:color="000000" w:sz="6" w:space="0"/>
              <w:left w:val="single" w:color="000000" w:sz="2" w:space="0"/>
              <w:bottom w:val="single" w:color="000000" w:sz="10" w:space="0"/>
              <w:right w:val="single" w:color="000000" w:sz="6" w:space="0"/>
            </w:tcBorders>
            <w:vAlign w:val="top"/>
          </w:tcPr>
          <w:p w14:paraId="47870D3B">
            <w:pPr>
              <w:pStyle w:val="6"/>
              <w:spacing w:before="39" w:line="220" w:lineRule="auto"/>
              <w:ind w:left="110"/>
            </w:pPr>
            <w:r>
              <w:rPr>
                <w:spacing w:val="-2"/>
              </w:rPr>
              <w:t>落地原油覆盖地区。</w:t>
            </w:r>
          </w:p>
          <w:p w14:paraId="6F72456C">
            <w:pPr>
              <w:pStyle w:val="6"/>
              <w:spacing w:before="181" w:line="359" w:lineRule="auto"/>
              <w:ind w:left="108" w:right="100" w:firstLine="483"/>
              <w:jc w:val="both"/>
            </w:pPr>
            <w:r>
              <w:rPr>
                <w:spacing w:val="1"/>
              </w:rPr>
              <w:t>项目施工过程中在井场范围内分区铺设防渗膜，</w:t>
            </w:r>
            <w:r>
              <w:t>若操作不当，油类物质滴</w:t>
            </w:r>
            <w:r>
              <w:rPr>
                <w:spacing w:val="1"/>
              </w:rPr>
              <w:t>至地面后，根据污染深度，铲至未被污染土层深度，不会</w:t>
            </w:r>
            <w:r>
              <w:t>对深层土壤产生不利</w:t>
            </w:r>
            <w:r>
              <w:rPr>
                <w:spacing w:val="-4"/>
              </w:rPr>
              <w:t>影响。</w:t>
            </w:r>
          </w:p>
          <w:p w14:paraId="0CE9EFC2">
            <w:pPr>
              <w:pStyle w:val="6"/>
              <w:spacing w:line="219" w:lineRule="auto"/>
              <w:ind w:left="592"/>
            </w:pPr>
            <w:r>
              <w:rPr>
                <w:b/>
                <w:bCs/>
                <w:spacing w:val="-3"/>
              </w:rPr>
              <w:t>八、项目污染物产排量汇总</w:t>
            </w:r>
          </w:p>
          <w:p w14:paraId="3ADA0FF8">
            <w:pPr>
              <w:pStyle w:val="6"/>
              <w:spacing w:before="183" w:line="219" w:lineRule="auto"/>
              <w:ind w:left="592"/>
            </w:pPr>
            <w:r>
              <w:rPr>
                <w:spacing w:val="-1"/>
              </w:rPr>
              <w:t>项目污染物产排量汇总如下表所示。</w:t>
            </w:r>
          </w:p>
          <w:p w14:paraId="4008FF9C">
            <w:pPr>
              <w:spacing w:before="180" w:line="214" w:lineRule="auto"/>
              <w:ind w:left="2488"/>
              <w:rPr>
                <w:rFonts w:ascii="黑体" w:hAnsi="黑体" w:eastAsia="黑体" w:cs="黑体"/>
                <w:sz w:val="24"/>
                <w:szCs w:val="24"/>
              </w:rPr>
            </w:pPr>
            <w:r>
              <w:rPr>
                <w:rFonts w:ascii="黑体" w:hAnsi="黑体" w:eastAsia="黑体" w:cs="黑体"/>
                <w:spacing w:val="-3"/>
                <w:sz w:val="24"/>
                <w:szCs w:val="24"/>
              </w:rPr>
              <w:t>表</w:t>
            </w:r>
            <w:r>
              <w:rPr>
                <w:rFonts w:ascii="Times New Roman" w:hAnsi="Times New Roman" w:eastAsia="Times New Roman" w:cs="Times New Roman"/>
                <w:spacing w:val="-3"/>
                <w:sz w:val="24"/>
                <w:szCs w:val="24"/>
              </w:rPr>
              <w:t>4-</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pacing w:val="-3"/>
                <w:sz w:val="24"/>
                <w:szCs w:val="24"/>
              </w:rPr>
              <w:t xml:space="preserve">18  </w:t>
            </w:r>
            <w:r>
              <w:rPr>
                <w:rFonts w:ascii="黑体" w:hAnsi="黑体" w:eastAsia="黑体" w:cs="黑体"/>
                <w:spacing w:val="-3"/>
                <w:sz w:val="24"/>
                <w:szCs w:val="24"/>
              </w:rPr>
              <w:t>项目污染物产排量汇总表</w:t>
            </w:r>
          </w:p>
        </w:tc>
      </w:tr>
      <w:tr w14:paraId="07FC09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495" w:type="dxa"/>
            <w:vMerge w:val="continue"/>
            <w:tcBorders>
              <w:top w:val="nil"/>
              <w:left w:val="single" w:color="000000" w:sz="6" w:space="0"/>
              <w:bottom w:val="nil"/>
              <w:right w:val="single" w:color="000000" w:sz="2" w:space="0"/>
            </w:tcBorders>
            <w:vAlign w:val="top"/>
          </w:tcPr>
          <w:p w14:paraId="09A8658C">
            <w:pPr>
              <w:rPr>
                <w:rFonts w:ascii="Arial"/>
                <w:sz w:val="21"/>
              </w:rPr>
            </w:pPr>
          </w:p>
        </w:tc>
        <w:tc>
          <w:tcPr>
            <w:tcW w:w="712" w:type="dxa"/>
            <w:tcBorders>
              <w:top w:val="single" w:color="000000" w:sz="10" w:space="0"/>
              <w:left w:val="single" w:color="000000" w:sz="2" w:space="0"/>
            </w:tcBorders>
            <w:vAlign w:val="top"/>
          </w:tcPr>
          <w:p w14:paraId="49165874">
            <w:pPr>
              <w:pStyle w:val="6"/>
              <w:spacing w:before="160" w:line="228" w:lineRule="auto"/>
              <w:ind w:left="195"/>
              <w:rPr>
                <w:sz w:val="20"/>
                <w:szCs w:val="20"/>
              </w:rPr>
            </w:pPr>
            <w:r>
              <w:rPr>
                <w:spacing w:val="5"/>
                <w:sz w:val="20"/>
                <w:szCs w:val="20"/>
              </w:rPr>
              <w:t>废气</w:t>
            </w:r>
          </w:p>
        </w:tc>
        <w:tc>
          <w:tcPr>
            <w:tcW w:w="1054" w:type="dxa"/>
            <w:tcBorders>
              <w:top w:val="single" w:color="000000" w:sz="10" w:space="0"/>
            </w:tcBorders>
            <w:vAlign w:val="top"/>
          </w:tcPr>
          <w:p w14:paraId="40A2D48D">
            <w:pPr>
              <w:pStyle w:val="6"/>
              <w:spacing w:before="160" w:line="228" w:lineRule="auto"/>
              <w:ind w:left="210"/>
              <w:rPr>
                <w:sz w:val="20"/>
                <w:szCs w:val="20"/>
              </w:rPr>
            </w:pPr>
            <w:r>
              <w:rPr>
                <w:spacing w:val="6"/>
                <w:sz w:val="20"/>
                <w:szCs w:val="20"/>
              </w:rPr>
              <w:t>污染源</w:t>
            </w:r>
          </w:p>
        </w:tc>
        <w:tc>
          <w:tcPr>
            <w:tcW w:w="1425" w:type="dxa"/>
            <w:tcBorders>
              <w:top w:val="single" w:color="000000" w:sz="10" w:space="0"/>
            </w:tcBorders>
            <w:vAlign w:val="top"/>
          </w:tcPr>
          <w:p w14:paraId="03BB3F69">
            <w:pPr>
              <w:pStyle w:val="6"/>
              <w:spacing w:before="160" w:line="228" w:lineRule="auto"/>
              <w:ind w:left="400"/>
              <w:rPr>
                <w:sz w:val="20"/>
                <w:szCs w:val="20"/>
              </w:rPr>
            </w:pPr>
            <w:r>
              <w:rPr>
                <w:spacing w:val="6"/>
                <w:sz w:val="20"/>
                <w:szCs w:val="20"/>
              </w:rPr>
              <w:t>污染物</w:t>
            </w:r>
          </w:p>
        </w:tc>
        <w:tc>
          <w:tcPr>
            <w:tcW w:w="971" w:type="dxa"/>
            <w:tcBorders>
              <w:top w:val="single" w:color="000000" w:sz="10" w:space="0"/>
            </w:tcBorders>
            <w:vAlign w:val="top"/>
          </w:tcPr>
          <w:p w14:paraId="183E0D0A">
            <w:pPr>
              <w:pStyle w:val="6"/>
              <w:spacing w:before="26" w:line="233" w:lineRule="auto"/>
              <w:ind w:left="20" w:firstLine="142"/>
              <w:rPr>
                <w:sz w:val="20"/>
                <w:szCs w:val="20"/>
              </w:rPr>
            </w:pPr>
            <w:r>
              <w:rPr>
                <w:spacing w:val="-8"/>
                <w:sz w:val="20"/>
                <w:szCs w:val="20"/>
              </w:rPr>
              <w:t>产生量</w:t>
            </w:r>
            <w:r>
              <w:rPr>
                <w:sz w:val="20"/>
                <w:szCs w:val="20"/>
              </w:rPr>
              <w:t xml:space="preserve"> </w:t>
            </w:r>
            <w:r>
              <w:rPr>
                <w:spacing w:val="-12"/>
                <w:sz w:val="20"/>
                <w:szCs w:val="20"/>
              </w:rPr>
              <w:t>（勘探期）</w:t>
            </w:r>
          </w:p>
        </w:tc>
        <w:tc>
          <w:tcPr>
            <w:tcW w:w="3172" w:type="dxa"/>
            <w:tcBorders>
              <w:top w:val="single" w:color="000000" w:sz="10" w:space="0"/>
            </w:tcBorders>
            <w:vAlign w:val="top"/>
          </w:tcPr>
          <w:p w14:paraId="028F2C2A">
            <w:pPr>
              <w:pStyle w:val="6"/>
              <w:spacing w:before="160" w:line="228" w:lineRule="auto"/>
              <w:ind w:left="1177"/>
              <w:rPr>
                <w:sz w:val="20"/>
                <w:szCs w:val="20"/>
              </w:rPr>
            </w:pPr>
            <w:r>
              <w:rPr>
                <w:spacing w:val="6"/>
                <w:sz w:val="20"/>
                <w:szCs w:val="20"/>
              </w:rPr>
              <w:t>治理措施</w:t>
            </w:r>
          </w:p>
        </w:tc>
        <w:tc>
          <w:tcPr>
            <w:tcW w:w="1072" w:type="dxa"/>
            <w:tcBorders>
              <w:top w:val="single" w:color="000000" w:sz="10" w:space="0"/>
              <w:right w:val="single" w:color="000000" w:sz="6" w:space="0"/>
            </w:tcBorders>
            <w:vAlign w:val="top"/>
          </w:tcPr>
          <w:p w14:paraId="5D2E28DC">
            <w:pPr>
              <w:pStyle w:val="6"/>
              <w:spacing w:before="26" w:line="233" w:lineRule="auto"/>
              <w:ind w:left="26" w:right="20" w:firstLine="148"/>
              <w:rPr>
                <w:sz w:val="20"/>
                <w:szCs w:val="20"/>
              </w:rPr>
            </w:pPr>
            <w:r>
              <w:rPr>
                <w:spacing w:val="6"/>
                <w:sz w:val="20"/>
                <w:szCs w:val="20"/>
              </w:rPr>
              <w:t>排放量</w:t>
            </w:r>
            <w:r>
              <w:rPr>
                <w:sz w:val="20"/>
                <w:szCs w:val="20"/>
              </w:rPr>
              <w:t xml:space="preserve"> </w:t>
            </w:r>
            <w:r>
              <w:rPr>
                <w:spacing w:val="2"/>
                <w:sz w:val="20"/>
                <w:szCs w:val="20"/>
              </w:rPr>
              <w:t>（勘探期）</w:t>
            </w:r>
          </w:p>
        </w:tc>
      </w:tr>
      <w:tr w14:paraId="3F96CC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1" w:hRule="atLeast"/>
        </w:trPr>
        <w:tc>
          <w:tcPr>
            <w:tcW w:w="495" w:type="dxa"/>
            <w:vMerge w:val="continue"/>
            <w:tcBorders>
              <w:top w:val="nil"/>
              <w:left w:val="single" w:color="000000" w:sz="6" w:space="0"/>
              <w:bottom w:val="nil"/>
              <w:right w:val="single" w:color="000000" w:sz="2" w:space="0"/>
            </w:tcBorders>
            <w:vAlign w:val="top"/>
          </w:tcPr>
          <w:p w14:paraId="6B9EB1BB">
            <w:pPr>
              <w:rPr>
                <w:rFonts w:ascii="Arial"/>
                <w:sz w:val="21"/>
              </w:rPr>
            </w:pPr>
          </w:p>
        </w:tc>
        <w:tc>
          <w:tcPr>
            <w:tcW w:w="712" w:type="dxa"/>
            <w:vMerge w:val="restart"/>
            <w:tcBorders>
              <w:left w:val="single" w:color="000000" w:sz="2" w:space="0"/>
              <w:bottom w:val="nil"/>
            </w:tcBorders>
            <w:vAlign w:val="top"/>
          </w:tcPr>
          <w:p w14:paraId="1FCB3249">
            <w:pPr>
              <w:spacing w:line="262" w:lineRule="auto"/>
              <w:rPr>
                <w:rFonts w:ascii="Arial"/>
                <w:sz w:val="21"/>
              </w:rPr>
            </w:pPr>
          </w:p>
          <w:p w14:paraId="55A28026">
            <w:pPr>
              <w:spacing w:line="262" w:lineRule="auto"/>
              <w:rPr>
                <w:rFonts w:ascii="Arial"/>
                <w:sz w:val="21"/>
              </w:rPr>
            </w:pPr>
          </w:p>
          <w:p w14:paraId="4368A61D">
            <w:pPr>
              <w:spacing w:line="262" w:lineRule="auto"/>
              <w:rPr>
                <w:rFonts w:ascii="Arial"/>
                <w:sz w:val="21"/>
              </w:rPr>
            </w:pPr>
          </w:p>
          <w:p w14:paraId="7E75DBA0">
            <w:pPr>
              <w:spacing w:line="262" w:lineRule="auto"/>
              <w:rPr>
                <w:rFonts w:ascii="Arial"/>
                <w:sz w:val="21"/>
              </w:rPr>
            </w:pPr>
          </w:p>
          <w:p w14:paraId="3BB8DCF0">
            <w:pPr>
              <w:spacing w:line="262" w:lineRule="auto"/>
              <w:rPr>
                <w:rFonts w:ascii="Arial"/>
                <w:sz w:val="21"/>
              </w:rPr>
            </w:pPr>
          </w:p>
          <w:p w14:paraId="481AE7F3">
            <w:pPr>
              <w:spacing w:line="263" w:lineRule="auto"/>
              <w:rPr>
                <w:rFonts w:ascii="Arial"/>
                <w:sz w:val="21"/>
              </w:rPr>
            </w:pPr>
          </w:p>
          <w:p w14:paraId="29BF7EC4">
            <w:pPr>
              <w:spacing w:line="263" w:lineRule="auto"/>
              <w:rPr>
                <w:rFonts w:ascii="Arial"/>
                <w:sz w:val="21"/>
              </w:rPr>
            </w:pPr>
          </w:p>
          <w:p w14:paraId="49D13C1F">
            <w:pPr>
              <w:spacing w:line="263" w:lineRule="auto"/>
              <w:rPr>
                <w:rFonts w:ascii="Arial"/>
                <w:sz w:val="21"/>
              </w:rPr>
            </w:pPr>
          </w:p>
          <w:p w14:paraId="26735462">
            <w:pPr>
              <w:pStyle w:val="6"/>
              <w:spacing w:before="65" w:line="228" w:lineRule="auto"/>
              <w:ind w:left="195"/>
              <w:rPr>
                <w:sz w:val="20"/>
                <w:szCs w:val="20"/>
              </w:rPr>
            </w:pPr>
            <w:r>
              <w:rPr>
                <w:spacing w:val="5"/>
                <w:sz w:val="20"/>
                <w:szCs w:val="20"/>
              </w:rPr>
              <w:t>废气</w:t>
            </w:r>
          </w:p>
        </w:tc>
        <w:tc>
          <w:tcPr>
            <w:tcW w:w="1054" w:type="dxa"/>
            <w:vAlign w:val="top"/>
          </w:tcPr>
          <w:p w14:paraId="23334875">
            <w:pPr>
              <w:pStyle w:val="6"/>
              <w:spacing w:before="304" w:line="230" w:lineRule="auto"/>
              <w:ind w:left="314"/>
              <w:rPr>
                <w:sz w:val="20"/>
                <w:szCs w:val="20"/>
              </w:rPr>
            </w:pPr>
            <w:r>
              <w:rPr>
                <w:spacing w:val="5"/>
                <w:sz w:val="20"/>
                <w:szCs w:val="20"/>
              </w:rPr>
              <w:t>扬尘</w:t>
            </w:r>
          </w:p>
        </w:tc>
        <w:tc>
          <w:tcPr>
            <w:tcW w:w="1425" w:type="dxa"/>
            <w:vAlign w:val="top"/>
          </w:tcPr>
          <w:p w14:paraId="50C37625">
            <w:pPr>
              <w:pStyle w:val="6"/>
              <w:spacing w:before="305" w:line="228" w:lineRule="auto"/>
              <w:ind w:left="397"/>
              <w:rPr>
                <w:sz w:val="20"/>
                <w:szCs w:val="20"/>
              </w:rPr>
            </w:pPr>
            <w:r>
              <w:rPr>
                <w:spacing w:val="7"/>
                <w:sz w:val="20"/>
                <w:szCs w:val="20"/>
              </w:rPr>
              <w:t>颗粒物</w:t>
            </w:r>
          </w:p>
        </w:tc>
        <w:tc>
          <w:tcPr>
            <w:tcW w:w="971" w:type="dxa"/>
            <w:vAlign w:val="top"/>
          </w:tcPr>
          <w:p w14:paraId="175A455F">
            <w:pPr>
              <w:spacing w:line="277" w:lineRule="auto"/>
              <w:rPr>
                <w:rFonts w:ascii="Arial"/>
                <w:sz w:val="21"/>
              </w:rPr>
            </w:pPr>
          </w:p>
          <w:p w14:paraId="3CDF1111">
            <w:pPr>
              <w:spacing w:before="58" w:line="199" w:lineRule="auto"/>
              <w:ind w:left="4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3172" w:type="dxa"/>
            <w:vAlign w:val="top"/>
          </w:tcPr>
          <w:p w14:paraId="2DDFD2EF">
            <w:pPr>
              <w:pStyle w:val="6"/>
              <w:spacing w:before="33" w:line="227" w:lineRule="auto"/>
              <w:ind w:left="19"/>
              <w:rPr>
                <w:sz w:val="20"/>
                <w:szCs w:val="20"/>
              </w:rPr>
            </w:pPr>
            <w:r>
              <w:rPr>
                <w:spacing w:val="9"/>
                <w:sz w:val="20"/>
                <w:szCs w:val="20"/>
              </w:rPr>
              <w:t>泼洒抑尘，场界设置围挡，原材料</w:t>
            </w:r>
          </w:p>
          <w:p w14:paraId="78292CB1">
            <w:pPr>
              <w:pStyle w:val="6"/>
              <w:spacing w:before="25" w:line="227" w:lineRule="auto"/>
              <w:ind w:left="16"/>
              <w:rPr>
                <w:sz w:val="20"/>
                <w:szCs w:val="20"/>
              </w:rPr>
            </w:pPr>
            <w:r>
              <w:rPr>
                <w:spacing w:val="9"/>
                <w:sz w:val="20"/>
                <w:szCs w:val="20"/>
              </w:rPr>
              <w:t>堆存区上部设苫布遮盖，表土堆存</w:t>
            </w:r>
          </w:p>
          <w:p w14:paraId="01DA0985">
            <w:pPr>
              <w:pStyle w:val="6"/>
              <w:spacing w:before="27" w:line="215" w:lineRule="auto"/>
              <w:ind w:left="768"/>
              <w:rPr>
                <w:sz w:val="20"/>
                <w:szCs w:val="20"/>
              </w:rPr>
            </w:pPr>
            <w:r>
              <w:rPr>
                <w:spacing w:val="5"/>
                <w:sz w:val="20"/>
                <w:szCs w:val="20"/>
              </w:rPr>
              <w:t>区上铺密目网等。</w:t>
            </w:r>
          </w:p>
        </w:tc>
        <w:tc>
          <w:tcPr>
            <w:tcW w:w="1072" w:type="dxa"/>
            <w:tcBorders>
              <w:right w:val="single" w:color="000000" w:sz="6" w:space="0"/>
            </w:tcBorders>
            <w:vAlign w:val="top"/>
          </w:tcPr>
          <w:p w14:paraId="68D33ED6">
            <w:pPr>
              <w:spacing w:line="277" w:lineRule="auto"/>
              <w:rPr>
                <w:rFonts w:ascii="Arial"/>
                <w:sz w:val="21"/>
              </w:rPr>
            </w:pPr>
          </w:p>
          <w:p w14:paraId="4D1D36FE">
            <w:pPr>
              <w:spacing w:before="58" w:line="199"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27BCED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495" w:type="dxa"/>
            <w:vMerge w:val="continue"/>
            <w:tcBorders>
              <w:top w:val="nil"/>
              <w:left w:val="single" w:color="000000" w:sz="6" w:space="0"/>
              <w:bottom w:val="nil"/>
              <w:right w:val="single" w:color="000000" w:sz="2" w:space="0"/>
            </w:tcBorders>
            <w:vAlign w:val="top"/>
          </w:tcPr>
          <w:p w14:paraId="4E5391C0">
            <w:pPr>
              <w:rPr>
                <w:rFonts w:ascii="Arial"/>
                <w:sz w:val="21"/>
              </w:rPr>
            </w:pPr>
          </w:p>
        </w:tc>
        <w:tc>
          <w:tcPr>
            <w:tcW w:w="712" w:type="dxa"/>
            <w:vMerge w:val="continue"/>
            <w:tcBorders>
              <w:top w:val="nil"/>
              <w:left w:val="single" w:color="000000" w:sz="2" w:space="0"/>
              <w:bottom w:val="nil"/>
            </w:tcBorders>
            <w:vAlign w:val="top"/>
          </w:tcPr>
          <w:p w14:paraId="4F2564EE">
            <w:pPr>
              <w:rPr>
                <w:rFonts w:ascii="Arial"/>
                <w:sz w:val="21"/>
              </w:rPr>
            </w:pPr>
          </w:p>
        </w:tc>
        <w:tc>
          <w:tcPr>
            <w:tcW w:w="1054" w:type="dxa"/>
            <w:vMerge w:val="restart"/>
            <w:tcBorders>
              <w:bottom w:val="nil"/>
            </w:tcBorders>
            <w:vAlign w:val="top"/>
          </w:tcPr>
          <w:p w14:paraId="2D829EF8">
            <w:pPr>
              <w:spacing w:line="303" w:lineRule="auto"/>
              <w:rPr>
                <w:rFonts w:ascii="Arial"/>
                <w:sz w:val="21"/>
              </w:rPr>
            </w:pPr>
          </w:p>
          <w:p w14:paraId="01AFF34A">
            <w:pPr>
              <w:pStyle w:val="6"/>
              <w:spacing w:before="65" w:line="254" w:lineRule="auto"/>
              <w:ind w:left="105" w:right="108"/>
              <w:rPr>
                <w:sz w:val="20"/>
                <w:szCs w:val="20"/>
              </w:rPr>
            </w:pPr>
            <w:r>
              <w:rPr>
                <w:spacing w:val="7"/>
                <w:sz w:val="20"/>
                <w:szCs w:val="20"/>
              </w:rPr>
              <w:t>柴油发电机组尾气</w:t>
            </w:r>
          </w:p>
        </w:tc>
        <w:tc>
          <w:tcPr>
            <w:tcW w:w="1425" w:type="dxa"/>
            <w:vAlign w:val="top"/>
          </w:tcPr>
          <w:p w14:paraId="73093BBD">
            <w:pPr>
              <w:spacing w:before="130" w:line="205" w:lineRule="auto"/>
              <w:ind w:left="549"/>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pacing w:val="3"/>
                <w:position w:val="-1"/>
                <w:sz w:val="13"/>
                <w:szCs w:val="13"/>
              </w:rPr>
              <w:t>2</w:t>
            </w:r>
          </w:p>
        </w:tc>
        <w:tc>
          <w:tcPr>
            <w:tcW w:w="971" w:type="dxa"/>
            <w:vAlign w:val="top"/>
          </w:tcPr>
          <w:p w14:paraId="79AE5EC0">
            <w:pPr>
              <w:spacing w:before="131" w:line="195" w:lineRule="auto"/>
              <w:ind w:left="240"/>
              <w:rPr>
                <w:rFonts w:ascii="Times New Roman" w:hAnsi="Times New Roman" w:eastAsia="Times New Roman" w:cs="Times New Roman"/>
                <w:sz w:val="20"/>
                <w:szCs w:val="20"/>
              </w:rPr>
            </w:pPr>
            <w:r>
              <w:rPr>
                <w:rFonts w:ascii="Times New Roman" w:hAnsi="Times New Roman" w:eastAsia="Times New Roman" w:cs="Times New Roman"/>
                <w:sz w:val="20"/>
                <w:szCs w:val="20"/>
              </w:rPr>
              <w:t>1.694t</w:t>
            </w:r>
          </w:p>
        </w:tc>
        <w:tc>
          <w:tcPr>
            <w:tcW w:w="3172" w:type="dxa"/>
            <w:vMerge w:val="restart"/>
            <w:tcBorders>
              <w:bottom w:val="nil"/>
            </w:tcBorders>
            <w:vAlign w:val="top"/>
          </w:tcPr>
          <w:p w14:paraId="65DF7C25">
            <w:pPr>
              <w:pStyle w:val="6"/>
              <w:spacing w:before="234" w:line="227" w:lineRule="auto"/>
              <w:ind w:left="15"/>
              <w:rPr>
                <w:sz w:val="20"/>
                <w:szCs w:val="20"/>
              </w:rPr>
            </w:pPr>
            <w:r>
              <w:rPr>
                <w:spacing w:val="9"/>
                <w:sz w:val="20"/>
                <w:szCs w:val="20"/>
              </w:rPr>
              <w:t>采用先进设备，使用高标准清洁燃</w:t>
            </w:r>
          </w:p>
          <w:p w14:paraId="0F093022">
            <w:pPr>
              <w:pStyle w:val="6"/>
              <w:spacing w:before="27" w:line="228" w:lineRule="auto"/>
              <w:ind w:left="19"/>
              <w:rPr>
                <w:sz w:val="20"/>
                <w:szCs w:val="20"/>
              </w:rPr>
            </w:pPr>
            <w:r>
              <w:rPr>
                <w:spacing w:val="9"/>
                <w:sz w:val="20"/>
                <w:szCs w:val="20"/>
              </w:rPr>
              <w:t>油，不超负荷运行，并对设备定期</w:t>
            </w:r>
          </w:p>
          <w:p w14:paraId="05591EFF">
            <w:pPr>
              <w:pStyle w:val="6"/>
              <w:spacing w:before="24" w:line="228" w:lineRule="auto"/>
              <w:ind w:left="436"/>
              <w:rPr>
                <w:sz w:val="20"/>
                <w:szCs w:val="20"/>
              </w:rPr>
            </w:pPr>
            <w:r>
              <w:rPr>
                <w:spacing w:val="8"/>
                <w:sz w:val="20"/>
                <w:szCs w:val="20"/>
              </w:rPr>
              <w:t>检修，确保其正常运行。</w:t>
            </w:r>
          </w:p>
        </w:tc>
        <w:tc>
          <w:tcPr>
            <w:tcW w:w="1072" w:type="dxa"/>
            <w:tcBorders>
              <w:right w:val="single" w:color="000000" w:sz="6" w:space="0"/>
            </w:tcBorders>
            <w:vAlign w:val="top"/>
          </w:tcPr>
          <w:p w14:paraId="549E58ED">
            <w:pPr>
              <w:spacing w:before="131" w:line="195" w:lineRule="auto"/>
              <w:ind w:left="241"/>
              <w:rPr>
                <w:rFonts w:ascii="Times New Roman" w:hAnsi="Times New Roman" w:eastAsia="Times New Roman" w:cs="Times New Roman"/>
                <w:sz w:val="20"/>
                <w:szCs w:val="20"/>
              </w:rPr>
            </w:pPr>
            <w:r>
              <w:rPr>
                <w:rFonts w:ascii="Times New Roman" w:hAnsi="Times New Roman" w:eastAsia="Times New Roman" w:cs="Times New Roman"/>
                <w:sz w:val="20"/>
                <w:szCs w:val="20"/>
              </w:rPr>
              <w:t>1.694t</w:t>
            </w:r>
          </w:p>
        </w:tc>
      </w:tr>
      <w:tr w14:paraId="6301C3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495" w:type="dxa"/>
            <w:vMerge w:val="continue"/>
            <w:tcBorders>
              <w:top w:val="nil"/>
              <w:left w:val="single" w:color="000000" w:sz="6" w:space="0"/>
              <w:bottom w:val="nil"/>
              <w:right w:val="single" w:color="000000" w:sz="2" w:space="0"/>
            </w:tcBorders>
            <w:vAlign w:val="top"/>
          </w:tcPr>
          <w:p w14:paraId="06AD38D6">
            <w:pPr>
              <w:rPr>
                <w:rFonts w:ascii="Arial"/>
                <w:sz w:val="21"/>
              </w:rPr>
            </w:pPr>
          </w:p>
        </w:tc>
        <w:tc>
          <w:tcPr>
            <w:tcW w:w="712" w:type="dxa"/>
            <w:vMerge w:val="continue"/>
            <w:tcBorders>
              <w:top w:val="nil"/>
              <w:left w:val="single" w:color="000000" w:sz="2" w:space="0"/>
              <w:bottom w:val="nil"/>
            </w:tcBorders>
            <w:vAlign w:val="top"/>
          </w:tcPr>
          <w:p w14:paraId="25353798">
            <w:pPr>
              <w:rPr>
                <w:rFonts w:ascii="Arial"/>
                <w:sz w:val="21"/>
              </w:rPr>
            </w:pPr>
          </w:p>
        </w:tc>
        <w:tc>
          <w:tcPr>
            <w:tcW w:w="1054" w:type="dxa"/>
            <w:vMerge w:val="continue"/>
            <w:tcBorders>
              <w:top w:val="nil"/>
              <w:bottom w:val="nil"/>
            </w:tcBorders>
            <w:vAlign w:val="top"/>
          </w:tcPr>
          <w:p w14:paraId="0905C29F">
            <w:pPr>
              <w:rPr>
                <w:rFonts w:ascii="Arial"/>
                <w:sz w:val="21"/>
              </w:rPr>
            </w:pPr>
          </w:p>
        </w:tc>
        <w:tc>
          <w:tcPr>
            <w:tcW w:w="1425" w:type="dxa"/>
            <w:vAlign w:val="top"/>
          </w:tcPr>
          <w:p w14:paraId="2A95AE67">
            <w:pPr>
              <w:spacing w:before="131" w:line="195" w:lineRule="auto"/>
              <w:ind w:left="498"/>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NOx</w:t>
            </w:r>
          </w:p>
        </w:tc>
        <w:tc>
          <w:tcPr>
            <w:tcW w:w="971" w:type="dxa"/>
            <w:vAlign w:val="top"/>
          </w:tcPr>
          <w:p w14:paraId="7E6EB441">
            <w:pPr>
              <w:spacing w:before="131" w:line="195" w:lineRule="auto"/>
              <w:ind w:left="240"/>
              <w:rPr>
                <w:rFonts w:ascii="Times New Roman" w:hAnsi="Times New Roman" w:eastAsia="Times New Roman" w:cs="Times New Roman"/>
                <w:sz w:val="20"/>
                <w:szCs w:val="20"/>
              </w:rPr>
            </w:pPr>
            <w:r>
              <w:rPr>
                <w:rFonts w:ascii="Times New Roman" w:hAnsi="Times New Roman" w:eastAsia="Times New Roman" w:cs="Times New Roman"/>
                <w:sz w:val="20"/>
                <w:szCs w:val="20"/>
              </w:rPr>
              <w:t>1.084t</w:t>
            </w:r>
          </w:p>
        </w:tc>
        <w:tc>
          <w:tcPr>
            <w:tcW w:w="3172" w:type="dxa"/>
            <w:vMerge w:val="continue"/>
            <w:tcBorders>
              <w:top w:val="nil"/>
              <w:bottom w:val="nil"/>
            </w:tcBorders>
            <w:vAlign w:val="top"/>
          </w:tcPr>
          <w:p w14:paraId="53974053">
            <w:pPr>
              <w:rPr>
                <w:rFonts w:ascii="Arial"/>
                <w:sz w:val="21"/>
              </w:rPr>
            </w:pPr>
          </w:p>
        </w:tc>
        <w:tc>
          <w:tcPr>
            <w:tcW w:w="1072" w:type="dxa"/>
            <w:tcBorders>
              <w:right w:val="single" w:color="000000" w:sz="6" w:space="0"/>
            </w:tcBorders>
            <w:vAlign w:val="top"/>
          </w:tcPr>
          <w:p w14:paraId="0BEC019C">
            <w:pPr>
              <w:spacing w:before="131" w:line="195" w:lineRule="auto"/>
              <w:ind w:left="241"/>
              <w:rPr>
                <w:rFonts w:ascii="Times New Roman" w:hAnsi="Times New Roman" w:eastAsia="Times New Roman" w:cs="Times New Roman"/>
                <w:sz w:val="20"/>
                <w:szCs w:val="20"/>
              </w:rPr>
            </w:pPr>
            <w:r>
              <w:rPr>
                <w:rFonts w:ascii="Times New Roman" w:hAnsi="Times New Roman" w:eastAsia="Times New Roman" w:cs="Times New Roman"/>
                <w:sz w:val="20"/>
                <w:szCs w:val="20"/>
              </w:rPr>
              <w:t>1.084t</w:t>
            </w:r>
          </w:p>
        </w:tc>
      </w:tr>
      <w:tr w14:paraId="4B5892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495" w:type="dxa"/>
            <w:vMerge w:val="continue"/>
            <w:tcBorders>
              <w:top w:val="nil"/>
              <w:left w:val="single" w:color="000000" w:sz="6" w:space="0"/>
              <w:bottom w:val="nil"/>
              <w:right w:val="single" w:color="000000" w:sz="2" w:space="0"/>
            </w:tcBorders>
            <w:vAlign w:val="top"/>
          </w:tcPr>
          <w:p w14:paraId="238A14D0">
            <w:pPr>
              <w:rPr>
                <w:rFonts w:ascii="Arial"/>
                <w:sz w:val="21"/>
              </w:rPr>
            </w:pPr>
          </w:p>
        </w:tc>
        <w:tc>
          <w:tcPr>
            <w:tcW w:w="712" w:type="dxa"/>
            <w:vMerge w:val="continue"/>
            <w:tcBorders>
              <w:top w:val="nil"/>
              <w:left w:val="single" w:color="000000" w:sz="2" w:space="0"/>
              <w:bottom w:val="nil"/>
            </w:tcBorders>
            <w:vAlign w:val="top"/>
          </w:tcPr>
          <w:p w14:paraId="384F9217">
            <w:pPr>
              <w:rPr>
                <w:rFonts w:ascii="Arial"/>
                <w:sz w:val="21"/>
              </w:rPr>
            </w:pPr>
          </w:p>
        </w:tc>
        <w:tc>
          <w:tcPr>
            <w:tcW w:w="1054" w:type="dxa"/>
            <w:vMerge w:val="continue"/>
            <w:tcBorders>
              <w:top w:val="nil"/>
            </w:tcBorders>
            <w:vAlign w:val="top"/>
          </w:tcPr>
          <w:p w14:paraId="1E579AE5">
            <w:pPr>
              <w:rPr>
                <w:rFonts w:ascii="Arial"/>
                <w:sz w:val="21"/>
              </w:rPr>
            </w:pPr>
          </w:p>
        </w:tc>
        <w:tc>
          <w:tcPr>
            <w:tcW w:w="1425" w:type="dxa"/>
            <w:vAlign w:val="top"/>
          </w:tcPr>
          <w:p w14:paraId="4A34856F">
            <w:pPr>
              <w:pStyle w:val="6"/>
              <w:spacing w:before="97" w:line="228" w:lineRule="auto"/>
              <w:ind w:left="397"/>
              <w:rPr>
                <w:sz w:val="20"/>
                <w:szCs w:val="20"/>
              </w:rPr>
            </w:pPr>
            <w:r>
              <w:rPr>
                <w:spacing w:val="7"/>
                <w:sz w:val="20"/>
                <w:szCs w:val="20"/>
              </w:rPr>
              <w:t>颗粒物</w:t>
            </w:r>
          </w:p>
        </w:tc>
        <w:tc>
          <w:tcPr>
            <w:tcW w:w="971" w:type="dxa"/>
            <w:vAlign w:val="top"/>
          </w:tcPr>
          <w:p w14:paraId="58E941C4">
            <w:pPr>
              <w:spacing w:before="132" w:line="195"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0.302t</w:t>
            </w:r>
          </w:p>
        </w:tc>
        <w:tc>
          <w:tcPr>
            <w:tcW w:w="3172" w:type="dxa"/>
            <w:vMerge w:val="continue"/>
            <w:tcBorders>
              <w:top w:val="nil"/>
            </w:tcBorders>
            <w:vAlign w:val="top"/>
          </w:tcPr>
          <w:p w14:paraId="07A79EC8">
            <w:pPr>
              <w:rPr>
                <w:rFonts w:ascii="Arial"/>
                <w:sz w:val="21"/>
              </w:rPr>
            </w:pPr>
          </w:p>
        </w:tc>
        <w:tc>
          <w:tcPr>
            <w:tcW w:w="1072" w:type="dxa"/>
            <w:tcBorders>
              <w:right w:val="single" w:color="000000" w:sz="6" w:space="0"/>
            </w:tcBorders>
            <w:vAlign w:val="top"/>
          </w:tcPr>
          <w:p w14:paraId="3E042B3E">
            <w:pPr>
              <w:spacing w:before="132" w:line="195" w:lineRule="auto"/>
              <w:ind w:left="22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0.302t</w:t>
            </w:r>
          </w:p>
        </w:tc>
      </w:tr>
      <w:tr w14:paraId="4B8425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1" w:hRule="atLeast"/>
        </w:trPr>
        <w:tc>
          <w:tcPr>
            <w:tcW w:w="495" w:type="dxa"/>
            <w:vMerge w:val="continue"/>
            <w:tcBorders>
              <w:top w:val="nil"/>
              <w:left w:val="single" w:color="000000" w:sz="6" w:space="0"/>
              <w:bottom w:val="nil"/>
              <w:right w:val="single" w:color="000000" w:sz="2" w:space="0"/>
            </w:tcBorders>
            <w:vAlign w:val="top"/>
          </w:tcPr>
          <w:p w14:paraId="7ED0F6F6">
            <w:pPr>
              <w:rPr>
                <w:rFonts w:ascii="Arial"/>
                <w:sz w:val="21"/>
              </w:rPr>
            </w:pPr>
          </w:p>
        </w:tc>
        <w:tc>
          <w:tcPr>
            <w:tcW w:w="712" w:type="dxa"/>
            <w:vMerge w:val="continue"/>
            <w:tcBorders>
              <w:top w:val="nil"/>
              <w:left w:val="single" w:color="000000" w:sz="2" w:space="0"/>
              <w:bottom w:val="nil"/>
            </w:tcBorders>
            <w:vAlign w:val="top"/>
          </w:tcPr>
          <w:p w14:paraId="06C22EB2">
            <w:pPr>
              <w:rPr>
                <w:rFonts w:ascii="Arial"/>
                <w:sz w:val="21"/>
              </w:rPr>
            </w:pPr>
          </w:p>
        </w:tc>
        <w:tc>
          <w:tcPr>
            <w:tcW w:w="1054" w:type="dxa"/>
            <w:vAlign w:val="top"/>
          </w:tcPr>
          <w:p w14:paraId="618BBC6D">
            <w:pPr>
              <w:pStyle w:val="6"/>
              <w:spacing w:before="170" w:line="254" w:lineRule="auto"/>
              <w:ind w:left="212" w:right="108" w:hanging="106"/>
              <w:rPr>
                <w:sz w:val="20"/>
                <w:szCs w:val="20"/>
              </w:rPr>
            </w:pPr>
            <w:r>
              <w:rPr>
                <w:spacing w:val="7"/>
                <w:sz w:val="20"/>
                <w:szCs w:val="20"/>
              </w:rPr>
              <w:t>柴油罐挥</w:t>
            </w:r>
            <w:r>
              <w:rPr>
                <w:spacing w:val="5"/>
                <w:sz w:val="20"/>
                <w:szCs w:val="20"/>
              </w:rPr>
              <w:t>发废气</w:t>
            </w:r>
          </w:p>
        </w:tc>
        <w:tc>
          <w:tcPr>
            <w:tcW w:w="1425" w:type="dxa"/>
            <w:vAlign w:val="top"/>
          </w:tcPr>
          <w:p w14:paraId="313FBF3C">
            <w:pPr>
              <w:rPr>
                <w:rFonts w:ascii="Arial"/>
                <w:sz w:val="21"/>
              </w:rPr>
            </w:pPr>
          </w:p>
          <w:p w14:paraId="4851C953">
            <w:pPr>
              <w:pStyle w:val="6"/>
              <w:spacing w:before="65" w:line="228" w:lineRule="auto"/>
              <w:ind w:left="190"/>
              <w:rPr>
                <w:sz w:val="20"/>
                <w:szCs w:val="20"/>
              </w:rPr>
            </w:pPr>
            <w:r>
              <w:rPr>
                <w:spacing w:val="7"/>
                <w:sz w:val="20"/>
                <w:szCs w:val="20"/>
              </w:rPr>
              <w:t>非甲烷总烃</w:t>
            </w:r>
          </w:p>
        </w:tc>
        <w:tc>
          <w:tcPr>
            <w:tcW w:w="971" w:type="dxa"/>
            <w:vAlign w:val="top"/>
          </w:tcPr>
          <w:p w14:paraId="146D8027">
            <w:pPr>
              <w:spacing w:line="283" w:lineRule="auto"/>
              <w:rPr>
                <w:rFonts w:ascii="Arial"/>
                <w:sz w:val="21"/>
              </w:rPr>
            </w:pPr>
          </w:p>
          <w:p w14:paraId="5AECF356">
            <w:pPr>
              <w:spacing w:before="57" w:line="195"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0.216t</w:t>
            </w:r>
          </w:p>
        </w:tc>
        <w:tc>
          <w:tcPr>
            <w:tcW w:w="3172" w:type="dxa"/>
            <w:vAlign w:val="top"/>
          </w:tcPr>
          <w:p w14:paraId="7C5473D4">
            <w:pPr>
              <w:pStyle w:val="6"/>
              <w:spacing w:before="34" w:line="239" w:lineRule="auto"/>
              <w:ind w:left="15" w:right="5"/>
              <w:jc w:val="both"/>
              <w:rPr>
                <w:sz w:val="20"/>
                <w:szCs w:val="20"/>
              </w:rPr>
            </w:pPr>
            <w:r>
              <w:rPr>
                <w:spacing w:val="9"/>
                <w:sz w:val="20"/>
                <w:szCs w:val="20"/>
              </w:rPr>
              <w:t>采用防腐储罐，采用环密技术防止烃类泄漏及挥发；设置切断系统，</w:t>
            </w:r>
            <w:r>
              <w:rPr>
                <w:spacing w:val="8"/>
                <w:sz w:val="20"/>
                <w:szCs w:val="20"/>
              </w:rPr>
              <w:t>对管线、阀门等进行定期的检查。</w:t>
            </w:r>
          </w:p>
        </w:tc>
        <w:tc>
          <w:tcPr>
            <w:tcW w:w="1072" w:type="dxa"/>
            <w:tcBorders>
              <w:right w:val="single" w:color="000000" w:sz="6" w:space="0"/>
            </w:tcBorders>
            <w:vAlign w:val="top"/>
          </w:tcPr>
          <w:p w14:paraId="335262B4">
            <w:pPr>
              <w:spacing w:line="283" w:lineRule="auto"/>
              <w:rPr>
                <w:rFonts w:ascii="Arial"/>
                <w:sz w:val="21"/>
              </w:rPr>
            </w:pPr>
          </w:p>
          <w:p w14:paraId="5FBDF664">
            <w:pPr>
              <w:spacing w:before="57" w:line="195" w:lineRule="auto"/>
              <w:ind w:left="22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0.216t</w:t>
            </w:r>
          </w:p>
        </w:tc>
      </w:tr>
      <w:tr w14:paraId="734AFD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4" w:hRule="atLeast"/>
        </w:trPr>
        <w:tc>
          <w:tcPr>
            <w:tcW w:w="495" w:type="dxa"/>
            <w:vMerge w:val="continue"/>
            <w:tcBorders>
              <w:top w:val="nil"/>
              <w:left w:val="single" w:color="000000" w:sz="6" w:space="0"/>
              <w:bottom w:val="nil"/>
              <w:right w:val="single" w:color="000000" w:sz="2" w:space="0"/>
            </w:tcBorders>
            <w:vAlign w:val="top"/>
          </w:tcPr>
          <w:p w14:paraId="5797167C">
            <w:pPr>
              <w:rPr>
                <w:rFonts w:ascii="Arial"/>
                <w:sz w:val="21"/>
              </w:rPr>
            </w:pPr>
          </w:p>
        </w:tc>
        <w:tc>
          <w:tcPr>
            <w:tcW w:w="712" w:type="dxa"/>
            <w:vMerge w:val="continue"/>
            <w:tcBorders>
              <w:top w:val="nil"/>
              <w:left w:val="single" w:color="000000" w:sz="2" w:space="0"/>
              <w:bottom w:val="nil"/>
            </w:tcBorders>
            <w:vAlign w:val="top"/>
          </w:tcPr>
          <w:p w14:paraId="75AB838E">
            <w:pPr>
              <w:rPr>
                <w:rFonts w:ascii="Arial"/>
                <w:sz w:val="21"/>
              </w:rPr>
            </w:pPr>
          </w:p>
        </w:tc>
        <w:tc>
          <w:tcPr>
            <w:tcW w:w="1054" w:type="dxa"/>
            <w:vAlign w:val="top"/>
          </w:tcPr>
          <w:p w14:paraId="57508F5B">
            <w:pPr>
              <w:spacing w:line="241" w:lineRule="auto"/>
              <w:rPr>
                <w:rFonts w:ascii="Arial"/>
                <w:sz w:val="21"/>
              </w:rPr>
            </w:pPr>
          </w:p>
          <w:p w14:paraId="09AF69E5">
            <w:pPr>
              <w:pStyle w:val="6"/>
              <w:spacing w:before="65" w:line="252" w:lineRule="auto"/>
              <w:ind w:left="212" w:right="108" w:hanging="107"/>
              <w:rPr>
                <w:sz w:val="20"/>
                <w:szCs w:val="20"/>
              </w:rPr>
            </w:pPr>
            <w:r>
              <w:rPr>
                <w:spacing w:val="7"/>
                <w:sz w:val="20"/>
                <w:szCs w:val="20"/>
              </w:rPr>
              <w:t>储液罐挥</w:t>
            </w:r>
            <w:r>
              <w:rPr>
                <w:spacing w:val="5"/>
                <w:sz w:val="20"/>
                <w:szCs w:val="20"/>
              </w:rPr>
              <w:t>发废气</w:t>
            </w:r>
          </w:p>
        </w:tc>
        <w:tc>
          <w:tcPr>
            <w:tcW w:w="1425" w:type="dxa"/>
            <w:vAlign w:val="top"/>
          </w:tcPr>
          <w:p w14:paraId="0A9F0BD7">
            <w:pPr>
              <w:spacing w:line="375" w:lineRule="auto"/>
              <w:rPr>
                <w:rFonts w:ascii="Arial"/>
                <w:sz w:val="21"/>
              </w:rPr>
            </w:pPr>
          </w:p>
          <w:p w14:paraId="45E75F0A">
            <w:pPr>
              <w:pStyle w:val="6"/>
              <w:spacing w:before="65" w:line="228" w:lineRule="auto"/>
              <w:ind w:left="190"/>
              <w:rPr>
                <w:sz w:val="20"/>
                <w:szCs w:val="20"/>
              </w:rPr>
            </w:pPr>
            <w:r>
              <w:rPr>
                <w:spacing w:val="7"/>
                <w:sz w:val="20"/>
                <w:szCs w:val="20"/>
              </w:rPr>
              <w:t>非甲烷总烃</w:t>
            </w:r>
          </w:p>
        </w:tc>
        <w:tc>
          <w:tcPr>
            <w:tcW w:w="971" w:type="dxa"/>
            <w:vAlign w:val="top"/>
          </w:tcPr>
          <w:p w14:paraId="2385EDAE">
            <w:pPr>
              <w:spacing w:line="241" w:lineRule="auto"/>
              <w:rPr>
                <w:rFonts w:ascii="Arial"/>
                <w:sz w:val="21"/>
              </w:rPr>
            </w:pPr>
          </w:p>
          <w:p w14:paraId="4C77DCF4">
            <w:pPr>
              <w:pStyle w:val="6"/>
              <w:spacing w:before="65" w:line="246" w:lineRule="auto"/>
              <w:ind w:left="282" w:right="5" w:hanging="269"/>
              <w:rPr>
                <w:sz w:val="20"/>
                <w:szCs w:val="20"/>
              </w:rPr>
            </w:pPr>
            <w:r>
              <w:rPr>
                <w:rFonts w:ascii="Times New Roman" w:hAnsi="Times New Roman" w:eastAsia="Times New Roman" w:cs="Times New Roman"/>
                <w:spacing w:val="5"/>
                <w:sz w:val="20"/>
                <w:szCs w:val="20"/>
              </w:rPr>
              <w:t>35.91</w:t>
            </w:r>
            <w:r>
              <w:rPr>
                <w:rFonts w:ascii="Times New Roman" w:hAnsi="Times New Roman" w:eastAsia="Times New Roman" w:cs="Times New Roman"/>
                <w:sz w:val="20"/>
                <w:szCs w:val="20"/>
              </w:rPr>
              <w:t>kg</w:t>
            </w:r>
            <w:r>
              <w:rPr>
                <w:rFonts w:ascii="Times New Roman" w:hAnsi="Times New Roman" w:eastAsia="Times New Roman" w:cs="Times New Roman"/>
                <w:spacing w:val="5"/>
                <w:sz w:val="20"/>
                <w:szCs w:val="20"/>
              </w:rPr>
              <w:t>/</w:t>
            </w:r>
            <w:r>
              <w:rPr>
                <w:spacing w:val="5"/>
                <w:sz w:val="20"/>
                <w:szCs w:val="20"/>
              </w:rPr>
              <w:t>试</w:t>
            </w:r>
            <w:r>
              <w:rPr>
                <w:spacing w:val="3"/>
                <w:sz w:val="20"/>
                <w:szCs w:val="20"/>
              </w:rPr>
              <w:t>油期</w:t>
            </w:r>
          </w:p>
        </w:tc>
        <w:tc>
          <w:tcPr>
            <w:tcW w:w="3172" w:type="dxa"/>
            <w:vAlign w:val="top"/>
          </w:tcPr>
          <w:p w14:paraId="708903E2">
            <w:pPr>
              <w:pStyle w:val="6"/>
              <w:spacing w:before="34" w:line="227" w:lineRule="auto"/>
              <w:ind w:left="16"/>
              <w:rPr>
                <w:sz w:val="20"/>
                <w:szCs w:val="20"/>
              </w:rPr>
            </w:pPr>
            <w:r>
              <w:rPr>
                <w:spacing w:val="9"/>
                <w:sz w:val="20"/>
                <w:szCs w:val="20"/>
              </w:rPr>
              <w:t>试油阶段采出液通过密闭管线进入</w:t>
            </w:r>
          </w:p>
          <w:p w14:paraId="2EFE7C11">
            <w:pPr>
              <w:pStyle w:val="6"/>
              <w:spacing w:before="27" w:line="227" w:lineRule="auto"/>
              <w:ind w:left="27"/>
              <w:rPr>
                <w:sz w:val="20"/>
                <w:szCs w:val="20"/>
              </w:rPr>
            </w:pPr>
            <w:r>
              <w:rPr>
                <w:spacing w:val="8"/>
                <w:sz w:val="20"/>
                <w:szCs w:val="20"/>
              </w:rPr>
              <w:t>卧式高架防腐储液罐，采用环密技</w:t>
            </w:r>
          </w:p>
          <w:p w14:paraId="59753DE9">
            <w:pPr>
              <w:pStyle w:val="6"/>
              <w:spacing w:before="25" w:line="227" w:lineRule="auto"/>
              <w:ind w:left="17"/>
              <w:rPr>
                <w:sz w:val="20"/>
                <w:szCs w:val="20"/>
              </w:rPr>
            </w:pPr>
            <w:r>
              <w:rPr>
                <w:spacing w:val="9"/>
                <w:sz w:val="20"/>
                <w:szCs w:val="20"/>
              </w:rPr>
              <w:t>术，储液罐安装装车鹤管，装车采</w:t>
            </w:r>
          </w:p>
          <w:p w14:paraId="0A2A198D">
            <w:pPr>
              <w:pStyle w:val="6"/>
              <w:spacing w:before="27" w:line="213" w:lineRule="auto"/>
              <w:ind w:left="1068"/>
              <w:rPr>
                <w:sz w:val="20"/>
                <w:szCs w:val="20"/>
              </w:rPr>
            </w:pPr>
            <w:r>
              <w:rPr>
                <w:spacing w:val="5"/>
                <w:sz w:val="20"/>
                <w:szCs w:val="20"/>
              </w:rPr>
              <w:t>用浸没式。</w:t>
            </w:r>
          </w:p>
        </w:tc>
        <w:tc>
          <w:tcPr>
            <w:tcW w:w="1072" w:type="dxa"/>
            <w:tcBorders>
              <w:right w:val="single" w:color="000000" w:sz="6" w:space="0"/>
            </w:tcBorders>
            <w:vAlign w:val="top"/>
          </w:tcPr>
          <w:p w14:paraId="66535A12">
            <w:pPr>
              <w:spacing w:line="281" w:lineRule="auto"/>
              <w:rPr>
                <w:rFonts w:ascii="Arial"/>
                <w:sz w:val="21"/>
              </w:rPr>
            </w:pPr>
          </w:p>
          <w:p w14:paraId="6A012F9A">
            <w:pPr>
              <w:pStyle w:val="6"/>
              <w:spacing w:before="57" w:line="230" w:lineRule="auto"/>
              <w:ind w:left="174" w:right="209" w:hanging="54"/>
              <w:rPr>
                <w:sz w:val="20"/>
                <w:szCs w:val="20"/>
              </w:rPr>
            </w:pPr>
            <w:r>
              <w:rPr>
                <w:rFonts w:ascii="Times New Roman" w:hAnsi="Times New Roman" w:eastAsia="Times New Roman" w:cs="Times New Roman"/>
                <w:spacing w:val="3"/>
                <w:sz w:val="20"/>
                <w:szCs w:val="20"/>
              </w:rPr>
              <w:t>35.91</w:t>
            </w:r>
            <w:r>
              <w:rPr>
                <w:rFonts w:ascii="Times New Roman" w:hAnsi="Times New Roman" w:eastAsia="Times New Roman" w:cs="Times New Roman"/>
                <w:sz w:val="20"/>
                <w:szCs w:val="20"/>
              </w:rPr>
              <w:t>kg</w:t>
            </w:r>
            <w:r>
              <w:rPr>
                <w:rFonts w:ascii="Times New Roman" w:hAnsi="Times New Roman" w:eastAsia="Times New Roman" w:cs="Times New Roman"/>
                <w:spacing w:val="3"/>
                <w:sz w:val="20"/>
                <w:szCs w:val="20"/>
              </w:rPr>
              <w:t>/</w:t>
            </w:r>
            <w:r>
              <w:rPr>
                <w:spacing w:val="6"/>
                <w:sz w:val="20"/>
                <w:szCs w:val="20"/>
              </w:rPr>
              <w:t>试油期</w:t>
            </w:r>
          </w:p>
        </w:tc>
      </w:tr>
      <w:tr w14:paraId="496600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495" w:type="dxa"/>
            <w:vMerge w:val="continue"/>
            <w:tcBorders>
              <w:top w:val="nil"/>
              <w:left w:val="single" w:color="000000" w:sz="6" w:space="0"/>
              <w:bottom w:val="nil"/>
              <w:right w:val="single" w:color="000000" w:sz="2" w:space="0"/>
            </w:tcBorders>
            <w:vAlign w:val="top"/>
          </w:tcPr>
          <w:p w14:paraId="07FAC674">
            <w:pPr>
              <w:rPr>
                <w:rFonts w:ascii="Arial"/>
                <w:sz w:val="21"/>
              </w:rPr>
            </w:pPr>
          </w:p>
        </w:tc>
        <w:tc>
          <w:tcPr>
            <w:tcW w:w="712" w:type="dxa"/>
            <w:vMerge w:val="continue"/>
            <w:tcBorders>
              <w:top w:val="nil"/>
              <w:left w:val="single" w:color="000000" w:sz="2" w:space="0"/>
            </w:tcBorders>
            <w:vAlign w:val="top"/>
          </w:tcPr>
          <w:p w14:paraId="3CD28413">
            <w:pPr>
              <w:rPr>
                <w:rFonts w:ascii="Arial"/>
                <w:sz w:val="21"/>
              </w:rPr>
            </w:pPr>
          </w:p>
        </w:tc>
        <w:tc>
          <w:tcPr>
            <w:tcW w:w="1054" w:type="dxa"/>
            <w:vAlign w:val="top"/>
          </w:tcPr>
          <w:p w14:paraId="6519ECC5">
            <w:pPr>
              <w:pStyle w:val="6"/>
              <w:spacing w:before="175" w:line="228" w:lineRule="auto"/>
              <w:ind w:left="210"/>
              <w:rPr>
                <w:sz w:val="20"/>
                <w:szCs w:val="20"/>
              </w:rPr>
            </w:pPr>
            <w:r>
              <w:rPr>
                <w:spacing w:val="6"/>
                <w:sz w:val="20"/>
                <w:szCs w:val="20"/>
              </w:rPr>
              <w:t>伴生气</w:t>
            </w:r>
          </w:p>
        </w:tc>
        <w:tc>
          <w:tcPr>
            <w:tcW w:w="1425" w:type="dxa"/>
            <w:vAlign w:val="top"/>
          </w:tcPr>
          <w:p w14:paraId="3AFBDF97">
            <w:pPr>
              <w:pStyle w:val="6"/>
              <w:spacing w:before="176" w:line="228" w:lineRule="auto"/>
              <w:ind w:left="190"/>
              <w:rPr>
                <w:sz w:val="20"/>
                <w:szCs w:val="20"/>
              </w:rPr>
            </w:pPr>
            <w:r>
              <w:rPr>
                <w:spacing w:val="7"/>
                <w:sz w:val="20"/>
                <w:szCs w:val="20"/>
              </w:rPr>
              <w:t>非甲烷总烃</w:t>
            </w:r>
          </w:p>
        </w:tc>
        <w:tc>
          <w:tcPr>
            <w:tcW w:w="971" w:type="dxa"/>
            <w:vAlign w:val="top"/>
          </w:tcPr>
          <w:p w14:paraId="72E80192">
            <w:pPr>
              <w:spacing w:before="208" w:line="199" w:lineRule="auto"/>
              <w:ind w:left="4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3172" w:type="dxa"/>
            <w:vAlign w:val="top"/>
          </w:tcPr>
          <w:p w14:paraId="65D1AB7C">
            <w:pPr>
              <w:pStyle w:val="6"/>
              <w:spacing w:before="176" w:line="227" w:lineRule="auto"/>
              <w:ind w:left="646"/>
              <w:rPr>
                <w:sz w:val="20"/>
                <w:szCs w:val="20"/>
              </w:rPr>
            </w:pPr>
            <w:r>
              <w:rPr>
                <w:spacing w:val="7"/>
                <w:sz w:val="20"/>
                <w:szCs w:val="20"/>
              </w:rPr>
              <w:t>采用火炬就地燃烧。</w:t>
            </w:r>
          </w:p>
        </w:tc>
        <w:tc>
          <w:tcPr>
            <w:tcW w:w="1072" w:type="dxa"/>
            <w:tcBorders>
              <w:right w:val="single" w:color="000000" w:sz="6" w:space="0"/>
            </w:tcBorders>
            <w:vAlign w:val="top"/>
          </w:tcPr>
          <w:p w14:paraId="0A775E5B">
            <w:pPr>
              <w:spacing w:before="208" w:line="199"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0737A1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3" w:hRule="atLeast"/>
        </w:trPr>
        <w:tc>
          <w:tcPr>
            <w:tcW w:w="495" w:type="dxa"/>
            <w:vMerge w:val="continue"/>
            <w:tcBorders>
              <w:top w:val="nil"/>
              <w:left w:val="single" w:color="000000" w:sz="6" w:space="0"/>
              <w:bottom w:val="nil"/>
              <w:right w:val="single" w:color="000000" w:sz="2" w:space="0"/>
            </w:tcBorders>
            <w:vAlign w:val="top"/>
          </w:tcPr>
          <w:p w14:paraId="5A1D0826">
            <w:pPr>
              <w:rPr>
                <w:rFonts w:ascii="Arial"/>
                <w:sz w:val="21"/>
              </w:rPr>
            </w:pPr>
          </w:p>
        </w:tc>
        <w:tc>
          <w:tcPr>
            <w:tcW w:w="712" w:type="dxa"/>
            <w:vMerge w:val="restart"/>
            <w:tcBorders>
              <w:left w:val="single" w:color="000000" w:sz="2" w:space="0"/>
              <w:bottom w:val="nil"/>
            </w:tcBorders>
            <w:vAlign w:val="top"/>
          </w:tcPr>
          <w:p w14:paraId="33462C65">
            <w:pPr>
              <w:spacing w:line="327" w:lineRule="auto"/>
              <w:rPr>
                <w:rFonts w:ascii="Arial"/>
                <w:sz w:val="21"/>
              </w:rPr>
            </w:pPr>
          </w:p>
          <w:p w14:paraId="492F176D">
            <w:pPr>
              <w:spacing w:line="328" w:lineRule="auto"/>
              <w:rPr>
                <w:rFonts w:ascii="Arial"/>
                <w:sz w:val="21"/>
              </w:rPr>
            </w:pPr>
          </w:p>
          <w:p w14:paraId="64856D4A">
            <w:pPr>
              <w:pStyle w:val="6"/>
              <w:spacing w:before="65" w:line="228" w:lineRule="auto"/>
              <w:ind w:left="195"/>
              <w:rPr>
                <w:sz w:val="20"/>
                <w:szCs w:val="20"/>
              </w:rPr>
            </w:pPr>
            <w:r>
              <w:rPr>
                <w:spacing w:val="5"/>
                <w:sz w:val="20"/>
                <w:szCs w:val="20"/>
              </w:rPr>
              <w:t>废水</w:t>
            </w:r>
          </w:p>
        </w:tc>
        <w:tc>
          <w:tcPr>
            <w:tcW w:w="1054" w:type="dxa"/>
            <w:vAlign w:val="top"/>
          </w:tcPr>
          <w:p w14:paraId="717E6B85">
            <w:pPr>
              <w:pStyle w:val="6"/>
              <w:spacing w:before="171" w:line="251" w:lineRule="auto"/>
              <w:ind w:left="105" w:right="32" w:hanging="101"/>
              <w:rPr>
                <w:sz w:val="20"/>
                <w:szCs w:val="20"/>
              </w:rPr>
            </w:pPr>
            <w:r>
              <w:rPr>
                <w:spacing w:val="1"/>
                <w:sz w:val="20"/>
                <w:szCs w:val="20"/>
              </w:rPr>
              <w:t>废弃泥浆、</w:t>
            </w:r>
            <w:r>
              <w:rPr>
                <w:spacing w:val="7"/>
                <w:sz w:val="20"/>
                <w:szCs w:val="20"/>
              </w:rPr>
              <w:t>钻井岩屑</w:t>
            </w:r>
          </w:p>
          <w:p w14:paraId="6EFD8FFB">
            <w:pPr>
              <w:pStyle w:val="6"/>
              <w:spacing w:line="227" w:lineRule="auto"/>
              <w:ind w:left="125"/>
              <w:rPr>
                <w:sz w:val="20"/>
                <w:szCs w:val="20"/>
              </w:rPr>
            </w:pPr>
            <w:r>
              <w:rPr>
                <w:spacing w:val="2"/>
                <w:sz w:val="20"/>
                <w:szCs w:val="20"/>
              </w:rPr>
              <w:t>中的废水</w:t>
            </w:r>
          </w:p>
        </w:tc>
        <w:tc>
          <w:tcPr>
            <w:tcW w:w="1425" w:type="dxa"/>
            <w:vAlign w:val="top"/>
          </w:tcPr>
          <w:p w14:paraId="15BDCCDD">
            <w:pPr>
              <w:spacing w:line="243" w:lineRule="auto"/>
              <w:rPr>
                <w:rFonts w:ascii="Arial"/>
                <w:sz w:val="21"/>
              </w:rPr>
            </w:pPr>
          </w:p>
          <w:p w14:paraId="721AA495">
            <w:pPr>
              <w:pStyle w:val="6"/>
              <w:spacing w:before="65" w:line="245" w:lineRule="auto"/>
              <w:ind w:left="10" w:right="6" w:firstLine="28"/>
              <w:rPr>
                <w:rFonts w:ascii="Times New Roman" w:hAnsi="Times New Roman" w:eastAsia="Times New Roman" w:cs="Times New Roman"/>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pacing w:val="-27"/>
                <w:sz w:val="20"/>
                <w:szCs w:val="20"/>
              </w:rPr>
              <w:t xml:space="preserve"> </w:t>
            </w:r>
            <w:r>
              <w:rPr>
                <w:spacing w:val="4"/>
                <w:sz w:val="20"/>
                <w:szCs w:val="20"/>
              </w:rPr>
              <w:t>、</w:t>
            </w:r>
            <w:r>
              <w:rPr>
                <w:rFonts w:ascii="Times New Roman" w:hAnsi="Times New Roman" w:eastAsia="Times New Roman" w:cs="Times New Roman"/>
                <w:sz w:val="20"/>
                <w:szCs w:val="20"/>
              </w:rPr>
              <w:t>COD</w:t>
            </w:r>
            <w:r>
              <w:rPr>
                <w:rFonts w:ascii="Times New Roman" w:hAnsi="Times New Roman" w:eastAsia="Times New Roman" w:cs="Times New Roman"/>
                <w:spacing w:val="-25"/>
                <w:sz w:val="20"/>
                <w:szCs w:val="20"/>
              </w:rPr>
              <w:t xml:space="preserve"> </w:t>
            </w:r>
            <w:r>
              <w:rPr>
                <w:spacing w:val="4"/>
                <w:sz w:val="20"/>
                <w:szCs w:val="20"/>
              </w:rPr>
              <w:t>、石</w:t>
            </w:r>
            <w:r>
              <w:rPr>
                <w:spacing w:val="-4"/>
                <w:sz w:val="20"/>
                <w:szCs w:val="20"/>
              </w:rPr>
              <w:t>油类、氨氮、</w:t>
            </w:r>
            <w:r>
              <w:rPr>
                <w:rFonts w:ascii="Times New Roman" w:hAnsi="Times New Roman" w:eastAsia="Times New Roman" w:cs="Times New Roman"/>
                <w:spacing w:val="-4"/>
                <w:sz w:val="20"/>
                <w:szCs w:val="20"/>
              </w:rPr>
              <w:t>SS</w:t>
            </w:r>
          </w:p>
        </w:tc>
        <w:tc>
          <w:tcPr>
            <w:tcW w:w="971" w:type="dxa"/>
            <w:vAlign w:val="top"/>
          </w:tcPr>
          <w:p w14:paraId="43C50457">
            <w:pPr>
              <w:spacing w:line="419" w:lineRule="auto"/>
              <w:rPr>
                <w:rFonts w:ascii="Arial"/>
                <w:sz w:val="21"/>
              </w:rPr>
            </w:pPr>
          </w:p>
          <w:p w14:paraId="2509D113">
            <w:pPr>
              <w:spacing w:before="58" w:line="195" w:lineRule="auto"/>
              <w:ind w:left="2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536m³</w:t>
            </w:r>
          </w:p>
        </w:tc>
        <w:tc>
          <w:tcPr>
            <w:tcW w:w="3172" w:type="dxa"/>
            <w:vAlign w:val="top"/>
          </w:tcPr>
          <w:p w14:paraId="598922B9">
            <w:pPr>
              <w:pStyle w:val="6"/>
              <w:spacing w:before="35" w:line="228" w:lineRule="auto"/>
              <w:ind w:left="16"/>
              <w:rPr>
                <w:sz w:val="20"/>
                <w:szCs w:val="20"/>
              </w:rPr>
            </w:pPr>
            <w:r>
              <w:rPr>
                <w:spacing w:val="9"/>
                <w:sz w:val="20"/>
                <w:szCs w:val="20"/>
              </w:rPr>
              <w:t>钻井过程中废水随同废弃泥浆、钻</w:t>
            </w:r>
          </w:p>
          <w:p w14:paraId="027844DE">
            <w:pPr>
              <w:pStyle w:val="6"/>
              <w:spacing w:before="26" w:line="227" w:lineRule="auto"/>
              <w:ind w:left="16"/>
              <w:rPr>
                <w:sz w:val="20"/>
                <w:szCs w:val="20"/>
              </w:rPr>
            </w:pPr>
            <w:r>
              <w:rPr>
                <w:spacing w:val="9"/>
                <w:sz w:val="20"/>
                <w:szCs w:val="20"/>
              </w:rPr>
              <w:t>井岩屑拉运至内蒙古众宁环保科技</w:t>
            </w:r>
          </w:p>
          <w:p w14:paraId="1B67C6D1">
            <w:pPr>
              <w:pStyle w:val="6"/>
              <w:spacing w:before="24" w:line="228" w:lineRule="auto"/>
              <w:ind w:left="16"/>
              <w:rPr>
                <w:sz w:val="20"/>
                <w:szCs w:val="20"/>
              </w:rPr>
            </w:pPr>
            <w:r>
              <w:rPr>
                <w:spacing w:val="9"/>
                <w:sz w:val="20"/>
                <w:szCs w:val="20"/>
              </w:rPr>
              <w:t>有限公司油气田废弃物集中处理厂</w:t>
            </w:r>
          </w:p>
          <w:p w14:paraId="64F5D0A1">
            <w:pPr>
              <w:pStyle w:val="6"/>
              <w:spacing w:before="27" w:line="211" w:lineRule="auto"/>
              <w:ind w:left="1280"/>
              <w:rPr>
                <w:sz w:val="20"/>
                <w:szCs w:val="20"/>
              </w:rPr>
            </w:pPr>
            <w:r>
              <w:rPr>
                <w:spacing w:val="1"/>
                <w:sz w:val="20"/>
                <w:szCs w:val="20"/>
              </w:rPr>
              <w:t>处理。</w:t>
            </w:r>
          </w:p>
        </w:tc>
        <w:tc>
          <w:tcPr>
            <w:tcW w:w="1072" w:type="dxa"/>
            <w:tcBorders>
              <w:right w:val="single" w:color="000000" w:sz="6" w:space="0"/>
            </w:tcBorders>
            <w:vAlign w:val="top"/>
          </w:tcPr>
          <w:p w14:paraId="3A1E1268">
            <w:pPr>
              <w:spacing w:line="415" w:lineRule="auto"/>
              <w:rPr>
                <w:rFonts w:ascii="Arial"/>
                <w:sz w:val="21"/>
              </w:rPr>
            </w:pPr>
          </w:p>
          <w:p w14:paraId="15E13BD4">
            <w:pPr>
              <w:spacing w:before="58" w:line="199"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02226F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495" w:type="dxa"/>
            <w:vMerge w:val="continue"/>
            <w:tcBorders>
              <w:top w:val="nil"/>
              <w:left w:val="single" w:color="000000" w:sz="6" w:space="0"/>
              <w:bottom w:val="nil"/>
              <w:right w:val="single" w:color="000000" w:sz="2" w:space="0"/>
            </w:tcBorders>
            <w:vAlign w:val="top"/>
          </w:tcPr>
          <w:p w14:paraId="492F1033">
            <w:pPr>
              <w:rPr>
                <w:rFonts w:ascii="Arial"/>
                <w:sz w:val="21"/>
              </w:rPr>
            </w:pPr>
          </w:p>
        </w:tc>
        <w:tc>
          <w:tcPr>
            <w:tcW w:w="712" w:type="dxa"/>
            <w:vMerge w:val="continue"/>
            <w:tcBorders>
              <w:top w:val="nil"/>
              <w:left w:val="single" w:color="000000" w:sz="2" w:space="0"/>
            </w:tcBorders>
            <w:vAlign w:val="top"/>
          </w:tcPr>
          <w:p w14:paraId="0488A2F9">
            <w:pPr>
              <w:rPr>
                <w:rFonts w:ascii="Arial"/>
                <w:sz w:val="21"/>
              </w:rPr>
            </w:pPr>
          </w:p>
        </w:tc>
        <w:tc>
          <w:tcPr>
            <w:tcW w:w="1054" w:type="dxa"/>
            <w:vAlign w:val="top"/>
          </w:tcPr>
          <w:p w14:paraId="52A31649">
            <w:pPr>
              <w:pStyle w:val="6"/>
              <w:spacing w:before="173" w:line="228" w:lineRule="auto"/>
              <w:ind w:left="106"/>
              <w:rPr>
                <w:sz w:val="20"/>
                <w:szCs w:val="20"/>
              </w:rPr>
            </w:pPr>
            <w:r>
              <w:rPr>
                <w:spacing w:val="7"/>
                <w:sz w:val="20"/>
                <w:szCs w:val="20"/>
              </w:rPr>
              <w:t>盥洗废水</w:t>
            </w:r>
          </w:p>
        </w:tc>
        <w:tc>
          <w:tcPr>
            <w:tcW w:w="1425" w:type="dxa"/>
            <w:vAlign w:val="top"/>
          </w:tcPr>
          <w:p w14:paraId="1D75E628">
            <w:pPr>
              <w:pStyle w:val="6"/>
              <w:spacing w:before="75" w:line="188" w:lineRule="auto"/>
              <w:ind w:left="145"/>
              <w:rPr>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pacing w:val="-29"/>
                <w:sz w:val="20"/>
                <w:szCs w:val="20"/>
              </w:rPr>
              <w:t xml:space="preserve"> </w:t>
            </w:r>
            <w:r>
              <w:rPr>
                <w:spacing w:val="9"/>
                <w:sz w:val="20"/>
                <w:szCs w:val="20"/>
              </w:rPr>
              <w:t>、</w:t>
            </w:r>
            <w:r>
              <w:rPr>
                <w:rFonts w:ascii="Times New Roman" w:hAnsi="Times New Roman" w:eastAsia="Times New Roman" w:cs="Times New Roman"/>
                <w:sz w:val="20"/>
                <w:szCs w:val="20"/>
              </w:rPr>
              <w:t>COD</w:t>
            </w:r>
            <w:r>
              <w:rPr>
                <w:spacing w:val="9"/>
                <w:sz w:val="20"/>
                <w:szCs w:val="20"/>
              </w:rPr>
              <w:t>、</w:t>
            </w:r>
          </w:p>
          <w:p w14:paraId="44513E7A">
            <w:pPr>
              <w:pStyle w:val="6"/>
              <w:spacing w:before="31" w:line="211" w:lineRule="auto"/>
              <w:ind w:left="98"/>
              <w:rPr>
                <w:sz w:val="20"/>
                <w:szCs w:val="20"/>
              </w:rPr>
            </w:pPr>
            <w:r>
              <w:rPr>
                <w:rFonts w:ascii="Times New Roman" w:hAnsi="Times New Roman" w:eastAsia="Times New Roman" w:cs="Times New Roman"/>
                <w:sz w:val="20"/>
                <w:szCs w:val="20"/>
              </w:rPr>
              <w:t>BOD</w:t>
            </w:r>
            <w:r>
              <w:rPr>
                <w:rFonts w:ascii="Times New Roman" w:hAnsi="Times New Roman" w:eastAsia="Times New Roman" w:cs="Times New Roman"/>
                <w:spacing w:val="6"/>
                <w:position w:val="-1"/>
                <w:sz w:val="13"/>
                <w:szCs w:val="13"/>
              </w:rPr>
              <w:t>5</w:t>
            </w:r>
            <w:r>
              <w:rPr>
                <w:rFonts w:ascii="Times New Roman" w:hAnsi="Times New Roman" w:eastAsia="Times New Roman" w:cs="Times New Roman"/>
                <w:spacing w:val="-11"/>
                <w:position w:val="-1"/>
                <w:sz w:val="13"/>
                <w:szCs w:val="13"/>
              </w:rPr>
              <w:t xml:space="preserve"> </w:t>
            </w:r>
            <w:r>
              <w:rPr>
                <w:spacing w:val="6"/>
                <w:sz w:val="20"/>
                <w:szCs w:val="20"/>
              </w:rPr>
              <w:t>、</w:t>
            </w:r>
            <w:r>
              <w:rPr>
                <w:rFonts w:ascii="Times New Roman" w:hAnsi="Times New Roman" w:eastAsia="Times New Roman" w:cs="Times New Roman"/>
                <w:sz w:val="20"/>
                <w:szCs w:val="20"/>
              </w:rPr>
              <w:t>SS</w:t>
            </w:r>
            <w:r>
              <w:rPr>
                <w:rFonts w:ascii="Times New Roman" w:hAnsi="Times New Roman" w:eastAsia="Times New Roman" w:cs="Times New Roman"/>
                <w:spacing w:val="14"/>
                <w:sz w:val="20"/>
                <w:szCs w:val="20"/>
              </w:rPr>
              <w:t xml:space="preserve"> </w:t>
            </w:r>
            <w:r>
              <w:rPr>
                <w:spacing w:val="6"/>
                <w:sz w:val="20"/>
                <w:szCs w:val="20"/>
              </w:rPr>
              <w:t>等</w:t>
            </w:r>
          </w:p>
        </w:tc>
        <w:tc>
          <w:tcPr>
            <w:tcW w:w="971" w:type="dxa"/>
            <w:vAlign w:val="top"/>
          </w:tcPr>
          <w:p w14:paraId="43956AD7">
            <w:pPr>
              <w:spacing w:before="192" w:line="213" w:lineRule="auto"/>
              <w:ind w:left="131"/>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230.4m</w:t>
            </w:r>
            <w:r>
              <w:rPr>
                <w:rFonts w:ascii="Times New Roman" w:hAnsi="Times New Roman" w:eastAsia="Times New Roman" w:cs="Times New Roman"/>
                <w:spacing w:val="4"/>
                <w:position w:val="6"/>
                <w:sz w:val="13"/>
                <w:szCs w:val="13"/>
              </w:rPr>
              <w:t>3</w:t>
            </w:r>
          </w:p>
        </w:tc>
        <w:tc>
          <w:tcPr>
            <w:tcW w:w="3172" w:type="dxa"/>
            <w:vAlign w:val="top"/>
          </w:tcPr>
          <w:p w14:paraId="30B4DB47">
            <w:pPr>
              <w:pStyle w:val="6"/>
              <w:spacing w:before="39" w:line="228" w:lineRule="auto"/>
              <w:ind w:left="16"/>
              <w:rPr>
                <w:sz w:val="20"/>
                <w:szCs w:val="20"/>
              </w:rPr>
            </w:pPr>
            <w:r>
              <w:rPr>
                <w:spacing w:val="9"/>
                <w:sz w:val="20"/>
                <w:szCs w:val="20"/>
              </w:rPr>
              <w:t>排入井场设置的环保厕所，定期清</w:t>
            </w:r>
          </w:p>
          <w:p w14:paraId="015782D9">
            <w:pPr>
              <w:pStyle w:val="6"/>
              <w:spacing w:before="23" w:line="211" w:lineRule="auto"/>
              <w:ind w:left="1382"/>
              <w:rPr>
                <w:sz w:val="20"/>
                <w:szCs w:val="20"/>
              </w:rPr>
            </w:pPr>
            <w:r>
              <w:rPr>
                <w:sz w:val="20"/>
                <w:szCs w:val="20"/>
              </w:rPr>
              <w:t>掏。</w:t>
            </w:r>
          </w:p>
        </w:tc>
        <w:tc>
          <w:tcPr>
            <w:tcW w:w="1072" w:type="dxa"/>
            <w:tcBorders>
              <w:right w:val="single" w:color="000000" w:sz="6" w:space="0"/>
            </w:tcBorders>
            <w:vAlign w:val="top"/>
          </w:tcPr>
          <w:p w14:paraId="49DEC0C8">
            <w:pPr>
              <w:spacing w:before="205" w:line="199"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480568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495" w:type="dxa"/>
            <w:vMerge w:val="continue"/>
            <w:tcBorders>
              <w:top w:val="nil"/>
              <w:left w:val="single" w:color="000000" w:sz="6" w:space="0"/>
              <w:bottom w:val="nil"/>
              <w:right w:val="single" w:color="000000" w:sz="2" w:space="0"/>
            </w:tcBorders>
            <w:vAlign w:val="top"/>
          </w:tcPr>
          <w:p w14:paraId="5AA7B99B">
            <w:pPr>
              <w:rPr>
                <w:rFonts w:ascii="Arial"/>
                <w:sz w:val="21"/>
              </w:rPr>
            </w:pPr>
          </w:p>
        </w:tc>
        <w:tc>
          <w:tcPr>
            <w:tcW w:w="712" w:type="dxa"/>
            <w:tcBorders>
              <w:left w:val="single" w:color="000000" w:sz="2" w:space="0"/>
            </w:tcBorders>
            <w:vAlign w:val="top"/>
          </w:tcPr>
          <w:p w14:paraId="5A69AB67">
            <w:pPr>
              <w:pStyle w:val="6"/>
              <w:spacing w:before="174" w:line="228" w:lineRule="auto"/>
              <w:ind w:left="206"/>
              <w:rPr>
                <w:sz w:val="20"/>
                <w:szCs w:val="20"/>
              </w:rPr>
            </w:pPr>
            <w:r>
              <w:rPr>
                <w:spacing w:val="-1"/>
                <w:sz w:val="20"/>
                <w:szCs w:val="20"/>
              </w:rPr>
              <w:t>噪声</w:t>
            </w:r>
          </w:p>
        </w:tc>
        <w:tc>
          <w:tcPr>
            <w:tcW w:w="1054" w:type="dxa"/>
            <w:vAlign w:val="top"/>
          </w:tcPr>
          <w:p w14:paraId="10F569F7">
            <w:pPr>
              <w:pStyle w:val="6"/>
              <w:spacing w:before="38" w:line="231" w:lineRule="auto"/>
              <w:ind w:left="212" w:right="108" w:hanging="106"/>
              <w:rPr>
                <w:sz w:val="20"/>
                <w:szCs w:val="20"/>
              </w:rPr>
            </w:pPr>
            <w:r>
              <w:rPr>
                <w:spacing w:val="7"/>
                <w:sz w:val="20"/>
                <w:szCs w:val="20"/>
              </w:rPr>
              <w:t>钻井及试</w:t>
            </w:r>
            <w:r>
              <w:rPr>
                <w:spacing w:val="5"/>
                <w:sz w:val="20"/>
                <w:szCs w:val="20"/>
              </w:rPr>
              <w:t>油设备</w:t>
            </w:r>
          </w:p>
        </w:tc>
        <w:tc>
          <w:tcPr>
            <w:tcW w:w="1425" w:type="dxa"/>
            <w:vAlign w:val="top"/>
          </w:tcPr>
          <w:p w14:paraId="3D0D5565">
            <w:pPr>
              <w:pStyle w:val="6"/>
              <w:spacing w:before="173" w:line="221" w:lineRule="auto"/>
              <w:ind w:left="260"/>
              <w:rPr>
                <w:sz w:val="20"/>
                <w:szCs w:val="20"/>
              </w:rPr>
            </w:pPr>
            <w:r>
              <w:rPr>
                <w:rFonts w:ascii="Times New Roman" w:hAnsi="Times New Roman" w:eastAsia="Times New Roman" w:cs="Times New Roman"/>
                <w:sz w:val="20"/>
                <w:szCs w:val="20"/>
              </w:rPr>
              <w:t>Leq</w:t>
            </w:r>
            <w:r>
              <w:rPr>
                <w:spacing w:val="8"/>
                <w:sz w:val="20"/>
                <w:szCs w:val="20"/>
              </w:rPr>
              <w:t>（</w:t>
            </w:r>
            <w:r>
              <w:rPr>
                <w:rFonts w:ascii="Times New Roman" w:hAnsi="Times New Roman" w:eastAsia="Times New Roman" w:cs="Times New Roman"/>
                <w:spacing w:val="8"/>
                <w:sz w:val="20"/>
                <w:szCs w:val="20"/>
              </w:rPr>
              <w:t>A</w:t>
            </w:r>
            <w:r>
              <w:rPr>
                <w:spacing w:val="8"/>
                <w:sz w:val="20"/>
                <w:szCs w:val="20"/>
              </w:rPr>
              <w:t>）</w:t>
            </w:r>
          </w:p>
        </w:tc>
        <w:tc>
          <w:tcPr>
            <w:tcW w:w="971" w:type="dxa"/>
            <w:vAlign w:val="top"/>
          </w:tcPr>
          <w:p w14:paraId="1487A03C">
            <w:pPr>
              <w:spacing w:before="205" w:line="199" w:lineRule="auto"/>
              <w:ind w:left="4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3172" w:type="dxa"/>
            <w:vAlign w:val="top"/>
          </w:tcPr>
          <w:p w14:paraId="6F14CD03">
            <w:pPr>
              <w:pStyle w:val="6"/>
              <w:spacing w:before="174" w:line="228" w:lineRule="auto"/>
              <w:ind w:left="226"/>
              <w:rPr>
                <w:sz w:val="20"/>
                <w:szCs w:val="20"/>
              </w:rPr>
            </w:pPr>
            <w:r>
              <w:rPr>
                <w:spacing w:val="8"/>
                <w:sz w:val="20"/>
                <w:szCs w:val="20"/>
              </w:rPr>
              <w:t>选用低噪声设备、基础减振。</w:t>
            </w:r>
          </w:p>
        </w:tc>
        <w:tc>
          <w:tcPr>
            <w:tcW w:w="1072" w:type="dxa"/>
            <w:tcBorders>
              <w:right w:val="single" w:color="000000" w:sz="6" w:space="0"/>
            </w:tcBorders>
            <w:vAlign w:val="top"/>
          </w:tcPr>
          <w:p w14:paraId="409B384C">
            <w:pPr>
              <w:spacing w:before="205" w:line="199"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4B6C56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1" w:hRule="atLeast"/>
        </w:trPr>
        <w:tc>
          <w:tcPr>
            <w:tcW w:w="495" w:type="dxa"/>
            <w:vMerge w:val="continue"/>
            <w:tcBorders>
              <w:top w:val="nil"/>
              <w:left w:val="single" w:color="000000" w:sz="6" w:space="0"/>
              <w:bottom w:val="nil"/>
              <w:right w:val="single" w:color="000000" w:sz="2" w:space="0"/>
            </w:tcBorders>
            <w:vAlign w:val="top"/>
          </w:tcPr>
          <w:p w14:paraId="06F3776C">
            <w:pPr>
              <w:rPr>
                <w:rFonts w:ascii="Arial"/>
                <w:sz w:val="21"/>
              </w:rPr>
            </w:pPr>
          </w:p>
        </w:tc>
        <w:tc>
          <w:tcPr>
            <w:tcW w:w="712" w:type="dxa"/>
            <w:vMerge w:val="restart"/>
            <w:tcBorders>
              <w:left w:val="single" w:color="000000" w:sz="2" w:space="0"/>
              <w:bottom w:val="nil"/>
            </w:tcBorders>
            <w:vAlign w:val="top"/>
          </w:tcPr>
          <w:p w14:paraId="684F8A8F">
            <w:pPr>
              <w:spacing w:line="251" w:lineRule="auto"/>
              <w:rPr>
                <w:rFonts w:ascii="Arial"/>
                <w:sz w:val="21"/>
              </w:rPr>
            </w:pPr>
          </w:p>
          <w:p w14:paraId="44A73D8A">
            <w:pPr>
              <w:spacing w:line="251" w:lineRule="auto"/>
              <w:rPr>
                <w:rFonts w:ascii="Arial"/>
                <w:sz w:val="21"/>
              </w:rPr>
            </w:pPr>
          </w:p>
          <w:p w14:paraId="7C669823">
            <w:pPr>
              <w:spacing w:line="251" w:lineRule="auto"/>
              <w:rPr>
                <w:rFonts w:ascii="Arial"/>
                <w:sz w:val="21"/>
              </w:rPr>
            </w:pPr>
          </w:p>
          <w:p w14:paraId="625701D5">
            <w:pPr>
              <w:spacing w:line="251" w:lineRule="auto"/>
              <w:rPr>
                <w:rFonts w:ascii="Arial"/>
                <w:sz w:val="21"/>
              </w:rPr>
            </w:pPr>
          </w:p>
          <w:p w14:paraId="7D8F66C8">
            <w:pPr>
              <w:spacing w:line="251" w:lineRule="auto"/>
              <w:rPr>
                <w:rFonts w:ascii="Arial"/>
                <w:sz w:val="21"/>
              </w:rPr>
            </w:pPr>
          </w:p>
          <w:p w14:paraId="0E6DBA3E">
            <w:pPr>
              <w:pStyle w:val="6"/>
              <w:spacing w:before="65" w:line="252" w:lineRule="auto"/>
              <w:ind w:left="195" w:right="98" w:firstLine="18"/>
              <w:rPr>
                <w:sz w:val="20"/>
                <w:szCs w:val="20"/>
              </w:rPr>
            </w:pPr>
            <w:r>
              <w:rPr>
                <w:spacing w:val="-5"/>
                <w:sz w:val="20"/>
                <w:szCs w:val="20"/>
              </w:rPr>
              <w:t>固体</w:t>
            </w:r>
            <w:r>
              <w:rPr>
                <w:spacing w:val="5"/>
                <w:sz w:val="20"/>
                <w:szCs w:val="20"/>
              </w:rPr>
              <w:t>废物</w:t>
            </w:r>
          </w:p>
        </w:tc>
        <w:tc>
          <w:tcPr>
            <w:tcW w:w="1054" w:type="dxa"/>
            <w:vAlign w:val="top"/>
          </w:tcPr>
          <w:p w14:paraId="0A386D79">
            <w:pPr>
              <w:pStyle w:val="6"/>
              <w:spacing w:before="176" w:line="252" w:lineRule="auto"/>
              <w:ind w:left="105" w:right="32" w:hanging="101"/>
              <w:rPr>
                <w:sz w:val="20"/>
                <w:szCs w:val="20"/>
              </w:rPr>
            </w:pPr>
            <w:r>
              <w:rPr>
                <w:spacing w:val="1"/>
                <w:sz w:val="20"/>
                <w:szCs w:val="20"/>
              </w:rPr>
              <w:t>废弃泥浆、</w:t>
            </w:r>
            <w:r>
              <w:rPr>
                <w:spacing w:val="7"/>
                <w:sz w:val="20"/>
                <w:szCs w:val="20"/>
              </w:rPr>
              <w:t>钻井岩屑</w:t>
            </w:r>
          </w:p>
        </w:tc>
        <w:tc>
          <w:tcPr>
            <w:tcW w:w="1425" w:type="dxa"/>
            <w:vAlign w:val="top"/>
          </w:tcPr>
          <w:p w14:paraId="66BE7FCA">
            <w:pPr>
              <w:pStyle w:val="6"/>
              <w:spacing w:before="175" w:line="252" w:lineRule="auto"/>
              <w:ind w:left="380" w:hanging="371"/>
              <w:rPr>
                <w:sz w:val="20"/>
                <w:szCs w:val="20"/>
              </w:rPr>
            </w:pPr>
            <w:r>
              <w:rPr>
                <w:spacing w:val="-25"/>
                <w:sz w:val="20"/>
                <w:szCs w:val="20"/>
              </w:rPr>
              <w:t>水、粘土、岩石、</w:t>
            </w:r>
            <w:r>
              <w:rPr>
                <w:spacing w:val="-3"/>
                <w:sz w:val="20"/>
                <w:szCs w:val="20"/>
              </w:rPr>
              <w:t>土壤等</w:t>
            </w:r>
          </w:p>
        </w:tc>
        <w:tc>
          <w:tcPr>
            <w:tcW w:w="971" w:type="dxa"/>
            <w:vAlign w:val="top"/>
          </w:tcPr>
          <w:p w14:paraId="4854A822">
            <w:pPr>
              <w:spacing w:line="267" w:lineRule="auto"/>
              <w:rPr>
                <w:rFonts w:ascii="Arial"/>
                <w:sz w:val="21"/>
              </w:rPr>
            </w:pPr>
          </w:p>
          <w:p w14:paraId="786570B6">
            <w:pPr>
              <w:spacing w:before="57" w:line="216" w:lineRule="auto"/>
              <w:ind w:left="48"/>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1546.76m</w:t>
            </w:r>
            <w:r>
              <w:rPr>
                <w:rFonts w:ascii="Times New Roman" w:hAnsi="Times New Roman" w:eastAsia="Times New Roman" w:cs="Times New Roman"/>
                <w:spacing w:val="2"/>
                <w:position w:val="6"/>
                <w:sz w:val="13"/>
                <w:szCs w:val="13"/>
              </w:rPr>
              <w:t>3</w:t>
            </w:r>
          </w:p>
        </w:tc>
        <w:tc>
          <w:tcPr>
            <w:tcW w:w="3172" w:type="dxa"/>
            <w:vAlign w:val="top"/>
          </w:tcPr>
          <w:p w14:paraId="7FC517D7">
            <w:pPr>
              <w:pStyle w:val="6"/>
              <w:spacing w:before="39" w:line="228" w:lineRule="auto"/>
              <w:ind w:left="15"/>
              <w:rPr>
                <w:sz w:val="20"/>
                <w:szCs w:val="20"/>
              </w:rPr>
            </w:pPr>
            <w:r>
              <w:rPr>
                <w:spacing w:val="9"/>
                <w:sz w:val="20"/>
                <w:szCs w:val="20"/>
              </w:rPr>
              <w:t>废弃泥浆、钻井岩屑拉运至内蒙古</w:t>
            </w:r>
          </w:p>
          <w:p w14:paraId="3FEDCD92">
            <w:pPr>
              <w:pStyle w:val="6"/>
              <w:spacing w:before="24" w:line="227" w:lineRule="auto"/>
              <w:ind w:left="16"/>
              <w:rPr>
                <w:sz w:val="20"/>
                <w:szCs w:val="20"/>
              </w:rPr>
            </w:pPr>
            <w:r>
              <w:rPr>
                <w:spacing w:val="9"/>
                <w:sz w:val="20"/>
                <w:szCs w:val="20"/>
              </w:rPr>
              <w:t>众宁环保科技有限公司油气田废弃</w:t>
            </w:r>
          </w:p>
          <w:p w14:paraId="6C3E8AEE">
            <w:pPr>
              <w:pStyle w:val="6"/>
              <w:spacing w:before="27" w:line="209" w:lineRule="auto"/>
              <w:ind w:left="647"/>
              <w:rPr>
                <w:sz w:val="20"/>
                <w:szCs w:val="20"/>
              </w:rPr>
            </w:pPr>
            <w:r>
              <w:rPr>
                <w:spacing w:val="7"/>
                <w:sz w:val="20"/>
                <w:szCs w:val="20"/>
              </w:rPr>
              <w:t>物集中处理厂处理。</w:t>
            </w:r>
          </w:p>
        </w:tc>
        <w:tc>
          <w:tcPr>
            <w:tcW w:w="1072" w:type="dxa"/>
            <w:tcBorders>
              <w:right w:val="single" w:color="000000" w:sz="6" w:space="0"/>
            </w:tcBorders>
            <w:vAlign w:val="top"/>
          </w:tcPr>
          <w:p w14:paraId="71250C46">
            <w:pPr>
              <w:spacing w:line="283" w:lineRule="auto"/>
              <w:rPr>
                <w:rFonts w:ascii="Arial"/>
                <w:sz w:val="21"/>
              </w:rPr>
            </w:pPr>
          </w:p>
          <w:p w14:paraId="270DF293">
            <w:pPr>
              <w:spacing w:before="58" w:line="199"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218B72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495" w:type="dxa"/>
            <w:vMerge w:val="continue"/>
            <w:tcBorders>
              <w:top w:val="nil"/>
              <w:left w:val="single" w:color="000000" w:sz="6" w:space="0"/>
              <w:bottom w:val="nil"/>
              <w:right w:val="single" w:color="000000" w:sz="2" w:space="0"/>
            </w:tcBorders>
            <w:vAlign w:val="top"/>
          </w:tcPr>
          <w:p w14:paraId="6D1FAC57">
            <w:pPr>
              <w:rPr>
                <w:rFonts w:ascii="Arial"/>
                <w:sz w:val="21"/>
              </w:rPr>
            </w:pPr>
          </w:p>
        </w:tc>
        <w:tc>
          <w:tcPr>
            <w:tcW w:w="712" w:type="dxa"/>
            <w:vMerge w:val="continue"/>
            <w:tcBorders>
              <w:top w:val="nil"/>
              <w:left w:val="single" w:color="000000" w:sz="2" w:space="0"/>
              <w:bottom w:val="nil"/>
            </w:tcBorders>
            <w:vAlign w:val="top"/>
          </w:tcPr>
          <w:p w14:paraId="259CD799">
            <w:pPr>
              <w:rPr>
                <w:rFonts w:ascii="Arial"/>
                <w:sz w:val="21"/>
              </w:rPr>
            </w:pPr>
          </w:p>
        </w:tc>
        <w:tc>
          <w:tcPr>
            <w:tcW w:w="1054" w:type="dxa"/>
            <w:vAlign w:val="top"/>
          </w:tcPr>
          <w:p w14:paraId="384D742A">
            <w:pPr>
              <w:pStyle w:val="6"/>
              <w:spacing w:before="188" w:line="228" w:lineRule="auto"/>
              <w:ind w:left="105"/>
              <w:rPr>
                <w:sz w:val="20"/>
                <w:szCs w:val="20"/>
              </w:rPr>
            </w:pPr>
            <w:r>
              <w:rPr>
                <w:spacing w:val="7"/>
                <w:sz w:val="20"/>
                <w:szCs w:val="20"/>
              </w:rPr>
              <w:t>废润滑油</w:t>
            </w:r>
          </w:p>
        </w:tc>
        <w:tc>
          <w:tcPr>
            <w:tcW w:w="1425" w:type="dxa"/>
            <w:vAlign w:val="top"/>
          </w:tcPr>
          <w:p w14:paraId="7692571E">
            <w:pPr>
              <w:pStyle w:val="6"/>
              <w:spacing w:before="187" w:line="228" w:lineRule="auto"/>
              <w:ind w:left="397"/>
              <w:rPr>
                <w:sz w:val="20"/>
                <w:szCs w:val="20"/>
              </w:rPr>
            </w:pPr>
            <w:r>
              <w:rPr>
                <w:spacing w:val="7"/>
                <w:sz w:val="20"/>
                <w:szCs w:val="20"/>
              </w:rPr>
              <w:t>矿物油</w:t>
            </w:r>
          </w:p>
        </w:tc>
        <w:tc>
          <w:tcPr>
            <w:tcW w:w="971" w:type="dxa"/>
            <w:vAlign w:val="top"/>
          </w:tcPr>
          <w:p w14:paraId="71350561">
            <w:pPr>
              <w:spacing w:before="223"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3"/>
                <w:sz w:val="20"/>
                <w:szCs w:val="20"/>
              </w:rPr>
              <w:t>15t</w:t>
            </w:r>
          </w:p>
        </w:tc>
        <w:tc>
          <w:tcPr>
            <w:tcW w:w="3172" w:type="dxa"/>
            <w:vMerge w:val="restart"/>
            <w:tcBorders>
              <w:bottom w:val="nil"/>
            </w:tcBorders>
            <w:vAlign w:val="top"/>
          </w:tcPr>
          <w:p w14:paraId="093D755F">
            <w:pPr>
              <w:spacing w:line="430" w:lineRule="auto"/>
              <w:rPr>
                <w:rFonts w:ascii="Arial"/>
                <w:sz w:val="21"/>
              </w:rPr>
            </w:pPr>
          </w:p>
          <w:p w14:paraId="31916697">
            <w:pPr>
              <w:pStyle w:val="6"/>
              <w:spacing w:before="65" w:line="251" w:lineRule="auto"/>
              <w:ind w:left="10" w:firstLine="4"/>
              <w:jc w:val="both"/>
              <w:rPr>
                <w:sz w:val="20"/>
                <w:szCs w:val="20"/>
              </w:rPr>
            </w:pPr>
            <w:r>
              <w:rPr>
                <w:spacing w:val="4"/>
                <w:sz w:val="20"/>
                <w:szCs w:val="20"/>
              </w:rPr>
              <w:t>废润滑油、落地油及废防渗材料收</w:t>
            </w:r>
            <w:r>
              <w:rPr>
                <w:spacing w:val="5"/>
                <w:sz w:val="20"/>
                <w:szCs w:val="20"/>
              </w:rPr>
              <w:t>集后，暂存在井场设置的撬装式危</w:t>
            </w:r>
            <w:r>
              <w:rPr>
                <w:spacing w:val="-4"/>
                <w:sz w:val="20"/>
                <w:szCs w:val="20"/>
              </w:rPr>
              <w:t>废贮存点，交有资质单位拉运处置。</w:t>
            </w:r>
          </w:p>
        </w:tc>
        <w:tc>
          <w:tcPr>
            <w:tcW w:w="1072" w:type="dxa"/>
            <w:tcBorders>
              <w:right w:val="single" w:color="000000" w:sz="6" w:space="0"/>
            </w:tcBorders>
            <w:vAlign w:val="top"/>
          </w:tcPr>
          <w:p w14:paraId="0A17E7D7">
            <w:pPr>
              <w:spacing w:before="219" w:line="199"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07AA9B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495" w:type="dxa"/>
            <w:vMerge w:val="continue"/>
            <w:tcBorders>
              <w:top w:val="nil"/>
              <w:left w:val="single" w:color="000000" w:sz="6" w:space="0"/>
              <w:bottom w:val="nil"/>
              <w:right w:val="single" w:color="000000" w:sz="2" w:space="0"/>
            </w:tcBorders>
            <w:vAlign w:val="top"/>
          </w:tcPr>
          <w:p w14:paraId="095A770B">
            <w:pPr>
              <w:rPr>
                <w:rFonts w:ascii="Arial"/>
                <w:sz w:val="21"/>
              </w:rPr>
            </w:pPr>
          </w:p>
        </w:tc>
        <w:tc>
          <w:tcPr>
            <w:tcW w:w="712" w:type="dxa"/>
            <w:vMerge w:val="continue"/>
            <w:tcBorders>
              <w:top w:val="nil"/>
              <w:left w:val="single" w:color="000000" w:sz="2" w:space="0"/>
              <w:bottom w:val="nil"/>
            </w:tcBorders>
            <w:vAlign w:val="top"/>
          </w:tcPr>
          <w:p w14:paraId="008D89F7">
            <w:pPr>
              <w:rPr>
                <w:rFonts w:ascii="Arial"/>
                <w:sz w:val="21"/>
              </w:rPr>
            </w:pPr>
          </w:p>
        </w:tc>
        <w:tc>
          <w:tcPr>
            <w:tcW w:w="1054" w:type="dxa"/>
            <w:vAlign w:val="top"/>
          </w:tcPr>
          <w:p w14:paraId="024BDC4C">
            <w:pPr>
              <w:pStyle w:val="6"/>
              <w:spacing w:before="187" w:line="229" w:lineRule="auto"/>
              <w:ind w:left="210"/>
              <w:rPr>
                <w:sz w:val="20"/>
                <w:szCs w:val="20"/>
              </w:rPr>
            </w:pPr>
            <w:r>
              <w:rPr>
                <w:spacing w:val="6"/>
                <w:sz w:val="20"/>
                <w:szCs w:val="20"/>
              </w:rPr>
              <w:t>落地油</w:t>
            </w:r>
          </w:p>
        </w:tc>
        <w:tc>
          <w:tcPr>
            <w:tcW w:w="1425" w:type="dxa"/>
            <w:vAlign w:val="top"/>
          </w:tcPr>
          <w:p w14:paraId="43A9527B">
            <w:pPr>
              <w:pStyle w:val="6"/>
              <w:spacing w:before="187" w:line="228" w:lineRule="auto"/>
              <w:ind w:left="397"/>
              <w:rPr>
                <w:sz w:val="20"/>
                <w:szCs w:val="20"/>
              </w:rPr>
            </w:pPr>
            <w:r>
              <w:rPr>
                <w:spacing w:val="7"/>
                <w:sz w:val="20"/>
                <w:szCs w:val="20"/>
              </w:rPr>
              <w:t>矿物油</w:t>
            </w:r>
          </w:p>
        </w:tc>
        <w:tc>
          <w:tcPr>
            <w:tcW w:w="971" w:type="dxa"/>
            <w:vAlign w:val="top"/>
          </w:tcPr>
          <w:p w14:paraId="7BFB3535">
            <w:pPr>
              <w:spacing w:before="223"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3"/>
                <w:sz w:val="20"/>
                <w:szCs w:val="20"/>
              </w:rPr>
              <w:t>15t</w:t>
            </w:r>
          </w:p>
        </w:tc>
        <w:tc>
          <w:tcPr>
            <w:tcW w:w="3172" w:type="dxa"/>
            <w:vMerge w:val="continue"/>
            <w:tcBorders>
              <w:top w:val="nil"/>
              <w:bottom w:val="nil"/>
            </w:tcBorders>
            <w:vAlign w:val="top"/>
          </w:tcPr>
          <w:p w14:paraId="1C0DA130">
            <w:pPr>
              <w:rPr>
                <w:rFonts w:ascii="Arial"/>
                <w:sz w:val="21"/>
              </w:rPr>
            </w:pPr>
          </w:p>
        </w:tc>
        <w:tc>
          <w:tcPr>
            <w:tcW w:w="1072" w:type="dxa"/>
            <w:tcBorders>
              <w:right w:val="single" w:color="000000" w:sz="6" w:space="0"/>
            </w:tcBorders>
            <w:vAlign w:val="top"/>
          </w:tcPr>
          <w:p w14:paraId="6F8ACBC6">
            <w:pPr>
              <w:spacing w:before="219" w:line="199"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44DC8A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495" w:type="dxa"/>
            <w:vMerge w:val="continue"/>
            <w:tcBorders>
              <w:top w:val="nil"/>
              <w:left w:val="single" w:color="000000" w:sz="6" w:space="0"/>
              <w:bottom w:val="nil"/>
              <w:right w:val="single" w:color="000000" w:sz="2" w:space="0"/>
            </w:tcBorders>
            <w:vAlign w:val="top"/>
          </w:tcPr>
          <w:p w14:paraId="644645A4">
            <w:pPr>
              <w:rPr>
                <w:rFonts w:ascii="Arial"/>
                <w:sz w:val="21"/>
              </w:rPr>
            </w:pPr>
          </w:p>
        </w:tc>
        <w:tc>
          <w:tcPr>
            <w:tcW w:w="712" w:type="dxa"/>
            <w:vMerge w:val="continue"/>
            <w:tcBorders>
              <w:top w:val="nil"/>
              <w:left w:val="single" w:color="000000" w:sz="2" w:space="0"/>
              <w:bottom w:val="nil"/>
            </w:tcBorders>
            <w:vAlign w:val="top"/>
          </w:tcPr>
          <w:p w14:paraId="44DE2E37">
            <w:pPr>
              <w:rPr>
                <w:rFonts w:ascii="Arial"/>
                <w:sz w:val="21"/>
              </w:rPr>
            </w:pPr>
          </w:p>
        </w:tc>
        <w:tc>
          <w:tcPr>
            <w:tcW w:w="1054" w:type="dxa"/>
            <w:vAlign w:val="top"/>
          </w:tcPr>
          <w:p w14:paraId="1EF21035">
            <w:pPr>
              <w:pStyle w:val="6"/>
              <w:spacing w:before="54" w:line="234" w:lineRule="auto"/>
              <w:ind w:left="420" w:right="108" w:hanging="315"/>
              <w:rPr>
                <w:sz w:val="20"/>
                <w:szCs w:val="20"/>
              </w:rPr>
            </w:pPr>
            <w:r>
              <w:rPr>
                <w:spacing w:val="7"/>
                <w:sz w:val="20"/>
                <w:szCs w:val="20"/>
              </w:rPr>
              <w:t>废防渗材</w:t>
            </w:r>
            <w:r>
              <w:rPr>
                <w:sz w:val="20"/>
                <w:szCs w:val="20"/>
              </w:rPr>
              <w:t>料</w:t>
            </w:r>
          </w:p>
        </w:tc>
        <w:tc>
          <w:tcPr>
            <w:tcW w:w="1425" w:type="dxa"/>
            <w:vAlign w:val="top"/>
          </w:tcPr>
          <w:p w14:paraId="5D9A271C">
            <w:pPr>
              <w:pStyle w:val="6"/>
              <w:spacing w:before="189" w:line="228" w:lineRule="auto"/>
              <w:ind w:left="397"/>
              <w:rPr>
                <w:sz w:val="20"/>
                <w:szCs w:val="20"/>
              </w:rPr>
            </w:pPr>
            <w:r>
              <w:rPr>
                <w:spacing w:val="7"/>
                <w:sz w:val="20"/>
                <w:szCs w:val="20"/>
              </w:rPr>
              <w:t>矿物油</w:t>
            </w:r>
          </w:p>
        </w:tc>
        <w:tc>
          <w:tcPr>
            <w:tcW w:w="971" w:type="dxa"/>
            <w:vAlign w:val="top"/>
          </w:tcPr>
          <w:p w14:paraId="7089B8E4">
            <w:pPr>
              <w:spacing w:before="225" w:line="195" w:lineRule="auto"/>
              <w:ind w:left="3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0.5t</w:t>
            </w:r>
          </w:p>
        </w:tc>
        <w:tc>
          <w:tcPr>
            <w:tcW w:w="3172" w:type="dxa"/>
            <w:vMerge w:val="continue"/>
            <w:tcBorders>
              <w:top w:val="nil"/>
            </w:tcBorders>
            <w:vAlign w:val="top"/>
          </w:tcPr>
          <w:p w14:paraId="27656023">
            <w:pPr>
              <w:rPr>
                <w:rFonts w:ascii="Arial"/>
                <w:sz w:val="21"/>
              </w:rPr>
            </w:pPr>
          </w:p>
        </w:tc>
        <w:tc>
          <w:tcPr>
            <w:tcW w:w="1072" w:type="dxa"/>
            <w:tcBorders>
              <w:right w:val="single" w:color="000000" w:sz="6" w:space="0"/>
            </w:tcBorders>
            <w:vAlign w:val="top"/>
          </w:tcPr>
          <w:p w14:paraId="356FCB3E">
            <w:pPr>
              <w:spacing w:before="221" w:line="199"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5767CB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495" w:type="dxa"/>
            <w:vMerge w:val="continue"/>
            <w:tcBorders>
              <w:top w:val="nil"/>
              <w:left w:val="single" w:color="000000" w:sz="6" w:space="0"/>
              <w:bottom w:val="single" w:color="000000" w:sz="6" w:space="0"/>
              <w:right w:val="single" w:color="000000" w:sz="2" w:space="0"/>
            </w:tcBorders>
            <w:vAlign w:val="top"/>
          </w:tcPr>
          <w:p w14:paraId="32A4EBA2">
            <w:pPr>
              <w:rPr>
                <w:rFonts w:ascii="Arial"/>
                <w:sz w:val="21"/>
              </w:rPr>
            </w:pPr>
          </w:p>
        </w:tc>
        <w:tc>
          <w:tcPr>
            <w:tcW w:w="712" w:type="dxa"/>
            <w:vMerge w:val="continue"/>
            <w:tcBorders>
              <w:top w:val="nil"/>
              <w:left w:val="single" w:color="000000" w:sz="2" w:space="0"/>
              <w:bottom w:val="single" w:color="000000" w:sz="6" w:space="0"/>
            </w:tcBorders>
            <w:vAlign w:val="top"/>
          </w:tcPr>
          <w:p w14:paraId="1EA0EBF5">
            <w:pPr>
              <w:rPr>
                <w:rFonts w:ascii="Arial"/>
                <w:sz w:val="21"/>
              </w:rPr>
            </w:pPr>
          </w:p>
        </w:tc>
        <w:tc>
          <w:tcPr>
            <w:tcW w:w="1054" w:type="dxa"/>
            <w:tcBorders>
              <w:bottom w:val="single" w:color="000000" w:sz="6" w:space="0"/>
            </w:tcBorders>
            <w:vAlign w:val="top"/>
          </w:tcPr>
          <w:p w14:paraId="66AE4816">
            <w:pPr>
              <w:pStyle w:val="6"/>
              <w:spacing w:before="178" w:line="228" w:lineRule="auto"/>
              <w:ind w:left="107"/>
              <w:rPr>
                <w:sz w:val="20"/>
                <w:szCs w:val="20"/>
              </w:rPr>
            </w:pPr>
            <w:r>
              <w:rPr>
                <w:spacing w:val="6"/>
                <w:sz w:val="20"/>
                <w:szCs w:val="20"/>
              </w:rPr>
              <w:t>生活垃圾</w:t>
            </w:r>
          </w:p>
        </w:tc>
        <w:tc>
          <w:tcPr>
            <w:tcW w:w="1425" w:type="dxa"/>
            <w:tcBorders>
              <w:bottom w:val="single" w:color="000000" w:sz="6" w:space="0"/>
            </w:tcBorders>
            <w:vAlign w:val="top"/>
          </w:tcPr>
          <w:p w14:paraId="6B550C6C">
            <w:pPr>
              <w:pStyle w:val="6"/>
              <w:spacing w:before="178" w:line="228" w:lineRule="auto"/>
              <w:ind w:left="294"/>
              <w:rPr>
                <w:sz w:val="20"/>
                <w:szCs w:val="20"/>
              </w:rPr>
            </w:pPr>
            <w:r>
              <w:rPr>
                <w:spacing w:val="6"/>
                <w:sz w:val="20"/>
                <w:szCs w:val="20"/>
              </w:rPr>
              <w:t>生活垃圾</w:t>
            </w:r>
          </w:p>
        </w:tc>
        <w:tc>
          <w:tcPr>
            <w:tcW w:w="971" w:type="dxa"/>
            <w:tcBorders>
              <w:bottom w:val="single" w:color="000000" w:sz="6" w:space="0"/>
            </w:tcBorders>
            <w:vAlign w:val="top"/>
          </w:tcPr>
          <w:p w14:paraId="1A76C490">
            <w:pPr>
              <w:spacing w:before="215" w:line="195" w:lineRule="auto"/>
              <w:ind w:left="3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1.8t</w:t>
            </w:r>
          </w:p>
        </w:tc>
        <w:tc>
          <w:tcPr>
            <w:tcW w:w="3172" w:type="dxa"/>
            <w:tcBorders>
              <w:bottom w:val="single" w:color="000000" w:sz="6" w:space="0"/>
            </w:tcBorders>
            <w:vAlign w:val="top"/>
          </w:tcPr>
          <w:p w14:paraId="71628A5A">
            <w:pPr>
              <w:pStyle w:val="6"/>
              <w:spacing w:before="43" w:line="247" w:lineRule="auto"/>
              <w:ind w:left="16" w:right="5"/>
              <w:rPr>
                <w:sz w:val="20"/>
                <w:szCs w:val="20"/>
              </w:rPr>
            </w:pPr>
            <w:r>
              <w:rPr>
                <w:spacing w:val="9"/>
                <w:sz w:val="20"/>
                <w:szCs w:val="20"/>
              </w:rPr>
              <w:t>井场设置垃圾桶，集中收集后，拉</w:t>
            </w:r>
            <w:r>
              <w:rPr>
                <w:spacing w:val="6"/>
                <w:sz w:val="20"/>
                <w:szCs w:val="20"/>
              </w:rPr>
              <w:t>运至当地乡镇生活垃圾点，</w:t>
            </w:r>
            <w:r>
              <w:rPr>
                <w:spacing w:val="-51"/>
                <w:sz w:val="20"/>
                <w:szCs w:val="20"/>
              </w:rPr>
              <w:t xml:space="preserve"> </w:t>
            </w:r>
            <w:r>
              <w:rPr>
                <w:spacing w:val="6"/>
                <w:sz w:val="20"/>
                <w:szCs w:val="20"/>
              </w:rPr>
              <w:t>由当地</w:t>
            </w:r>
          </w:p>
        </w:tc>
        <w:tc>
          <w:tcPr>
            <w:tcW w:w="1072" w:type="dxa"/>
            <w:tcBorders>
              <w:bottom w:val="single" w:color="000000" w:sz="6" w:space="0"/>
              <w:right w:val="single" w:color="000000" w:sz="6" w:space="0"/>
            </w:tcBorders>
            <w:vAlign w:val="top"/>
          </w:tcPr>
          <w:p w14:paraId="4BFE18CC">
            <w:pPr>
              <w:spacing w:before="212" w:line="199"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bl>
    <w:p w14:paraId="75D60629">
      <w:pPr>
        <w:rPr>
          <w:rFonts w:ascii="Arial"/>
          <w:sz w:val="21"/>
        </w:rPr>
      </w:pPr>
    </w:p>
    <w:p w14:paraId="52796A5F">
      <w:pPr>
        <w:rPr>
          <w:rFonts w:ascii="Arial" w:hAnsi="Arial" w:eastAsia="Arial" w:cs="Arial"/>
          <w:sz w:val="21"/>
          <w:szCs w:val="21"/>
        </w:rPr>
        <w:sectPr>
          <w:footerReference r:id="rId89" w:type="default"/>
          <w:pgSz w:w="11906" w:h="16839"/>
          <w:pgMar w:top="400" w:right="1410" w:bottom="1240" w:left="1579" w:header="0" w:footer="1078" w:gutter="0"/>
          <w:cols w:space="720" w:num="1"/>
        </w:sectPr>
      </w:pPr>
    </w:p>
    <w:p w14:paraId="6A09A032">
      <w:pPr>
        <w:spacing w:before="56"/>
      </w:pPr>
    </w:p>
    <w:p w14:paraId="4FFDE8C4">
      <w:pPr>
        <w:spacing w:before="56"/>
      </w:pPr>
    </w:p>
    <w:p w14:paraId="0D97296A">
      <w:pPr>
        <w:spacing w:before="55"/>
      </w:pPr>
    </w:p>
    <w:p w14:paraId="2895C879">
      <w:pPr>
        <w:spacing w:before="55"/>
      </w:pPr>
    </w:p>
    <w:tbl>
      <w:tblPr>
        <w:tblStyle w:val="5"/>
        <w:tblW w:w="890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95"/>
        <w:gridCol w:w="712"/>
        <w:gridCol w:w="1054"/>
        <w:gridCol w:w="1425"/>
        <w:gridCol w:w="971"/>
        <w:gridCol w:w="3172"/>
        <w:gridCol w:w="1072"/>
      </w:tblGrid>
      <w:tr w14:paraId="0503F1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7" w:hRule="atLeast"/>
        </w:trPr>
        <w:tc>
          <w:tcPr>
            <w:tcW w:w="495" w:type="dxa"/>
            <w:vMerge w:val="restart"/>
            <w:tcBorders>
              <w:bottom w:val="nil"/>
              <w:right w:val="single" w:color="000000" w:sz="2" w:space="0"/>
            </w:tcBorders>
            <w:vAlign w:val="top"/>
          </w:tcPr>
          <w:p w14:paraId="782F2F50">
            <w:pPr>
              <w:rPr>
                <w:rFonts w:ascii="Arial"/>
                <w:sz w:val="21"/>
              </w:rPr>
            </w:pPr>
          </w:p>
        </w:tc>
        <w:tc>
          <w:tcPr>
            <w:tcW w:w="712" w:type="dxa"/>
            <w:tcBorders>
              <w:left w:val="single" w:color="000000" w:sz="2" w:space="0"/>
              <w:bottom w:val="single" w:color="000000" w:sz="10" w:space="0"/>
              <w:right w:val="single" w:color="000000" w:sz="4" w:space="0"/>
            </w:tcBorders>
            <w:vAlign w:val="top"/>
          </w:tcPr>
          <w:p w14:paraId="26FA4E46">
            <w:pPr>
              <w:rPr>
                <w:rFonts w:ascii="Arial"/>
                <w:sz w:val="21"/>
              </w:rPr>
            </w:pPr>
          </w:p>
        </w:tc>
        <w:tc>
          <w:tcPr>
            <w:tcW w:w="1054" w:type="dxa"/>
            <w:tcBorders>
              <w:left w:val="single" w:color="000000" w:sz="4" w:space="0"/>
              <w:bottom w:val="single" w:color="000000" w:sz="10" w:space="0"/>
              <w:right w:val="single" w:color="000000" w:sz="4" w:space="0"/>
            </w:tcBorders>
            <w:vAlign w:val="top"/>
          </w:tcPr>
          <w:p w14:paraId="3752CF56">
            <w:pPr>
              <w:rPr>
                <w:rFonts w:ascii="Arial"/>
                <w:sz w:val="21"/>
              </w:rPr>
            </w:pPr>
          </w:p>
        </w:tc>
        <w:tc>
          <w:tcPr>
            <w:tcW w:w="1425" w:type="dxa"/>
            <w:tcBorders>
              <w:left w:val="single" w:color="000000" w:sz="4" w:space="0"/>
              <w:bottom w:val="single" w:color="000000" w:sz="10" w:space="0"/>
              <w:right w:val="single" w:color="000000" w:sz="4" w:space="0"/>
            </w:tcBorders>
            <w:vAlign w:val="top"/>
          </w:tcPr>
          <w:p w14:paraId="22F1976B">
            <w:pPr>
              <w:rPr>
                <w:rFonts w:ascii="Arial"/>
                <w:sz w:val="21"/>
              </w:rPr>
            </w:pPr>
          </w:p>
        </w:tc>
        <w:tc>
          <w:tcPr>
            <w:tcW w:w="971" w:type="dxa"/>
            <w:tcBorders>
              <w:left w:val="single" w:color="000000" w:sz="4" w:space="0"/>
              <w:bottom w:val="single" w:color="000000" w:sz="10" w:space="0"/>
              <w:right w:val="single" w:color="000000" w:sz="4" w:space="0"/>
            </w:tcBorders>
            <w:vAlign w:val="top"/>
          </w:tcPr>
          <w:p w14:paraId="65DEC255">
            <w:pPr>
              <w:rPr>
                <w:rFonts w:ascii="Arial"/>
                <w:sz w:val="21"/>
              </w:rPr>
            </w:pPr>
          </w:p>
        </w:tc>
        <w:tc>
          <w:tcPr>
            <w:tcW w:w="3172" w:type="dxa"/>
            <w:tcBorders>
              <w:left w:val="single" w:color="000000" w:sz="4" w:space="0"/>
              <w:bottom w:val="single" w:color="000000" w:sz="10" w:space="0"/>
              <w:right w:val="single" w:color="000000" w:sz="4" w:space="0"/>
            </w:tcBorders>
            <w:vAlign w:val="top"/>
          </w:tcPr>
          <w:p w14:paraId="3FA5BD62">
            <w:pPr>
              <w:pStyle w:val="6"/>
              <w:spacing w:before="51" w:line="228" w:lineRule="auto"/>
              <w:ind w:left="856"/>
              <w:rPr>
                <w:sz w:val="20"/>
                <w:szCs w:val="20"/>
              </w:rPr>
            </w:pPr>
            <w:r>
              <w:rPr>
                <w:spacing w:val="7"/>
                <w:sz w:val="20"/>
                <w:szCs w:val="20"/>
              </w:rPr>
              <w:t>环卫部门处理。</w:t>
            </w:r>
          </w:p>
        </w:tc>
        <w:tc>
          <w:tcPr>
            <w:tcW w:w="1072" w:type="dxa"/>
            <w:tcBorders>
              <w:left w:val="single" w:color="000000" w:sz="4" w:space="0"/>
              <w:bottom w:val="single" w:color="000000" w:sz="10" w:space="0"/>
            </w:tcBorders>
            <w:vAlign w:val="top"/>
          </w:tcPr>
          <w:p w14:paraId="7ADDDE9B">
            <w:pPr>
              <w:rPr>
                <w:rFonts w:ascii="Arial"/>
                <w:sz w:val="21"/>
              </w:rPr>
            </w:pPr>
          </w:p>
        </w:tc>
      </w:tr>
      <w:tr w14:paraId="1A28C2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89" w:hRule="atLeast"/>
        </w:trPr>
        <w:tc>
          <w:tcPr>
            <w:tcW w:w="495" w:type="dxa"/>
            <w:vMerge w:val="continue"/>
            <w:tcBorders>
              <w:top w:val="nil"/>
              <w:bottom w:val="single" w:color="000000" w:sz="2" w:space="0"/>
              <w:right w:val="single" w:color="000000" w:sz="2" w:space="0"/>
            </w:tcBorders>
            <w:vAlign w:val="top"/>
          </w:tcPr>
          <w:p w14:paraId="5CAF5EAA">
            <w:pPr>
              <w:rPr>
                <w:rFonts w:ascii="Arial"/>
                <w:sz w:val="21"/>
              </w:rPr>
            </w:pPr>
          </w:p>
        </w:tc>
        <w:tc>
          <w:tcPr>
            <w:tcW w:w="8406" w:type="dxa"/>
            <w:gridSpan w:val="6"/>
            <w:tcBorders>
              <w:top w:val="single" w:color="000000" w:sz="10" w:space="0"/>
              <w:left w:val="single" w:color="000000" w:sz="2" w:space="0"/>
              <w:bottom w:val="single" w:color="000000" w:sz="2" w:space="0"/>
            </w:tcBorders>
            <w:vAlign w:val="top"/>
          </w:tcPr>
          <w:p w14:paraId="7E6E2037">
            <w:pPr>
              <w:rPr>
                <w:rFonts w:ascii="Arial"/>
                <w:sz w:val="21"/>
              </w:rPr>
            </w:pPr>
          </w:p>
        </w:tc>
      </w:tr>
      <w:tr w14:paraId="17C8EC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580" w:hRule="atLeast"/>
        </w:trPr>
        <w:tc>
          <w:tcPr>
            <w:tcW w:w="495" w:type="dxa"/>
            <w:tcBorders>
              <w:top w:val="single" w:color="000000" w:sz="2" w:space="0"/>
              <w:right w:val="single" w:color="000000" w:sz="2" w:space="0"/>
            </w:tcBorders>
            <w:textDirection w:val="tbRlV"/>
            <w:vAlign w:val="top"/>
          </w:tcPr>
          <w:p w14:paraId="07FC1ECD">
            <w:pPr>
              <w:pStyle w:val="6"/>
              <w:spacing w:before="137" w:line="209" w:lineRule="auto"/>
              <w:ind w:left="3115"/>
            </w:pPr>
            <w:r>
              <w:rPr>
                <w:b/>
                <w:bCs/>
                <w:spacing w:val="23"/>
                <w:w w:val="116"/>
              </w:rPr>
              <w:t>运营期生态环境影响分析</w:t>
            </w:r>
          </w:p>
        </w:tc>
        <w:tc>
          <w:tcPr>
            <w:tcW w:w="8406" w:type="dxa"/>
            <w:gridSpan w:val="6"/>
            <w:tcBorders>
              <w:top w:val="single" w:color="000000" w:sz="2" w:space="0"/>
              <w:left w:val="single" w:color="000000" w:sz="2" w:space="0"/>
            </w:tcBorders>
            <w:vAlign w:val="top"/>
          </w:tcPr>
          <w:p w14:paraId="1D5B5F97">
            <w:pPr>
              <w:pStyle w:val="6"/>
              <w:spacing w:before="39" w:line="219" w:lineRule="auto"/>
              <w:ind w:left="592"/>
            </w:pPr>
            <w:r>
              <w:rPr>
                <w:spacing w:val="-1"/>
              </w:rPr>
              <w:t>项目为石油勘探工程，不包括运营期，因此无运营期污染。</w:t>
            </w:r>
          </w:p>
        </w:tc>
      </w:tr>
    </w:tbl>
    <w:p w14:paraId="33EE4D7A">
      <w:pPr>
        <w:rPr>
          <w:rFonts w:ascii="Arial"/>
          <w:sz w:val="21"/>
        </w:rPr>
      </w:pPr>
    </w:p>
    <w:p w14:paraId="05A0FCFD">
      <w:pPr>
        <w:rPr>
          <w:rFonts w:ascii="Arial" w:hAnsi="Arial" w:eastAsia="Arial" w:cs="Arial"/>
          <w:sz w:val="21"/>
          <w:szCs w:val="21"/>
        </w:rPr>
        <w:sectPr>
          <w:footerReference r:id="rId90" w:type="default"/>
          <w:pgSz w:w="11906" w:h="16839"/>
          <w:pgMar w:top="400" w:right="1410" w:bottom="1240" w:left="1579" w:header="0" w:footer="1078" w:gutter="0"/>
          <w:cols w:space="720" w:num="1"/>
        </w:sectPr>
      </w:pPr>
    </w:p>
    <w:p w14:paraId="21C36BFF">
      <w:pPr>
        <w:spacing w:before="56"/>
      </w:pPr>
    </w:p>
    <w:p w14:paraId="0899A766">
      <w:pPr>
        <w:spacing w:before="56"/>
      </w:pPr>
    </w:p>
    <w:p w14:paraId="716907C8">
      <w:pPr>
        <w:spacing w:before="55"/>
      </w:pPr>
    </w:p>
    <w:p w14:paraId="0125C6C3">
      <w:pPr>
        <w:spacing w:before="55"/>
      </w:pPr>
    </w:p>
    <w:tbl>
      <w:tblPr>
        <w:tblStyle w:val="5"/>
        <w:tblW w:w="8901"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5"/>
        <w:gridCol w:w="3753"/>
        <w:gridCol w:w="3577"/>
        <w:gridCol w:w="1076"/>
      </w:tblGrid>
      <w:tr w14:paraId="573F2A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6" w:hRule="atLeast"/>
        </w:trPr>
        <w:tc>
          <w:tcPr>
            <w:tcW w:w="495" w:type="dxa"/>
            <w:vMerge w:val="restart"/>
            <w:tcBorders>
              <w:top w:val="single" w:color="000000" w:sz="6" w:space="0"/>
              <w:left w:val="single" w:color="000000" w:sz="6" w:space="0"/>
              <w:bottom w:val="nil"/>
              <w:right w:val="single" w:color="000000" w:sz="2" w:space="0"/>
            </w:tcBorders>
            <w:textDirection w:val="tbRlV"/>
            <w:vAlign w:val="top"/>
          </w:tcPr>
          <w:p w14:paraId="0B4FE99E">
            <w:pPr>
              <w:pStyle w:val="6"/>
              <w:spacing w:before="138" w:line="209" w:lineRule="auto"/>
              <w:ind w:left="5211"/>
            </w:pPr>
            <w:r>
              <w:rPr>
                <w:b/>
                <w:bCs/>
                <w:spacing w:val="23"/>
                <w:w w:val="116"/>
              </w:rPr>
              <w:t>选址选线环境合理性分析</w:t>
            </w:r>
          </w:p>
        </w:tc>
        <w:tc>
          <w:tcPr>
            <w:tcW w:w="8406" w:type="dxa"/>
            <w:gridSpan w:val="3"/>
            <w:tcBorders>
              <w:top w:val="single" w:color="000000" w:sz="6" w:space="0"/>
              <w:left w:val="single" w:color="000000" w:sz="2" w:space="0"/>
              <w:bottom w:val="single" w:color="000000" w:sz="10" w:space="0"/>
              <w:right w:val="single" w:color="000000" w:sz="6" w:space="0"/>
            </w:tcBorders>
            <w:vAlign w:val="top"/>
          </w:tcPr>
          <w:p w14:paraId="03EF2243">
            <w:pPr>
              <w:pStyle w:val="6"/>
              <w:spacing w:before="41" w:line="359" w:lineRule="auto"/>
              <w:ind w:left="108" w:right="142" w:firstLine="483"/>
              <w:jc w:val="both"/>
            </w:pPr>
            <w:r>
              <w:rPr>
                <w:spacing w:val="19"/>
              </w:rPr>
              <w:t>项</w:t>
            </w:r>
            <w:r>
              <w:rPr>
                <w:spacing w:val="-38"/>
              </w:rPr>
              <w:t xml:space="preserve"> </w:t>
            </w:r>
            <w:r>
              <w:rPr>
                <w:spacing w:val="19"/>
              </w:rPr>
              <w:t>目位于巴彦淖尔市磴口县隆盛合镇塔布村</w:t>
            </w:r>
            <w:r>
              <w:rPr>
                <w:spacing w:val="-62"/>
              </w:rPr>
              <w:t xml:space="preserve"> </w:t>
            </w:r>
            <w:r>
              <w:rPr>
                <w:spacing w:val="19"/>
              </w:rPr>
              <w:t>，井场</w:t>
            </w:r>
            <w:r>
              <w:rPr>
                <w:spacing w:val="18"/>
              </w:rPr>
              <w:t>中心地理坐标：</w:t>
            </w:r>
            <w:r>
              <w:t xml:space="preserve"> </w:t>
            </w:r>
            <w:r>
              <w:rPr>
                <w:rFonts w:ascii="Times New Roman" w:hAnsi="Times New Roman" w:eastAsia="Times New Roman" w:cs="Times New Roman"/>
                <w:spacing w:val="-3"/>
              </w:rPr>
              <w:t>106°54,28.959″</w:t>
            </w:r>
            <w:r>
              <w:rPr>
                <w:rFonts w:ascii="Times New Roman" w:hAnsi="Times New Roman" w:eastAsia="Times New Roman" w:cs="Times New Roman"/>
                <w:spacing w:val="-30"/>
              </w:rPr>
              <w:t xml:space="preserve"> </w:t>
            </w:r>
            <w:r>
              <w:rPr>
                <w:spacing w:val="-3"/>
              </w:rPr>
              <w:t>，</w:t>
            </w:r>
            <w:r>
              <w:rPr>
                <w:rFonts w:ascii="Times New Roman" w:hAnsi="Times New Roman" w:eastAsia="Times New Roman" w:cs="Times New Roman"/>
                <w:spacing w:val="-3"/>
              </w:rPr>
              <w:t>40°39,57.514″</w:t>
            </w:r>
            <w:r>
              <w:rPr>
                <w:rFonts w:ascii="Times New Roman" w:hAnsi="Times New Roman" w:eastAsia="Times New Roman" w:cs="Times New Roman"/>
                <w:spacing w:val="-30"/>
              </w:rPr>
              <w:t xml:space="preserve"> </w:t>
            </w:r>
            <w:r>
              <w:rPr>
                <w:spacing w:val="-3"/>
              </w:rPr>
              <w:t>，</w:t>
            </w:r>
            <w:r>
              <w:rPr>
                <w:spacing w:val="-71"/>
              </w:rPr>
              <w:t xml:space="preserve"> </w:t>
            </w:r>
            <w:r>
              <w:rPr>
                <w:spacing w:val="-3"/>
              </w:rPr>
              <w:t>占地类型为农用地，</w:t>
            </w:r>
            <w:r>
              <w:rPr>
                <w:spacing w:val="-4"/>
              </w:rPr>
              <w:t>土地利用现状为水浇地、</w:t>
            </w:r>
            <w:r>
              <w:rPr>
                <w:spacing w:val="-1"/>
              </w:rPr>
              <w:t>沟渠，井场四周均为耕地。</w:t>
            </w:r>
          </w:p>
          <w:p w14:paraId="11E8712D">
            <w:pPr>
              <w:pStyle w:val="6"/>
              <w:spacing w:line="359" w:lineRule="auto"/>
              <w:ind w:left="108" w:right="102" w:firstLine="483"/>
            </w:pPr>
            <w:r>
              <w:rPr>
                <w:spacing w:val="-1"/>
              </w:rPr>
              <w:t>项目井场占地需满足“地上服从地下</w:t>
            </w:r>
            <w:r>
              <w:rPr>
                <w:spacing w:val="-69"/>
              </w:rPr>
              <w:t xml:space="preserve"> </w:t>
            </w:r>
            <w:r>
              <w:rPr>
                <w:spacing w:val="-1"/>
              </w:rPr>
              <w:t>”的原则，只有地下有油，地上才占</w:t>
            </w:r>
            <w:r>
              <w:t>地钻探，通过前期预探明确了扎格构造是石油地质条</w:t>
            </w:r>
            <w:r>
              <w:rPr>
                <w:spacing w:val="-1"/>
              </w:rPr>
              <w:t>件较好的储油凹陷之一。</w:t>
            </w:r>
          </w:p>
          <w:p w14:paraId="76B34430">
            <w:pPr>
              <w:pStyle w:val="6"/>
              <w:spacing w:before="5" w:line="358" w:lineRule="auto"/>
              <w:ind w:left="107" w:right="74" w:firstLine="485"/>
            </w:pPr>
            <w:r>
              <w:rPr>
                <w:spacing w:val="1"/>
              </w:rPr>
              <w:t>该区域储油凹陷区上方基本均为基本农田和村庄</w:t>
            </w:r>
            <w:r>
              <w:t>用地，基本农田保护率较</w:t>
            </w:r>
            <w:r>
              <w:rPr>
                <w:spacing w:val="1"/>
              </w:rPr>
              <w:t>高，村庄外围基本全部为农田，无可利用的建设用地，因此占</w:t>
            </w:r>
            <w:r>
              <w:t>用基本农田不可</w:t>
            </w:r>
            <w:r>
              <w:rPr>
                <w:spacing w:val="-3"/>
              </w:rPr>
              <w:t>避免。石油勘探工作为</w:t>
            </w:r>
            <w:r>
              <w:rPr>
                <w:spacing w:val="-38"/>
              </w:rPr>
              <w:t xml:space="preserve"> </w:t>
            </w:r>
            <w:r>
              <w:rPr>
                <w:rFonts w:ascii="Times New Roman" w:hAnsi="Times New Roman" w:eastAsia="Times New Roman" w:cs="Times New Roman"/>
                <w:spacing w:val="-3"/>
              </w:rPr>
              <w:t>24</w:t>
            </w:r>
            <w:r>
              <w:rPr>
                <w:rFonts w:ascii="Times New Roman" w:hAnsi="Times New Roman" w:eastAsia="Times New Roman" w:cs="Times New Roman"/>
                <w:spacing w:val="16"/>
              </w:rPr>
              <w:t xml:space="preserve"> </w:t>
            </w:r>
            <w:r>
              <w:rPr>
                <w:spacing w:val="-3"/>
              </w:rPr>
              <w:t>小时作业，为了降低对周边居民生产、生活的影响，</w:t>
            </w:r>
            <w:r>
              <w:rPr>
                <w:spacing w:val="1"/>
              </w:rPr>
              <w:t>选址尽量远离村庄居住区。在避让村庄居住区、符合井场布置</w:t>
            </w:r>
            <w:r>
              <w:t>技术并满足项目</w:t>
            </w:r>
            <w:r>
              <w:rPr>
                <w:spacing w:val="-1"/>
              </w:rPr>
              <w:t>钻探目的的要求后，最终选定当前井位。</w:t>
            </w:r>
          </w:p>
          <w:p w14:paraId="6E4ECB28">
            <w:pPr>
              <w:pStyle w:val="6"/>
              <w:spacing w:before="2" w:line="359" w:lineRule="auto"/>
              <w:ind w:left="107" w:right="100" w:firstLine="504"/>
            </w:pPr>
            <w:r>
              <w:t>同时，项目所在地无自然保护区、风景名胜区、集中式饮用水水源保护区</w:t>
            </w:r>
            <w:r>
              <w:rPr>
                <w:spacing w:val="-1"/>
              </w:rPr>
              <w:t>及其他需要特别保护的区域内，无重大的环境制约因素。</w:t>
            </w:r>
          </w:p>
          <w:p w14:paraId="5AF06F93">
            <w:pPr>
              <w:pStyle w:val="6"/>
              <w:spacing w:before="2" w:line="358" w:lineRule="auto"/>
              <w:ind w:left="120" w:right="13" w:firstLine="468"/>
              <w:jc w:val="both"/>
            </w:pPr>
            <w:r>
              <w:rPr>
                <w:spacing w:val="2"/>
              </w:rPr>
              <w:t>根据现场勘查，扎格</w:t>
            </w:r>
            <w:r>
              <w:rPr>
                <w:spacing w:val="-46"/>
              </w:rPr>
              <w:t xml:space="preserve"> </w:t>
            </w:r>
            <w:r>
              <w:rPr>
                <w:rFonts w:ascii="Times New Roman" w:hAnsi="Times New Roman" w:eastAsia="Times New Roman" w:cs="Times New Roman"/>
                <w:spacing w:val="2"/>
              </w:rPr>
              <w:t xml:space="preserve">9X </w:t>
            </w:r>
            <w:r>
              <w:rPr>
                <w:spacing w:val="2"/>
              </w:rPr>
              <w:t>井场选址满足《石油天然气钻井井控技术要求》</w:t>
            </w:r>
            <w:r>
              <w:t xml:space="preserve"> </w:t>
            </w:r>
            <w:r>
              <w:rPr>
                <w:spacing w:val="-1"/>
              </w:rPr>
              <w:t>（</w:t>
            </w:r>
            <w:r>
              <w:rPr>
                <w:rFonts w:ascii="Times New Roman" w:hAnsi="Times New Roman" w:eastAsia="Times New Roman" w:cs="Times New Roman"/>
                <w:spacing w:val="-1"/>
              </w:rPr>
              <w:t>GB/T31033-2025</w:t>
            </w:r>
            <w:r>
              <w:rPr>
                <w:spacing w:val="-1"/>
              </w:rPr>
              <w:t>）以及《钻前工程及井场布置技术要求》（</w:t>
            </w:r>
            <w:r>
              <w:rPr>
                <w:rFonts w:ascii="Times New Roman" w:hAnsi="Times New Roman" w:eastAsia="Times New Roman" w:cs="Times New Roman"/>
                <w:spacing w:val="-1"/>
              </w:rPr>
              <w:t>SY/T5466-2013</w:t>
            </w:r>
            <w:r>
              <w:rPr>
                <w:spacing w:val="-1"/>
              </w:rPr>
              <w:t>）</w:t>
            </w:r>
            <w:r>
              <w:rPr>
                <w:spacing w:val="-2"/>
              </w:rPr>
              <w:t>中相关安全距离的要求。</w:t>
            </w:r>
          </w:p>
          <w:p w14:paraId="1C0269C7">
            <w:pPr>
              <w:spacing w:before="2" w:line="209" w:lineRule="auto"/>
              <w:ind w:left="2728"/>
              <w:rPr>
                <w:rFonts w:ascii="黑体" w:hAnsi="黑体" w:eastAsia="黑体" w:cs="黑体"/>
                <w:sz w:val="24"/>
                <w:szCs w:val="24"/>
              </w:rPr>
            </w:pPr>
            <w:r>
              <w:rPr>
                <w:rFonts w:ascii="黑体" w:hAnsi="黑体" w:eastAsia="黑体" w:cs="黑体"/>
                <w:spacing w:val="-3"/>
                <w:sz w:val="24"/>
                <w:szCs w:val="24"/>
              </w:rPr>
              <w:t>表</w:t>
            </w:r>
            <w:r>
              <w:rPr>
                <w:rFonts w:ascii="Times New Roman" w:hAnsi="Times New Roman" w:eastAsia="Times New Roman" w:cs="Times New Roman"/>
                <w:spacing w:val="-3"/>
                <w:sz w:val="24"/>
                <w:szCs w:val="24"/>
              </w:rPr>
              <w:t>4-</w:t>
            </w:r>
            <w:r>
              <w:rPr>
                <w:rFonts w:ascii="Times New Roman" w:hAnsi="Times New Roman" w:eastAsia="Times New Roman" w:cs="Times New Roman"/>
                <w:spacing w:val="-27"/>
                <w:sz w:val="24"/>
                <w:szCs w:val="24"/>
              </w:rPr>
              <w:t xml:space="preserve"> </w:t>
            </w:r>
            <w:r>
              <w:rPr>
                <w:rFonts w:ascii="Times New Roman" w:hAnsi="Times New Roman" w:eastAsia="Times New Roman" w:cs="Times New Roman"/>
                <w:spacing w:val="-3"/>
                <w:sz w:val="24"/>
                <w:szCs w:val="24"/>
              </w:rPr>
              <w:t xml:space="preserve">19  </w:t>
            </w:r>
            <w:r>
              <w:rPr>
                <w:rFonts w:ascii="黑体" w:hAnsi="黑体" w:eastAsia="黑体" w:cs="黑体"/>
                <w:spacing w:val="-3"/>
                <w:sz w:val="24"/>
                <w:szCs w:val="24"/>
              </w:rPr>
              <w:t>项目井场选址分析表</w:t>
            </w:r>
          </w:p>
        </w:tc>
      </w:tr>
      <w:tr w14:paraId="5BC2C4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495" w:type="dxa"/>
            <w:vMerge w:val="continue"/>
            <w:tcBorders>
              <w:top w:val="nil"/>
              <w:left w:val="single" w:color="000000" w:sz="6" w:space="0"/>
              <w:bottom w:val="nil"/>
              <w:right w:val="single" w:color="000000" w:sz="2" w:space="0"/>
            </w:tcBorders>
            <w:textDirection w:val="tbRlV"/>
            <w:vAlign w:val="top"/>
          </w:tcPr>
          <w:p w14:paraId="5E8A3664">
            <w:pPr>
              <w:rPr>
                <w:rFonts w:ascii="Arial"/>
                <w:sz w:val="21"/>
              </w:rPr>
            </w:pPr>
          </w:p>
        </w:tc>
        <w:tc>
          <w:tcPr>
            <w:tcW w:w="3753" w:type="dxa"/>
            <w:tcBorders>
              <w:top w:val="single" w:color="000000" w:sz="10" w:space="0"/>
              <w:left w:val="single" w:color="000000" w:sz="2" w:space="0"/>
            </w:tcBorders>
            <w:vAlign w:val="top"/>
          </w:tcPr>
          <w:p w14:paraId="369753D1">
            <w:pPr>
              <w:pStyle w:val="6"/>
              <w:spacing w:before="27" w:line="243" w:lineRule="auto"/>
              <w:ind w:left="111" w:right="4" w:firstLine="3221"/>
              <w:rPr>
                <w:sz w:val="20"/>
                <w:szCs w:val="20"/>
              </w:rPr>
            </w:pPr>
            <w:r>
              <w:drawing>
                <wp:anchor distT="0" distB="0" distL="0" distR="0" simplePos="0" relativeHeight="251722752" behindDoc="1" locked="0" layoutInCell="1" allowOverlap="1">
                  <wp:simplePos x="0" y="0"/>
                  <wp:positionH relativeFrom="column">
                    <wp:posOffset>54610</wp:posOffset>
                  </wp:positionH>
                  <wp:positionV relativeFrom="paragraph">
                    <wp:posOffset>-25400</wp:posOffset>
                  </wp:positionV>
                  <wp:extent cx="2336800" cy="367030"/>
                  <wp:effectExtent l="0" t="0" r="0" b="0"/>
                  <wp:wrapNone/>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95"/>
                          <a:stretch>
                            <a:fillRect/>
                          </a:stretch>
                        </pic:blipFill>
                        <pic:spPr>
                          <a:xfrm>
                            <a:off x="0" y="0"/>
                            <a:ext cx="2336977" cy="366928"/>
                          </a:xfrm>
                          <a:prstGeom prst="rect">
                            <a:avLst/>
                          </a:prstGeom>
                        </pic:spPr>
                      </pic:pic>
                    </a:graphicData>
                  </a:graphic>
                </wp:anchor>
              </w:drawing>
            </w:r>
            <w:r>
              <w:rPr>
                <w:spacing w:val="3"/>
                <w:sz w:val="20"/>
                <w:szCs w:val="20"/>
              </w:rPr>
              <w:t>名称</w:t>
            </w:r>
            <w:r>
              <w:rPr>
                <w:spacing w:val="7"/>
                <w:sz w:val="20"/>
                <w:szCs w:val="20"/>
              </w:rPr>
              <w:t>安全距离要求</w:t>
            </w:r>
          </w:p>
        </w:tc>
        <w:tc>
          <w:tcPr>
            <w:tcW w:w="4653" w:type="dxa"/>
            <w:gridSpan w:val="2"/>
            <w:tcBorders>
              <w:top w:val="single" w:color="000000" w:sz="10" w:space="0"/>
              <w:right w:val="single" w:color="000000" w:sz="6" w:space="0"/>
            </w:tcBorders>
            <w:vAlign w:val="top"/>
          </w:tcPr>
          <w:p w14:paraId="28AB5FD4">
            <w:pPr>
              <w:pStyle w:val="6"/>
              <w:spacing w:before="176" w:line="228" w:lineRule="auto"/>
              <w:ind w:left="1680"/>
              <w:rPr>
                <w:sz w:val="20"/>
                <w:szCs w:val="20"/>
              </w:rPr>
            </w:pPr>
            <w:r>
              <w:rPr>
                <w:spacing w:val="3"/>
                <w:sz w:val="20"/>
                <w:szCs w:val="20"/>
              </w:rPr>
              <w:t>扎格</w:t>
            </w:r>
            <w:r>
              <w:rPr>
                <w:spacing w:val="-38"/>
                <w:sz w:val="20"/>
                <w:szCs w:val="20"/>
              </w:rPr>
              <w:t xml:space="preserve"> </w:t>
            </w:r>
            <w:r>
              <w:rPr>
                <w:rFonts w:ascii="Times New Roman" w:hAnsi="Times New Roman" w:eastAsia="Times New Roman" w:cs="Times New Roman"/>
                <w:spacing w:val="3"/>
                <w:sz w:val="20"/>
                <w:szCs w:val="20"/>
              </w:rPr>
              <w:t>9X</w:t>
            </w:r>
            <w:r>
              <w:rPr>
                <w:rFonts w:ascii="Times New Roman" w:hAnsi="Times New Roman" w:eastAsia="Times New Roman" w:cs="Times New Roman"/>
                <w:spacing w:val="11"/>
                <w:sz w:val="20"/>
                <w:szCs w:val="20"/>
              </w:rPr>
              <w:t xml:space="preserve"> </w:t>
            </w:r>
            <w:r>
              <w:rPr>
                <w:spacing w:val="3"/>
                <w:sz w:val="20"/>
                <w:szCs w:val="20"/>
              </w:rPr>
              <w:t>井场</w:t>
            </w:r>
          </w:p>
        </w:tc>
      </w:tr>
      <w:tr w14:paraId="555362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495" w:type="dxa"/>
            <w:vMerge w:val="continue"/>
            <w:tcBorders>
              <w:top w:val="nil"/>
              <w:left w:val="single" w:color="000000" w:sz="6" w:space="0"/>
              <w:bottom w:val="nil"/>
              <w:right w:val="single" w:color="000000" w:sz="2" w:space="0"/>
            </w:tcBorders>
            <w:textDirection w:val="tbRlV"/>
            <w:vAlign w:val="top"/>
          </w:tcPr>
          <w:p w14:paraId="54C54B19">
            <w:pPr>
              <w:rPr>
                <w:rFonts w:ascii="Arial"/>
                <w:sz w:val="21"/>
              </w:rPr>
            </w:pPr>
          </w:p>
        </w:tc>
        <w:tc>
          <w:tcPr>
            <w:tcW w:w="3753" w:type="dxa"/>
            <w:tcBorders>
              <w:left w:val="single" w:color="000000" w:sz="2" w:space="0"/>
            </w:tcBorders>
            <w:vAlign w:val="top"/>
          </w:tcPr>
          <w:p w14:paraId="319E79A4">
            <w:pPr>
              <w:pStyle w:val="6"/>
              <w:spacing w:before="92" w:line="228" w:lineRule="auto"/>
              <w:ind w:left="143"/>
              <w:rPr>
                <w:sz w:val="20"/>
                <w:szCs w:val="20"/>
              </w:rPr>
            </w:pPr>
            <w:r>
              <w:rPr>
                <w:spacing w:val="9"/>
                <w:sz w:val="20"/>
                <w:szCs w:val="20"/>
              </w:rPr>
              <w:t>井口距高压线及其他永久性设施不小于</w:t>
            </w:r>
          </w:p>
          <w:p w14:paraId="43106249">
            <w:pPr>
              <w:spacing w:before="49" w:line="192" w:lineRule="auto"/>
              <w:ind w:left="17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75m</w:t>
            </w:r>
          </w:p>
        </w:tc>
        <w:tc>
          <w:tcPr>
            <w:tcW w:w="3577" w:type="dxa"/>
            <w:tcBorders>
              <w:right w:val="single" w:color="000000" w:sz="2" w:space="0"/>
            </w:tcBorders>
            <w:vAlign w:val="top"/>
          </w:tcPr>
          <w:p w14:paraId="720A5500">
            <w:pPr>
              <w:pStyle w:val="6"/>
              <w:spacing w:before="75" w:line="228" w:lineRule="auto"/>
              <w:ind w:left="86"/>
              <w:rPr>
                <w:sz w:val="20"/>
                <w:szCs w:val="20"/>
              </w:rPr>
            </w:pPr>
            <w:r>
              <w:rPr>
                <w:spacing w:val="7"/>
                <w:sz w:val="20"/>
                <w:szCs w:val="20"/>
              </w:rPr>
              <w:t>井口</w:t>
            </w:r>
            <w:r>
              <w:rPr>
                <w:spacing w:val="-36"/>
                <w:sz w:val="20"/>
                <w:szCs w:val="20"/>
              </w:rPr>
              <w:t xml:space="preserve"> </w:t>
            </w:r>
            <w:r>
              <w:rPr>
                <w:rFonts w:ascii="Times New Roman" w:hAnsi="Times New Roman" w:eastAsia="Times New Roman" w:cs="Times New Roman"/>
                <w:spacing w:val="7"/>
                <w:sz w:val="20"/>
                <w:szCs w:val="20"/>
              </w:rPr>
              <w:t>75m</w:t>
            </w:r>
            <w:r>
              <w:rPr>
                <w:rFonts w:ascii="Times New Roman" w:hAnsi="Times New Roman" w:eastAsia="Times New Roman" w:cs="Times New Roman"/>
                <w:spacing w:val="17"/>
                <w:w w:val="101"/>
                <w:sz w:val="20"/>
                <w:szCs w:val="20"/>
              </w:rPr>
              <w:t xml:space="preserve"> </w:t>
            </w:r>
            <w:r>
              <w:rPr>
                <w:spacing w:val="7"/>
                <w:sz w:val="20"/>
                <w:szCs w:val="20"/>
              </w:rPr>
              <w:t>范围内无高压线及其他永久</w:t>
            </w:r>
          </w:p>
          <w:p w14:paraId="008E5726">
            <w:pPr>
              <w:pStyle w:val="6"/>
              <w:spacing w:before="27" w:line="229" w:lineRule="auto"/>
              <w:ind w:left="1483"/>
              <w:rPr>
                <w:sz w:val="20"/>
                <w:szCs w:val="20"/>
              </w:rPr>
            </w:pPr>
            <w:r>
              <w:rPr>
                <w:spacing w:val="6"/>
                <w:sz w:val="20"/>
                <w:szCs w:val="20"/>
              </w:rPr>
              <w:t>性设施</w:t>
            </w:r>
          </w:p>
        </w:tc>
        <w:tc>
          <w:tcPr>
            <w:tcW w:w="1076" w:type="dxa"/>
            <w:tcBorders>
              <w:left w:val="single" w:color="000000" w:sz="2" w:space="0"/>
              <w:right w:val="single" w:color="000000" w:sz="6" w:space="0"/>
            </w:tcBorders>
            <w:vAlign w:val="top"/>
          </w:tcPr>
          <w:p w14:paraId="660EA94F">
            <w:pPr>
              <w:pStyle w:val="6"/>
              <w:spacing w:before="212" w:line="228" w:lineRule="auto"/>
              <w:ind w:left="73"/>
              <w:rPr>
                <w:sz w:val="20"/>
                <w:szCs w:val="20"/>
              </w:rPr>
            </w:pPr>
            <w:r>
              <w:rPr>
                <w:spacing w:val="6"/>
                <w:sz w:val="20"/>
                <w:szCs w:val="20"/>
              </w:rPr>
              <w:t>符合要求</w:t>
            </w:r>
          </w:p>
        </w:tc>
      </w:tr>
      <w:tr w14:paraId="0D341C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495" w:type="dxa"/>
            <w:vMerge w:val="continue"/>
            <w:tcBorders>
              <w:top w:val="nil"/>
              <w:left w:val="single" w:color="000000" w:sz="6" w:space="0"/>
              <w:bottom w:val="nil"/>
              <w:right w:val="single" w:color="000000" w:sz="2" w:space="0"/>
            </w:tcBorders>
            <w:textDirection w:val="tbRlV"/>
            <w:vAlign w:val="top"/>
          </w:tcPr>
          <w:p w14:paraId="0CEBAEB7">
            <w:pPr>
              <w:rPr>
                <w:rFonts w:ascii="Arial"/>
                <w:sz w:val="21"/>
              </w:rPr>
            </w:pPr>
          </w:p>
        </w:tc>
        <w:tc>
          <w:tcPr>
            <w:tcW w:w="3753" w:type="dxa"/>
            <w:tcBorders>
              <w:left w:val="single" w:color="000000" w:sz="2" w:space="0"/>
            </w:tcBorders>
            <w:vAlign w:val="top"/>
          </w:tcPr>
          <w:p w14:paraId="6F26C9E0">
            <w:pPr>
              <w:pStyle w:val="6"/>
              <w:spacing w:before="213" w:line="228" w:lineRule="auto"/>
              <w:ind w:left="822"/>
              <w:rPr>
                <w:rFonts w:ascii="Times New Roman" w:hAnsi="Times New Roman" w:eastAsia="Times New Roman" w:cs="Times New Roman"/>
                <w:sz w:val="20"/>
                <w:szCs w:val="20"/>
              </w:rPr>
            </w:pPr>
            <w:r>
              <w:rPr>
                <w:spacing w:val="5"/>
                <w:sz w:val="20"/>
                <w:szCs w:val="20"/>
              </w:rPr>
              <w:t>井口距民宅不小于</w:t>
            </w:r>
            <w:r>
              <w:rPr>
                <w:spacing w:val="-13"/>
                <w:sz w:val="20"/>
                <w:szCs w:val="20"/>
              </w:rPr>
              <w:t xml:space="preserve"> </w:t>
            </w:r>
            <w:r>
              <w:rPr>
                <w:rFonts w:ascii="Times New Roman" w:hAnsi="Times New Roman" w:eastAsia="Times New Roman" w:cs="Times New Roman"/>
                <w:spacing w:val="5"/>
                <w:sz w:val="20"/>
                <w:szCs w:val="20"/>
              </w:rPr>
              <w:t>100m</w:t>
            </w:r>
          </w:p>
        </w:tc>
        <w:tc>
          <w:tcPr>
            <w:tcW w:w="3577" w:type="dxa"/>
            <w:tcBorders>
              <w:right w:val="single" w:color="000000" w:sz="2" w:space="0"/>
            </w:tcBorders>
            <w:vAlign w:val="top"/>
          </w:tcPr>
          <w:p w14:paraId="2062754E">
            <w:pPr>
              <w:pStyle w:val="6"/>
              <w:spacing w:before="212" w:line="228" w:lineRule="auto"/>
              <w:ind w:left="665"/>
              <w:rPr>
                <w:sz w:val="20"/>
                <w:szCs w:val="20"/>
              </w:rPr>
            </w:pPr>
            <w:r>
              <w:rPr>
                <w:spacing w:val="4"/>
                <w:sz w:val="20"/>
                <w:szCs w:val="20"/>
              </w:rPr>
              <w:t>井口</w:t>
            </w:r>
            <w:r>
              <w:rPr>
                <w:spacing w:val="-19"/>
                <w:sz w:val="20"/>
                <w:szCs w:val="20"/>
              </w:rPr>
              <w:t xml:space="preserve"> </w:t>
            </w:r>
            <w:r>
              <w:rPr>
                <w:rFonts w:ascii="Times New Roman" w:hAnsi="Times New Roman" w:eastAsia="Times New Roman" w:cs="Times New Roman"/>
                <w:spacing w:val="4"/>
                <w:sz w:val="20"/>
                <w:szCs w:val="20"/>
              </w:rPr>
              <w:t>100m</w:t>
            </w:r>
            <w:r>
              <w:rPr>
                <w:rFonts w:ascii="Times New Roman" w:hAnsi="Times New Roman" w:eastAsia="Times New Roman" w:cs="Times New Roman"/>
                <w:spacing w:val="17"/>
                <w:sz w:val="20"/>
                <w:szCs w:val="20"/>
              </w:rPr>
              <w:t xml:space="preserve"> </w:t>
            </w:r>
            <w:r>
              <w:rPr>
                <w:spacing w:val="4"/>
                <w:sz w:val="20"/>
                <w:szCs w:val="20"/>
              </w:rPr>
              <w:t>范围内无民宅</w:t>
            </w:r>
          </w:p>
        </w:tc>
        <w:tc>
          <w:tcPr>
            <w:tcW w:w="1076" w:type="dxa"/>
            <w:tcBorders>
              <w:left w:val="single" w:color="000000" w:sz="2" w:space="0"/>
              <w:right w:val="single" w:color="000000" w:sz="6" w:space="0"/>
            </w:tcBorders>
            <w:vAlign w:val="top"/>
          </w:tcPr>
          <w:p w14:paraId="5493A3C8">
            <w:pPr>
              <w:pStyle w:val="6"/>
              <w:spacing w:before="212" w:line="228" w:lineRule="auto"/>
              <w:ind w:left="73"/>
              <w:rPr>
                <w:sz w:val="20"/>
                <w:szCs w:val="20"/>
              </w:rPr>
            </w:pPr>
            <w:r>
              <w:rPr>
                <w:spacing w:val="6"/>
                <w:sz w:val="20"/>
                <w:szCs w:val="20"/>
              </w:rPr>
              <w:t>符合要求</w:t>
            </w:r>
          </w:p>
        </w:tc>
      </w:tr>
      <w:tr w14:paraId="77087C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495" w:type="dxa"/>
            <w:vMerge w:val="continue"/>
            <w:tcBorders>
              <w:top w:val="nil"/>
              <w:left w:val="single" w:color="000000" w:sz="6" w:space="0"/>
              <w:bottom w:val="nil"/>
              <w:right w:val="single" w:color="000000" w:sz="2" w:space="0"/>
            </w:tcBorders>
            <w:textDirection w:val="tbRlV"/>
            <w:vAlign w:val="top"/>
          </w:tcPr>
          <w:p w14:paraId="77A4BE15">
            <w:pPr>
              <w:rPr>
                <w:rFonts w:ascii="Arial"/>
                <w:sz w:val="21"/>
              </w:rPr>
            </w:pPr>
          </w:p>
        </w:tc>
        <w:tc>
          <w:tcPr>
            <w:tcW w:w="3753" w:type="dxa"/>
            <w:tcBorders>
              <w:left w:val="single" w:color="000000" w:sz="2" w:space="0"/>
            </w:tcBorders>
            <w:vAlign w:val="top"/>
          </w:tcPr>
          <w:p w14:paraId="67B1E9AA">
            <w:pPr>
              <w:pStyle w:val="6"/>
              <w:spacing w:before="213" w:line="228" w:lineRule="auto"/>
              <w:ind w:left="299"/>
              <w:rPr>
                <w:rFonts w:ascii="Times New Roman" w:hAnsi="Times New Roman" w:eastAsia="Times New Roman" w:cs="Times New Roman"/>
                <w:sz w:val="20"/>
                <w:szCs w:val="20"/>
              </w:rPr>
            </w:pPr>
            <w:r>
              <w:rPr>
                <w:spacing w:val="8"/>
                <w:sz w:val="20"/>
                <w:szCs w:val="20"/>
              </w:rPr>
              <w:t>井口距铁路、高速公路不小于</w:t>
            </w:r>
            <w:r>
              <w:rPr>
                <w:spacing w:val="-43"/>
                <w:sz w:val="20"/>
                <w:szCs w:val="20"/>
              </w:rPr>
              <w:t xml:space="preserve"> </w:t>
            </w:r>
            <w:r>
              <w:rPr>
                <w:rFonts w:ascii="Times New Roman" w:hAnsi="Times New Roman" w:eastAsia="Times New Roman" w:cs="Times New Roman"/>
                <w:spacing w:val="8"/>
                <w:sz w:val="20"/>
                <w:szCs w:val="20"/>
              </w:rPr>
              <w:t>200m</w:t>
            </w:r>
          </w:p>
        </w:tc>
        <w:tc>
          <w:tcPr>
            <w:tcW w:w="3577" w:type="dxa"/>
            <w:tcBorders>
              <w:right w:val="single" w:color="000000" w:sz="2" w:space="0"/>
            </w:tcBorders>
            <w:vAlign w:val="top"/>
          </w:tcPr>
          <w:p w14:paraId="26E5967A">
            <w:pPr>
              <w:pStyle w:val="6"/>
              <w:spacing w:before="213" w:line="228" w:lineRule="auto"/>
              <w:ind w:left="139"/>
              <w:rPr>
                <w:sz w:val="20"/>
                <w:szCs w:val="20"/>
              </w:rPr>
            </w:pPr>
            <w:r>
              <w:rPr>
                <w:spacing w:val="7"/>
                <w:sz w:val="20"/>
                <w:szCs w:val="20"/>
              </w:rPr>
              <w:t>井口</w:t>
            </w:r>
            <w:r>
              <w:rPr>
                <w:spacing w:val="-39"/>
                <w:sz w:val="20"/>
                <w:szCs w:val="20"/>
              </w:rPr>
              <w:t xml:space="preserve"> </w:t>
            </w:r>
            <w:r>
              <w:rPr>
                <w:rFonts w:ascii="Times New Roman" w:hAnsi="Times New Roman" w:eastAsia="Times New Roman" w:cs="Times New Roman"/>
                <w:spacing w:val="7"/>
                <w:sz w:val="20"/>
                <w:szCs w:val="20"/>
              </w:rPr>
              <w:t>200m</w:t>
            </w:r>
            <w:r>
              <w:rPr>
                <w:rFonts w:ascii="Times New Roman" w:hAnsi="Times New Roman" w:eastAsia="Times New Roman" w:cs="Times New Roman"/>
                <w:spacing w:val="17"/>
                <w:sz w:val="20"/>
                <w:szCs w:val="20"/>
              </w:rPr>
              <w:t xml:space="preserve"> </w:t>
            </w:r>
            <w:r>
              <w:rPr>
                <w:spacing w:val="7"/>
                <w:sz w:val="20"/>
                <w:szCs w:val="20"/>
              </w:rPr>
              <w:t>范围内无铁路、高速公路</w:t>
            </w:r>
          </w:p>
        </w:tc>
        <w:tc>
          <w:tcPr>
            <w:tcW w:w="1076" w:type="dxa"/>
            <w:tcBorders>
              <w:left w:val="single" w:color="000000" w:sz="2" w:space="0"/>
              <w:right w:val="single" w:color="000000" w:sz="6" w:space="0"/>
            </w:tcBorders>
            <w:vAlign w:val="top"/>
          </w:tcPr>
          <w:p w14:paraId="7DFBE33B">
            <w:pPr>
              <w:pStyle w:val="6"/>
              <w:spacing w:before="213" w:line="228" w:lineRule="auto"/>
              <w:ind w:left="73"/>
              <w:rPr>
                <w:sz w:val="20"/>
                <w:szCs w:val="20"/>
              </w:rPr>
            </w:pPr>
            <w:r>
              <w:rPr>
                <w:spacing w:val="6"/>
                <w:sz w:val="20"/>
                <w:szCs w:val="20"/>
              </w:rPr>
              <w:t>符合要求</w:t>
            </w:r>
          </w:p>
        </w:tc>
      </w:tr>
      <w:tr w14:paraId="4C1CA4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495" w:type="dxa"/>
            <w:vMerge w:val="continue"/>
            <w:tcBorders>
              <w:top w:val="nil"/>
              <w:left w:val="single" w:color="000000" w:sz="6" w:space="0"/>
              <w:bottom w:val="nil"/>
              <w:right w:val="single" w:color="000000" w:sz="2" w:space="0"/>
            </w:tcBorders>
            <w:textDirection w:val="tbRlV"/>
            <w:vAlign w:val="top"/>
          </w:tcPr>
          <w:p w14:paraId="584D5098">
            <w:pPr>
              <w:rPr>
                <w:rFonts w:ascii="Arial"/>
                <w:sz w:val="21"/>
              </w:rPr>
            </w:pPr>
          </w:p>
        </w:tc>
        <w:tc>
          <w:tcPr>
            <w:tcW w:w="3753" w:type="dxa"/>
            <w:tcBorders>
              <w:left w:val="single" w:color="000000" w:sz="2" w:space="0"/>
              <w:bottom w:val="single" w:color="000000" w:sz="10" w:space="0"/>
            </w:tcBorders>
            <w:vAlign w:val="top"/>
          </w:tcPr>
          <w:p w14:paraId="362820EB">
            <w:pPr>
              <w:pStyle w:val="6"/>
              <w:spacing w:before="78" w:line="252" w:lineRule="auto"/>
              <w:ind w:left="402" w:right="41" w:hanging="259"/>
              <w:rPr>
                <w:rFonts w:ascii="Times New Roman" w:hAnsi="Times New Roman" w:eastAsia="Times New Roman" w:cs="Times New Roman"/>
                <w:sz w:val="20"/>
                <w:szCs w:val="20"/>
              </w:rPr>
            </w:pPr>
            <w:r>
              <w:rPr>
                <w:spacing w:val="9"/>
                <w:sz w:val="20"/>
                <w:szCs w:val="20"/>
              </w:rPr>
              <w:t>井口距学校、医院和大型油库等人口密</w:t>
            </w:r>
            <w:r>
              <w:rPr>
                <w:spacing w:val="7"/>
                <w:sz w:val="20"/>
                <w:szCs w:val="20"/>
              </w:rPr>
              <w:t>集性、高危性场所应不小于</w:t>
            </w:r>
            <w:r>
              <w:rPr>
                <w:spacing w:val="-25"/>
                <w:sz w:val="20"/>
                <w:szCs w:val="20"/>
              </w:rPr>
              <w:t xml:space="preserve"> </w:t>
            </w:r>
            <w:r>
              <w:rPr>
                <w:rFonts w:ascii="Times New Roman" w:hAnsi="Times New Roman" w:eastAsia="Times New Roman" w:cs="Times New Roman"/>
                <w:spacing w:val="7"/>
                <w:sz w:val="20"/>
                <w:szCs w:val="20"/>
              </w:rPr>
              <w:t>500m</w:t>
            </w:r>
          </w:p>
        </w:tc>
        <w:tc>
          <w:tcPr>
            <w:tcW w:w="3577" w:type="dxa"/>
            <w:tcBorders>
              <w:bottom w:val="single" w:color="000000" w:sz="10" w:space="0"/>
              <w:right w:val="single" w:color="000000" w:sz="2" w:space="0"/>
            </w:tcBorders>
            <w:vAlign w:val="top"/>
          </w:tcPr>
          <w:p w14:paraId="38A6DB74">
            <w:pPr>
              <w:pStyle w:val="6"/>
              <w:spacing w:before="78" w:line="252" w:lineRule="auto"/>
              <w:ind w:left="326" w:right="22" w:hanging="293"/>
              <w:rPr>
                <w:sz w:val="20"/>
                <w:szCs w:val="20"/>
              </w:rPr>
            </w:pPr>
            <w:r>
              <w:rPr>
                <w:spacing w:val="7"/>
                <w:sz w:val="20"/>
                <w:szCs w:val="20"/>
              </w:rPr>
              <w:t>井口</w:t>
            </w:r>
            <w:r>
              <w:rPr>
                <w:spacing w:val="-27"/>
                <w:sz w:val="20"/>
                <w:szCs w:val="20"/>
              </w:rPr>
              <w:t xml:space="preserve"> </w:t>
            </w:r>
            <w:r>
              <w:rPr>
                <w:rFonts w:ascii="Times New Roman" w:hAnsi="Times New Roman" w:eastAsia="Times New Roman" w:cs="Times New Roman"/>
                <w:spacing w:val="7"/>
                <w:sz w:val="20"/>
                <w:szCs w:val="20"/>
              </w:rPr>
              <w:t xml:space="preserve">500m </w:t>
            </w:r>
            <w:r>
              <w:rPr>
                <w:spacing w:val="7"/>
                <w:sz w:val="20"/>
                <w:szCs w:val="20"/>
              </w:rPr>
              <w:t>范围内无学校、医院和大型</w:t>
            </w:r>
            <w:r>
              <w:rPr>
                <w:spacing w:val="9"/>
                <w:sz w:val="20"/>
                <w:szCs w:val="20"/>
              </w:rPr>
              <w:t>油库等人口密集性、高危性场所</w:t>
            </w:r>
          </w:p>
        </w:tc>
        <w:tc>
          <w:tcPr>
            <w:tcW w:w="1076" w:type="dxa"/>
            <w:tcBorders>
              <w:left w:val="single" w:color="000000" w:sz="2" w:space="0"/>
              <w:bottom w:val="single" w:color="000000" w:sz="10" w:space="0"/>
              <w:right w:val="single" w:color="000000" w:sz="6" w:space="0"/>
            </w:tcBorders>
            <w:vAlign w:val="top"/>
          </w:tcPr>
          <w:p w14:paraId="3DEBC4E0">
            <w:pPr>
              <w:pStyle w:val="6"/>
              <w:spacing w:before="215" w:line="228" w:lineRule="auto"/>
              <w:ind w:left="73"/>
              <w:rPr>
                <w:sz w:val="20"/>
                <w:szCs w:val="20"/>
              </w:rPr>
            </w:pPr>
            <w:r>
              <w:rPr>
                <w:spacing w:val="6"/>
                <w:sz w:val="20"/>
                <w:szCs w:val="20"/>
              </w:rPr>
              <w:t>符合要求</w:t>
            </w:r>
          </w:p>
        </w:tc>
      </w:tr>
      <w:tr w14:paraId="3F9F4C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5" w:hRule="atLeast"/>
        </w:trPr>
        <w:tc>
          <w:tcPr>
            <w:tcW w:w="495" w:type="dxa"/>
            <w:vMerge w:val="continue"/>
            <w:tcBorders>
              <w:top w:val="nil"/>
              <w:left w:val="single" w:color="000000" w:sz="6" w:space="0"/>
              <w:bottom w:val="single" w:color="000000" w:sz="6" w:space="0"/>
              <w:right w:val="single" w:color="000000" w:sz="2" w:space="0"/>
            </w:tcBorders>
            <w:textDirection w:val="tbRlV"/>
            <w:vAlign w:val="top"/>
          </w:tcPr>
          <w:p w14:paraId="3D7E2EF2">
            <w:pPr>
              <w:rPr>
                <w:rFonts w:ascii="Arial"/>
                <w:sz w:val="21"/>
              </w:rPr>
            </w:pPr>
          </w:p>
        </w:tc>
        <w:tc>
          <w:tcPr>
            <w:tcW w:w="8406" w:type="dxa"/>
            <w:gridSpan w:val="3"/>
            <w:tcBorders>
              <w:top w:val="single" w:color="000000" w:sz="10" w:space="0"/>
              <w:left w:val="single" w:color="000000" w:sz="2" w:space="0"/>
              <w:bottom w:val="single" w:color="000000" w:sz="6" w:space="0"/>
              <w:right w:val="single" w:color="000000" w:sz="6" w:space="0"/>
            </w:tcBorders>
            <w:vAlign w:val="top"/>
          </w:tcPr>
          <w:p w14:paraId="32253D87">
            <w:pPr>
              <w:pStyle w:val="6"/>
              <w:spacing w:before="38" w:line="359" w:lineRule="auto"/>
              <w:ind w:left="107" w:right="41" w:firstLine="484"/>
              <w:jc w:val="both"/>
            </w:pPr>
            <w:r>
              <w:rPr>
                <w:spacing w:val="-5"/>
              </w:rPr>
              <w:t>项目为临时占地，建设单位已与土地所有人及相关部门签订临时用地协议，</w:t>
            </w:r>
            <w:r>
              <w:rPr>
                <w:spacing w:val="1"/>
              </w:rPr>
              <w:t>按照相关补偿标准的要求缴纳补偿费等。施工结束后，</w:t>
            </w:r>
            <w:r>
              <w:t>建设单位应对临时占地</w:t>
            </w:r>
            <w:r>
              <w:rPr>
                <w:spacing w:val="-2"/>
              </w:rPr>
              <w:t>及时恢复。</w:t>
            </w:r>
          </w:p>
          <w:p w14:paraId="76AD483F">
            <w:pPr>
              <w:pStyle w:val="6"/>
              <w:spacing w:before="2" w:line="358" w:lineRule="auto"/>
              <w:ind w:left="114" w:right="100" w:firstLine="478"/>
              <w:jc w:val="both"/>
            </w:pPr>
            <w:r>
              <w:rPr>
                <w:spacing w:val="1"/>
              </w:rPr>
              <w:t>该项目对环境的影响主要在施工期，施工期剥离</w:t>
            </w:r>
            <w:r>
              <w:t>表层土单独堆放并在施工</w:t>
            </w:r>
            <w:r>
              <w:rPr>
                <w:spacing w:val="1"/>
              </w:rPr>
              <w:t>结束后回填，以利于植被的恢复，在设计上</w:t>
            </w:r>
            <w:r>
              <w:t>已充分考虑了尽量减少临时占地，</w:t>
            </w:r>
            <w:r>
              <w:rPr>
                <w:spacing w:val="-2"/>
              </w:rPr>
              <w:t>以减少对占地的破坏。</w:t>
            </w:r>
          </w:p>
          <w:p w14:paraId="6A1946B4">
            <w:pPr>
              <w:pStyle w:val="6"/>
              <w:spacing w:line="220" w:lineRule="auto"/>
              <w:ind w:left="591"/>
              <w:outlineLvl w:val="0"/>
            </w:pPr>
            <w:r>
              <w:rPr>
                <w:spacing w:val="-1"/>
              </w:rPr>
              <w:t>综合以上分析，项目选址合理。</w:t>
            </w:r>
          </w:p>
        </w:tc>
      </w:tr>
    </w:tbl>
    <w:p w14:paraId="5A709339">
      <w:pPr>
        <w:spacing w:line="194" w:lineRule="exact"/>
        <w:rPr>
          <w:rFonts w:ascii="Arial"/>
          <w:sz w:val="16"/>
        </w:rPr>
      </w:pPr>
    </w:p>
    <w:p w14:paraId="4BF49232">
      <w:pPr>
        <w:spacing w:line="194" w:lineRule="exact"/>
        <w:rPr>
          <w:rFonts w:ascii="Arial" w:hAnsi="Arial" w:eastAsia="Arial" w:cs="Arial"/>
          <w:sz w:val="16"/>
          <w:szCs w:val="16"/>
        </w:rPr>
        <w:sectPr>
          <w:footerReference r:id="rId91" w:type="default"/>
          <w:pgSz w:w="11906" w:h="16839"/>
          <w:pgMar w:top="400" w:right="1410" w:bottom="1240" w:left="1579" w:header="0" w:footer="1078" w:gutter="0"/>
          <w:cols w:space="720" w:num="1"/>
        </w:sectPr>
      </w:pPr>
    </w:p>
    <w:p w14:paraId="6A827CCF">
      <w:pPr>
        <w:spacing w:line="282" w:lineRule="auto"/>
        <w:rPr>
          <w:rFonts w:ascii="Arial"/>
          <w:sz w:val="21"/>
        </w:rPr>
      </w:pPr>
    </w:p>
    <w:p w14:paraId="7D686B39">
      <w:pPr>
        <w:spacing w:line="282" w:lineRule="auto"/>
        <w:rPr>
          <w:rFonts w:ascii="Arial"/>
          <w:sz w:val="21"/>
        </w:rPr>
      </w:pPr>
    </w:p>
    <w:p w14:paraId="0A6E1F07">
      <w:pPr>
        <w:spacing w:line="282" w:lineRule="auto"/>
        <w:rPr>
          <w:rFonts w:ascii="Arial"/>
          <w:sz w:val="21"/>
        </w:rPr>
      </w:pPr>
    </w:p>
    <w:p w14:paraId="5C688F2D">
      <w:pPr>
        <w:spacing w:line="282" w:lineRule="auto"/>
        <w:rPr>
          <w:rFonts w:ascii="Arial"/>
          <w:sz w:val="21"/>
        </w:rPr>
      </w:pPr>
    </w:p>
    <w:p w14:paraId="10D346B9">
      <w:pPr>
        <w:pStyle w:val="2"/>
        <w:spacing w:before="97" w:line="212" w:lineRule="auto"/>
        <w:ind w:left="2668"/>
        <w:outlineLvl w:val="0"/>
        <w:rPr>
          <w:sz w:val="30"/>
          <w:szCs w:val="30"/>
        </w:rPr>
      </w:pPr>
      <w:bookmarkStart w:id="5" w:name="bookmark5"/>
      <w:bookmarkEnd w:id="5"/>
      <w:r>
        <w:rPr>
          <w:b/>
          <w:bCs/>
          <w:spacing w:val="-4"/>
          <w:sz w:val="30"/>
          <w:szCs w:val="30"/>
        </w:rPr>
        <w:t>五、主要生态环境保护措施</w:t>
      </w:r>
    </w:p>
    <w:tbl>
      <w:tblPr>
        <w:tblStyle w:val="5"/>
        <w:tblW w:w="890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86"/>
        <w:gridCol w:w="8415"/>
      </w:tblGrid>
      <w:tr w14:paraId="389035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80" w:hRule="atLeast"/>
        </w:trPr>
        <w:tc>
          <w:tcPr>
            <w:tcW w:w="486" w:type="dxa"/>
            <w:tcBorders>
              <w:right w:val="single" w:color="000000" w:sz="2" w:space="0"/>
            </w:tcBorders>
            <w:textDirection w:val="tbRlV"/>
            <w:vAlign w:val="top"/>
          </w:tcPr>
          <w:p w14:paraId="689C5B54">
            <w:pPr>
              <w:pStyle w:val="6"/>
              <w:spacing w:before="133" w:line="209" w:lineRule="auto"/>
              <w:ind w:left="4863"/>
            </w:pPr>
            <w:r>
              <w:rPr>
                <w:b/>
                <w:bCs/>
                <w:spacing w:val="23"/>
                <w:w w:val="116"/>
              </w:rPr>
              <w:t>施工期生态环境保护措施</w:t>
            </w:r>
          </w:p>
        </w:tc>
        <w:tc>
          <w:tcPr>
            <w:tcW w:w="8415" w:type="dxa"/>
            <w:tcBorders>
              <w:left w:val="single" w:color="000000" w:sz="2" w:space="0"/>
            </w:tcBorders>
            <w:vAlign w:val="top"/>
          </w:tcPr>
          <w:p w14:paraId="7902F527">
            <w:pPr>
              <w:pStyle w:val="6"/>
              <w:spacing w:before="39" w:line="220" w:lineRule="auto"/>
              <w:ind w:left="592"/>
            </w:pPr>
            <w:r>
              <w:rPr>
                <w:b/>
                <w:bCs/>
                <w:spacing w:val="-4"/>
              </w:rPr>
              <w:t>一、施工期废气治理措施</w:t>
            </w:r>
          </w:p>
          <w:p w14:paraId="5643B4F1">
            <w:pPr>
              <w:pStyle w:val="6"/>
              <w:spacing w:before="182" w:line="221" w:lineRule="auto"/>
              <w:ind w:left="607"/>
            </w:pPr>
            <w:r>
              <w:rPr>
                <w:rFonts w:ascii="Times New Roman" w:hAnsi="Times New Roman" w:eastAsia="Times New Roman" w:cs="Times New Roman"/>
                <w:spacing w:val="-10"/>
              </w:rPr>
              <w:t>1</w:t>
            </w:r>
            <w:r>
              <w:rPr>
                <w:rFonts w:ascii="Times New Roman" w:hAnsi="Times New Roman" w:eastAsia="Times New Roman" w:cs="Times New Roman"/>
                <w:spacing w:val="-30"/>
              </w:rPr>
              <w:t xml:space="preserve"> </w:t>
            </w:r>
            <w:r>
              <w:rPr>
                <w:spacing w:val="-10"/>
              </w:rPr>
              <w:t>、施工扬尘</w:t>
            </w:r>
          </w:p>
          <w:p w14:paraId="6CC29F56">
            <w:pPr>
              <w:pStyle w:val="6"/>
              <w:spacing w:before="177" w:line="359" w:lineRule="auto"/>
              <w:ind w:left="127" w:right="102" w:firstLine="464"/>
            </w:pPr>
            <w:r>
              <w:rPr>
                <w:spacing w:val="1"/>
              </w:rPr>
              <w:t>为有效控制勘探施工期间的扬尘影响，采取以下抑尘措施，可较大</w:t>
            </w:r>
            <w:r>
              <w:t>限度的</w:t>
            </w:r>
            <w:r>
              <w:rPr>
                <w:spacing w:val="-2"/>
              </w:rPr>
              <w:t>降低施工扬尘对周围环境的影响。</w:t>
            </w:r>
          </w:p>
          <w:p w14:paraId="09CB72FE">
            <w:pPr>
              <w:pStyle w:val="6"/>
              <w:spacing w:before="2" w:line="359" w:lineRule="auto"/>
              <w:ind w:left="114" w:right="102" w:firstLine="485"/>
            </w:pPr>
            <w:r>
              <w:rPr>
                <w:spacing w:val="-4"/>
              </w:rPr>
              <w:t>（</w:t>
            </w:r>
            <w:r>
              <w:rPr>
                <w:rFonts w:ascii="Times New Roman" w:hAnsi="Times New Roman" w:eastAsia="Times New Roman" w:cs="Times New Roman"/>
                <w:spacing w:val="-4"/>
              </w:rPr>
              <w:t>1</w:t>
            </w:r>
            <w:r>
              <w:rPr>
                <w:spacing w:val="-4"/>
              </w:rPr>
              <w:t>）在施工场地边界区域设置</w:t>
            </w:r>
            <w:r>
              <w:rPr>
                <w:spacing w:val="-53"/>
              </w:rPr>
              <w:t xml:space="preserve"> </w:t>
            </w:r>
            <w:r>
              <w:rPr>
                <w:rFonts w:ascii="Times New Roman" w:hAnsi="Times New Roman" w:eastAsia="Times New Roman" w:cs="Times New Roman"/>
                <w:spacing w:val="-4"/>
              </w:rPr>
              <w:t>2m</w:t>
            </w:r>
            <w:r>
              <w:rPr>
                <w:rFonts w:ascii="Times New Roman" w:hAnsi="Times New Roman" w:eastAsia="Times New Roman" w:cs="Times New Roman"/>
                <w:spacing w:val="16"/>
                <w:w w:val="101"/>
              </w:rPr>
              <w:t xml:space="preserve"> </w:t>
            </w:r>
            <w:r>
              <w:rPr>
                <w:spacing w:val="-4"/>
              </w:rPr>
              <w:t>高围挡，设置提示牌</w:t>
            </w:r>
            <w:r>
              <w:rPr>
                <w:rFonts w:ascii="Times New Roman" w:hAnsi="Times New Roman" w:eastAsia="Times New Roman" w:cs="Times New Roman"/>
                <w:spacing w:val="-4"/>
              </w:rPr>
              <w:t>/</w:t>
            </w:r>
            <w:r>
              <w:rPr>
                <w:spacing w:val="-4"/>
              </w:rPr>
              <w:t>警示牌等。场地内</w:t>
            </w:r>
            <w:r>
              <w:rPr>
                <w:spacing w:val="-1"/>
              </w:rPr>
              <w:t>定期洒水降尘，大风天气停止表土施工作业。</w:t>
            </w:r>
          </w:p>
          <w:p w14:paraId="06E470E9">
            <w:pPr>
              <w:pStyle w:val="6"/>
              <w:spacing w:line="359" w:lineRule="auto"/>
              <w:ind w:left="109" w:right="102" w:firstLine="490"/>
            </w:pPr>
            <w:r>
              <w:rPr>
                <w:spacing w:val="-3"/>
              </w:rPr>
              <w:t>（</w:t>
            </w:r>
            <w:r>
              <w:rPr>
                <w:rFonts w:ascii="Times New Roman" w:hAnsi="Times New Roman" w:eastAsia="Times New Roman" w:cs="Times New Roman"/>
                <w:spacing w:val="-3"/>
              </w:rPr>
              <w:t>2</w:t>
            </w:r>
            <w:r>
              <w:rPr>
                <w:spacing w:val="-3"/>
              </w:rPr>
              <w:t>）钻井泥浆原材料均为袋装或桶装，原材料堆存区上部设苫布遮盖；表</w:t>
            </w:r>
            <w:r>
              <w:rPr>
                <w:spacing w:val="-1"/>
              </w:rPr>
              <w:t>土堆存区上铺密目网，并定期洒水抑尘；生活垃圾采用垃圾桶存放。</w:t>
            </w:r>
          </w:p>
          <w:p w14:paraId="0A8A0CD5">
            <w:pPr>
              <w:pStyle w:val="6"/>
              <w:spacing w:before="1" w:line="218" w:lineRule="auto"/>
              <w:ind w:right="26"/>
              <w:jc w:val="right"/>
            </w:pPr>
            <w:r>
              <w:rPr>
                <w:spacing w:val="-1"/>
              </w:rPr>
              <w:t>（</w:t>
            </w:r>
            <w:r>
              <w:rPr>
                <w:rFonts w:ascii="Times New Roman" w:hAnsi="Times New Roman" w:eastAsia="Times New Roman" w:cs="Times New Roman"/>
                <w:spacing w:val="-1"/>
              </w:rPr>
              <w:t>3</w:t>
            </w:r>
            <w:r>
              <w:rPr>
                <w:spacing w:val="-1"/>
              </w:rPr>
              <w:t>）施工运输车辆减速慢行，使用篷布遮盖，严禁超载，严禁沿路遗撒。</w:t>
            </w:r>
          </w:p>
          <w:p w14:paraId="55CB0E6D">
            <w:pPr>
              <w:pStyle w:val="6"/>
              <w:spacing w:before="182" w:line="359" w:lineRule="auto"/>
              <w:ind w:left="112" w:right="22" w:firstLine="487"/>
            </w:pPr>
            <w:r>
              <w:rPr>
                <w:spacing w:val="-3"/>
              </w:rPr>
              <w:t>（</w:t>
            </w:r>
            <w:r>
              <w:rPr>
                <w:rFonts w:ascii="Times New Roman" w:hAnsi="Times New Roman" w:eastAsia="Times New Roman" w:cs="Times New Roman"/>
                <w:spacing w:val="-3"/>
              </w:rPr>
              <w:t>4</w:t>
            </w:r>
            <w:r>
              <w:rPr>
                <w:spacing w:val="-3"/>
              </w:rPr>
              <w:t>）根据大气污染预警等级和应急预案合理施工，出现重污染天气或者四</w:t>
            </w:r>
            <w:r>
              <w:rPr>
                <w:spacing w:val="-4"/>
              </w:rPr>
              <w:t>级以上大风天气状况时，不进行拆除、土石方作业等可能产生扬尘污染的行为。</w:t>
            </w:r>
          </w:p>
          <w:p w14:paraId="31976DA2">
            <w:pPr>
              <w:pStyle w:val="6"/>
              <w:spacing w:before="8" w:line="358" w:lineRule="auto"/>
              <w:ind w:left="107" w:right="3" w:firstLine="480"/>
            </w:pPr>
            <w:r>
              <w:rPr>
                <w:spacing w:val="2"/>
              </w:rPr>
              <w:t>施工扬尘粒径较大，漂移距离短，因此，施工期间只要采取合</w:t>
            </w:r>
            <w:r>
              <w:rPr>
                <w:spacing w:val="1"/>
              </w:rPr>
              <w:t>理化管理、</w:t>
            </w:r>
            <w:r>
              <w:rPr>
                <w:spacing w:val="2"/>
              </w:rPr>
              <w:t>控制作业面积、土堆适当洒水抑尘、土建材料遮盖、大风天停止</w:t>
            </w:r>
            <w:r>
              <w:rPr>
                <w:spacing w:val="1"/>
              </w:rPr>
              <w:t>作业等措施，</w:t>
            </w:r>
            <w:r>
              <w:rPr>
                <w:spacing w:val="-5"/>
              </w:rPr>
              <w:t>施工扬尘影响范围有限，可满足《大气污染物综合排放标准》（</w:t>
            </w:r>
            <w:r>
              <w:rPr>
                <w:rFonts w:ascii="Times New Roman" w:hAnsi="Times New Roman" w:eastAsia="Times New Roman" w:cs="Times New Roman"/>
                <w:spacing w:val="-5"/>
              </w:rPr>
              <w:t>GB16297-</w:t>
            </w:r>
            <w:r>
              <w:rPr>
                <w:rFonts w:ascii="Times New Roman" w:hAnsi="Times New Roman" w:eastAsia="Times New Roman" w:cs="Times New Roman"/>
                <w:spacing w:val="-16"/>
              </w:rPr>
              <w:t xml:space="preserve"> </w:t>
            </w:r>
            <w:r>
              <w:rPr>
                <w:rFonts w:ascii="Times New Roman" w:hAnsi="Times New Roman" w:eastAsia="Times New Roman" w:cs="Times New Roman"/>
                <w:spacing w:val="-5"/>
              </w:rPr>
              <w:t>1996</w:t>
            </w:r>
            <w:r>
              <w:rPr>
                <w:spacing w:val="-5"/>
              </w:rPr>
              <w:t>）</w:t>
            </w:r>
            <w:r>
              <w:rPr>
                <w:spacing w:val="22"/>
              </w:rPr>
              <w:t>表</w:t>
            </w:r>
            <w:r>
              <w:rPr>
                <w:spacing w:val="-25"/>
              </w:rPr>
              <w:t xml:space="preserve"> </w:t>
            </w:r>
            <w:r>
              <w:rPr>
                <w:rFonts w:ascii="Times New Roman" w:hAnsi="Times New Roman" w:eastAsia="Times New Roman" w:cs="Times New Roman"/>
                <w:spacing w:val="22"/>
              </w:rPr>
              <w:t>2</w:t>
            </w:r>
            <w:r>
              <w:rPr>
                <w:rFonts w:ascii="Times New Roman" w:hAnsi="Times New Roman" w:eastAsia="Times New Roman" w:cs="Times New Roman"/>
                <w:spacing w:val="36"/>
                <w:w w:val="101"/>
              </w:rPr>
              <w:t xml:space="preserve"> </w:t>
            </w:r>
            <w:r>
              <w:rPr>
                <w:spacing w:val="22"/>
              </w:rPr>
              <w:t>新污染源大气污染物排放限值中的颗粒物无组织排放监控浓度限值</w:t>
            </w:r>
            <w:r>
              <w:rPr>
                <w:rFonts w:ascii="Times New Roman" w:hAnsi="Times New Roman" w:eastAsia="Times New Roman" w:cs="Times New Roman"/>
                <w:spacing w:val="2"/>
              </w:rPr>
              <w:t>1.0</w:t>
            </w:r>
            <w:r>
              <w:rPr>
                <w:rFonts w:ascii="Times New Roman" w:hAnsi="Times New Roman" w:eastAsia="Times New Roman" w:cs="Times New Roman"/>
              </w:rPr>
              <w:t>mg</w:t>
            </w:r>
            <w:r>
              <w:rPr>
                <w:rFonts w:ascii="Times New Roman" w:hAnsi="Times New Roman" w:eastAsia="Times New Roman" w:cs="Times New Roman"/>
                <w:spacing w:val="2"/>
              </w:rPr>
              <w:t>/m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7"/>
                <w:position w:val="7"/>
                <w:sz w:val="15"/>
                <w:szCs w:val="15"/>
              </w:rPr>
              <w:t xml:space="preserve"> </w:t>
            </w:r>
            <w:r>
              <w:rPr>
                <w:spacing w:val="2"/>
              </w:rPr>
              <w:t>，最大限度的降低施工扬尘对周围</w:t>
            </w:r>
            <w:r>
              <w:rPr>
                <w:spacing w:val="1"/>
              </w:rPr>
              <w:t>环境的影响，随着勘探期的结束，</w:t>
            </w:r>
            <w:r>
              <w:rPr>
                <w:spacing w:val="-1"/>
              </w:rPr>
              <w:t>施工扬尘影响也将结束，不会对附近居民点产生明显影响。</w:t>
            </w:r>
          </w:p>
          <w:p w14:paraId="1D61FDD8">
            <w:pPr>
              <w:pStyle w:val="6"/>
              <w:spacing w:line="219" w:lineRule="auto"/>
              <w:ind w:left="584"/>
            </w:pPr>
            <w:r>
              <w:rPr>
                <w:rFonts w:ascii="Times New Roman" w:hAnsi="Times New Roman" w:eastAsia="Times New Roman" w:cs="Times New Roman"/>
                <w:spacing w:val="-4"/>
              </w:rPr>
              <w:t>2</w:t>
            </w:r>
            <w:r>
              <w:rPr>
                <w:rFonts w:ascii="Times New Roman" w:hAnsi="Times New Roman" w:eastAsia="Times New Roman" w:cs="Times New Roman"/>
                <w:spacing w:val="-27"/>
              </w:rPr>
              <w:t xml:space="preserve"> </w:t>
            </w:r>
            <w:r>
              <w:rPr>
                <w:spacing w:val="-4"/>
              </w:rPr>
              <w:t>、柴油发电机组尾气</w:t>
            </w:r>
          </w:p>
          <w:p w14:paraId="07D90FEC">
            <w:pPr>
              <w:pStyle w:val="6"/>
              <w:spacing w:before="183" w:line="359" w:lineRule="auto"/>
              <w:ind w:left="109" w:right="102" w:firstLine="479"/>
            </w:pPr>
            <w:r>
              <w:rPr>
                <w:spacing w:val="3"/>
              </w:rPr>
              <w:t>柴油机使用符合国标的</w:t>
            </w:r>
            <w:r>
              <w:rPr>
                <w:rFonts w:ascii="Times New Roman" w:hAnsi="Times New Roman" w:eastAsia="Times New Roman" w:cs="Times New Roman"/>
                <w:spacing w:val="3"/>
              </w:rPr>
              <w:t>0#</w:t>
            </w:r>
            <w:r>
              <w:rPr>
                <w:spacing w:val="3"/>
              </w:rPr>
              <w:t>或</w:t>
            </w:r>
            <w:r>
              <w:rPr>
                <w:rFonts w:ascii="Times New Roman" w:hAnsi="Times New Roman" w:eastAsia="Times New Roman" w:cs="Times New Roman"/>
                <w:spacing w:val="3"/>
              </w:rPr>
              <w:t>-35#</w:t>
            </w:r>
            <w:r>
              <w:rPr>
                <w:spacing w:val="3"/>
              </w:rPr>
              <w:t>轻质柴油（冬季使用</w:t>
            </w:r>
            <w:r>
              <w:rPr>
                <w:rFonts w:ascii="Times New Roman" w:hAnsi="Times New Roman" w:eastAsia="Times New Roman" w:cs="Times New Roman"/>
                <w:spacing w:val="3"/>
              </w:rPr>
              <w:t>-35#</w:t>
            </w:r>
            <w:r>
              <w:rPr>
                <w:spacing w:val="3"/>
              </w:rPr>
              <w:t>轻质柴油，其他</w:t>
            </w:r>
            <w:r>
              <w:rPr>
                <w:spacing w:val="1"/>
              </w:rPr>
              <w:t>季节使用</w:t>
            </w:r>
            <w:r>
              <w:rPr>
                <w:rFonts w:ascii="Times New Roman" w:hAnsi="Times New Roman" w:eastAsia="Times New Roman" w:cs="Times New Roman"/>
                <w:spacing w:val="1"/>
              </w:rPr>
              <w:t>0#</w:t>
            </w:r>
            <w:r>
              <w:rPr>
                <w:spacing w:val="1"/>
              </w:rPr>
              <w:t>轻质柴油</w:t>
            </w:r>
            <w:r>
              <w:t>），</w:t>
            </w:r>
            <w:r>
              <w:rPr>
                <w:spacing w:val="1"/>
              </w:rPr>
              <w:t>使用过程产生燃烧废气，废气排放满足《大气污</w:t>
            </w:r>
            <w:r>
              <w:t>染物</w:t>
            </w:r>
            <w:r>
              <w:rPr>
                <w:spacing w:val="-1"/>
              </w:rPr>
              <w:t>综合排放标准》（</w:t>
            </w:r>
            <w:r>
              <w:rPr>
                <w:rFonts w:ascii="Times New Roman" w:hAnsi="Times New Roman" w:eastAsia="Times New Roman" w:cs="Times New Roman"/>
                <w:spacing w:val="-1"/>
              </w:rPr>
              <w:t>GB16297-</w:t>
            </w:r>
            <w:r>
              <w:rPr>
                <w:rFonts w:ascii="Times New Roman" w:hAnsi="Times New Roman" w:eastAsia="Times New Roman" w:cs="Times New Roman"/>
                <w:spacing w:val="-30"/>
              </w:rPr>
              <w:t xml:space="preserve"> </w:t>
            </w:r>
            <w:r>
              <w:rPr>
                <w:rFonts w:ascii="Times New Roman" w:hAnsi="Times New Roman" w:eastAsia="Times New Roman" w:cs="Times New Roman"/>
                <w:spacing w:val="-1"/>
              </w:rPr>
              <w:t>1996</w:t>
            </w:r>
            <w:r>
              <w:rPr>
                <w:spacing w:val="-1"/>
              </w:rPr>
              <w:t>）中表</w:t>
            </w:r>
            <w:r>
              <w:rPr>
                <w:spacing w:val="-55"/>
              </w:rPr>
              <w:t xml:space="preserve"> </w:t>
            </w:r>
            <w:r>
              <w:rPr>
                <w:rFonts w:ascii="Times New Roman" w:hAnsi="Times New Roman" w:eastAsia="Times New Roman" w:cs="Times New Roman"/>
                <w:spacing w:val="-1"/>
              </w:rPr>
              <w:t xml:space="preserve">2 </w:t>
            </w:r>
            <w:r>
              <w:rPr>
                <w:spacing w:val="-1"/>
              </w:rPr>
              <w:t>最高允许</w:t>
            </w:r>
            <w:r>
              <w:rPr>
                <w:spacing w:val="-2"/>
              </w:rPr>
              <w:t>排放浓度指标要求。</w:t>
            </w:r>
          </w:p>
          <w:p w14:paraId="619AA709">
            <w:pPr>
              <w:pStyle w:val="6"/>
              <w:spacing w:before="1" w:line="359" w:lineRule="auto"/>
              <w:ind w:left="107" w:right="102" w:firstLine="480"/>
            </w:pPr>
            <w:r>
              <w:rPr>
                <w:spacing w:val="1"/>
              </w:rPr>
              <w:t>施工期采用先进的柴油发电机组，严禁使用超期服役和尾气超标的设备；</w:t>
            </w:r>
            <w:r>
              <w:rPr>
                <w:spacing w:val="2"/>
              </w:rPr>
              <w:t>使用符合国标的</w:t>
            </w:r>
            <w:r>
              <w:rPr>
                <w:rFonts w:ascii="Times New Roman" w:hAnsi="Times New Roman" w:eastAsia="Times New Roman" w:cs="Times New Roman"/>
                <w:spacing w:val="2"/>
              </w:rPr>
              <w:t>0#</w:t>
            </w:r>
            <w:r>
              <w:rPr>
                <w:spacing w:val="2"/>
              </w:rPr>
              <w:t>或</w:t>
            </w:r>
            <w:r>
              <w:rPr>
                <w:rFonts w:ascii="Times New Roman" w:hAnsi="Times New Roman" w:eastAsia="Times New Roman" w:cs="Times New Roman"/>
                <w:spacing w:val="2"/>
              </w:rPr>
              <w:t>-35#</w:t>
            </w:r>
            <w:r>
              <w:rPr>
                <w:spacing w:val="2"/>
              </w:rPr>
              <w:t>轻质柴油，避免排放黑烟，减少有害废气排放；加强</w:t>
            </w:r>
            <w:r>
              <w:rPr>
                <w:spacing w:val="1"/>
              </w:rPr>
              <w:t>对设备检修和维护保养，使其保持良好的工作状态。同时项目影响范围很小，周边较为空旷，扩散条件好，当地大气环境质量的影响将是局部的、暂时的，</w:t>
            </w:r>
            <w:r>
              <w:rPr>
                <w:spacing w:val="-1"/>
              </w:rPr>
              <w:t>不会造成大的影响，措施可行。</w:t>
            </w:r>
          </w:p>
          <w:p w14:paraId="45971B76">
            <w:pPr>
              <w:pStyle w:val="6"/>
              <w:spacing w:before="1" w:line="219" w:lineRule="auto"/>
              <w:ind w:left="588"/>
            </w:pPr>
            <w:r>
              <w:rPr>
                <w:rFonts w:ascii="Times New Roman" w:hAnsi="Times New Roman" w:eastAsia="Times New Roman" w:cs="Times New Roman"/>
                <w:spacing w:val="-4"/>
              </w:rPr>
              <w:t>3</w:t>
            </w:r>
            <w:r>
              <w:rPr>
                <w:rFonts w:ascii="Times New Roman" w:hAnsi="Times New Roman" w:eastAsia="Times New Roman" w:cs="Times New Roman"/>
                <w:spacing w:val="-34"/>
              </w:rPr>
              <w:t xml:space="preserve"> </w:t>
            </w:r>
            <w:r>
              <w:rPr>
                <w:spacing w:val="-4"/>
              </w:rPr>
              <w:t>、柴油罐挥发废气</w:t>
            </w:r>
          </w:p>
          <w:p w14:paraId="17523156">
            <w:pPr>
              <w:pStyle w:val="6"/>
              <w:spacing w:before="182" w:line="219" w:lineRule="auto"/>
              <w:ind w:left="591"/>
            </w:pPr>
            <w:r>
              <w:rPr>
                <w:spacing w:val="-1"/>
              </w:rPr>
              <w:t>为防止烃类气体的无组织挥发，项目拟采取以下措施：</w:t>
            </w:r>
          </w:p>
        </w:tc>
      </w:tr>
    </w:tbl>
    <w:p w14:paraId="53B9033A">
      <w:pPr>
        <w:rPr>
          <w:rFonts w:ascii="Arial"/>
          <w:sz w:val="21"/>
        </w:rPr>
      </w:pPr>
    </w:p>
    <w:p w14:paraId="09D99446">
      <w:pPr>
        <w:rPr>
          <w:rFonts w:ascii="Arial" w:hAnsi="Arial" w:eastAsia="Arial" w:cs="Arial"/>
          <w:sz w:val="21"/>
          <w:szCs w:val="21"/>
        </w:rPr>
        <w:sectPr>
          <w:footerReference r:id="rId92" w:type="default"/>
          <w:pgSz w:w="11906" w:h="16839"/>
          <w:pgMar w:top="400" w:right="1410" w:bottom="1240" w:left="1579" w:header="0" w:footer="1078" w:gutter="0"/>
          <w:cols w:space="720" w:num="1"/>
        </w:sectPr>
      </w:pPr>
    </w:p>
    <w:p w14:paraId="2D77C86A">
      <w:pPr>
        <w:spacing w:before="56"/>
      </w:pPr>
    </w:p>
    <w:p w14:paraId="78E6FBAD">
      <w:pPr>
        <w:spacing w:before="56"/>
      </w:pPr>
    </w:p>
    <w:p w14:paraId="68763E51">
      <w:pPr>
        <w:spacing w:before="55"/>
      </w:pPr>
    </w:p>
    <w:p w14:paraId="15497067">
      <w:pPr>
        <w:spacing w:before="55"/>
      </w:pPr>
    </w:p>
    <w:tbl>
      <w:tblPr>
        <w:tblStyle w:val="5"/>
        <w:tblW w:w="890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86"/>
        <w:gridCol w:w="8415"/>
      </w:tblGrid>
      <w:tr w14:paraId="0A9144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486" w:type="dxa"/>
            <w:tcBorders>
              <w:right w:val="single" w:color="000000" w:sz="2" w:space="0"/>
            </w:tcBorders>
            <w:vAlign w:val="top"/>
          </w:tcPr>
          <w:p w14:paraId="72C50823">
            <w:pPr>
              <w:rPr>
                <w:rFonts w:ascii="Arial"/>
                <w:sz w:val="21"/>
              </w:rPr>
            </w:pPr>
          </w:p>
        </w:tc>
        <w:tc>
          <w:tcPr>
            <w:tcW w:w="8415" w:type="dxa"/>
            <w:tcBorders>
              <w:left w:val="single" w:color="000000" w:sz="2" w:space="0"/>
            </w:tcBorders>
            <w:vAlign w:val="top"/>
          </w:tcPr>
          <w:p w14:paraId="6108B0B7">
            <w:pPr>
              <w:pStyle w:val="6"/>
              <w:spacing w:before="39" w:line="219" w:lineRule="auto"/>
              <w:ind w:left="599"/>
            </w:pPr>
            <w:r>
              <w:rPr>
                <w:spacing w:val="-1"/>
              </w:rPr>
              <w:t>（</w:t>
            </w:r>
            <w:r>
              <w:rPr>
                <w:rFonts w:ascii="Times New Roman" w:hAnsi="Times New Roman" w:eastAsia="Times New Roman" w:cs="Times New Roman"/>
                <w:spacing w:val="-1"/>
              </w:rPr>
              <w:t>1</w:t>
            </w:r>
            <w:r>
              <w:rPr>
                <w:spacing w:val="-1"/>
              </w:rPr>
              <w:t>）储油罐采用防腐贮罐，采用环密技术防止烃类泄漏。</w:t>
            </w:r>
          </w:p>
          <w:p w14:paraId="50553F30">
            <w:pPr>
              <w:pStyle w:val="6"/>
              <w:spacing w:before="184" w:line="359" w:lineRule="auto"/>
              <w:ind w:left="114" w:right="41" w:firstLine="485"/>
            </w:pPr>
            <w:r>
              <w:rPr>
                <w:spacing w:val="-8"/>
              </w:rPr>
              <w:t>（</w:t>
            </w:r>
            <w:r>
              <w:rPr>
                <w:rFonts w:ascii="Times New Roman" w:hAnsi="Times New Roman" w:eastAsia="Times New Roman" w:cs="Times New Roman"/>
                <w:spacing w:val="-8"/>
              </w:rPr>
              <w:t>2</w:t>
            </w:r>
            <w:r>
              <w:rPr>
                <w:spacing w:val="-8"/>
              </w:rPr>
              <w:t>）罐体应保持完好，不应有孔洞和裂隙。设置切断系统，一</w:t>
            </w:r>
            <w:r>
              <w:rPr>
                <w:spacing w:val="-9"/>
              </w:rPr>
              <w:t>旦发生事故，</w:t>
            </w:r>
            <w:r>
              <w:rPr>
                <w:spacing w:val="-1"/>
              </w:rPr>
              <w:t>紧急切断油源，从而最大限度地减少烃类及油的排放量。</w:t>
            </w:r>
          </w:p>
          <w:p w14:paraId="5F50463E">
            <w:pPr>
              <w:pStyle w:val="6"/>
              <w:spacing w:line="359" w:lineRule="auto"/>
              <w:ind w:left="110" w:right="102" w:firstLine="489"/>
            </w:pPr>
            <w:r>
              <w:rPr>
                <w:spacing w:val="-3"/>
              </w:rPr>
              <w:t>（</w:t>
            </w:r>
            <w:r>
              <w:rPr>
                <w:rFonts w:ascii="Times New Roman" w:hAnsi="Times New Roman" w:eastAsia="Times New Roman" w:cs="Times New Roman"/>
                <w:spacing w:val="-3"/>
              </w:rPr>
              <w:t>3</w:t>
            </w:r>
            <w:r>
              <w:rPr>
                <w:spacing w:val="-3"/>
              </w:rPr>
              <w:t>）对管线、阀门等进行定期地检查、检修，以防止跑、冒、滴、漏的发</w:t>
            </w:r>
            <w:r>
              <w:rPr>
                <w:spacing w:val="-6"/>
              </w:rPr>
              <w:t>生。</w:t>
            </w:r>
          </w:p>
          <w:p w14:paraId="3AA52695">
            <w:pPr>
              <w:pStyle w:val="6"/>
              <w:spacing w:line="218" w:lineRule="auto"/>
              <w:ind w:left="587"/>
            </w:pPr>
            <w:r>
              <w:t>采取上述措施后经预测，柴油罐区无组织排放非甲</w:t>
            </w:r>
            <w:r>
              <w:rPr>
                <w:spacing w:val="-1"/>
              </w:rPr>
              <w:t>烷总烃最大落地浓度为</w:t>
            </w:r>
          </w:p>
          <w:p w14:paraId="3B3275F1">
            <w:pPr>
              <w:pStyle w:val="6"/>
              <w:spacing w:before="181" w:line="212" w:lineRule="auto"/>
              <w:ind w:left="127"/>
            </w:pPr>
            <w:r>
              <w:rPr>
                <w:rFonts w:ascii="Times New Roman" w:hAnsi="Times New Roman" w:eastAsia="Times New Roman" w:cs="Times New Roman"/>
                <w:spacing w:val="-2"/>
              </w:rPr>
              <w:t>1.45mg/m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position w:val="7"/>
                <w:sz w:val="15"/>
                <w:szCs w:val="15"/>
              </w:rPr>
              <w:t xml:space="preserve"> </w:t>
            </w:r>
            <w:r>
              <w:rPr>
                <w:spacing w:val="-2"/>
              </w:rPr>
              <w:t>，因此项目无组织排放废气对周围大气环境影响很小。</w:t>
            </w:r>
          </w:p>
          <w:p w14:paraId="3751DB4A">
            <w:pPr>
              <w:pStyle w:val="6"/>
              <w:spacing w:before="192" w:line="219" w:lineRule="auto"/>
              <w:ind w:left="582"/>
            </w:pPr>
            <w:r>
              <w:rPr>
                <w:rFonts w:ascii="Times New Roman" w:hAnsi="Times New Roman" w:eastAsia="Times New Roman" w:cs="Times New Roman"/>
                <w:spacing w:val="-4"/>
              </w:rPr>
              <w:t>4</w:t>
            </w:r>
            <w:r>
              <w:rPr>
                <w:rFonts w:ascii="Times New Roman" w:hAnsi="Times New Roman" w:eastAsia="Times New Roman" w:cs="Times New Roman"/>
                <w:spacing w:val="-29"/>
              </w:rPr>
              <w:t xml:space="preserve"> </w:t>
            </w:r>
            <w:r>
              <w:rPr>
                <w:spacing w:val="-4"/>
              </w:rPr>
              <w:t>、储液罐挥发废气</w:t>
            </w:r>
          </w:p>
          <w:p w14:paraId="5C9C56A9">
            <w:pPr>
              <w:pStyle w:val="6"/>
              <w:spacing w:before="182" w:line="359" w:lineRule="auto"/>
              <w:ind w:left="107" w:right="50" w:firstLine="484"/>
            </w:pPr>
            <w:r>
              <w:rPr>
                <w:spacing w:val="1"/>
              </w:rPr>
              <w:t>项目试油阶段储液罐内挥发产生的废气主要为非甲烷总烃，非甲</w:t>
            </w:r>
            <w:r>
              <w:t>烷总烃产</w:t>
            </w:r>
            <w:r>
              <w:rPr>
                <w:spacing w:val="-3"/>
              </w:rPr>
              <w:t>生量较少，浓度较低，且污染形式呈分散的面源，地区环境</w:t>
            </w:r>
            <w:r>
              <w:rPr>
                <w:spacing w:val="-4"/>
              </w:rPr>
              <w:t>有利于污染物扩散</w:t>
            </w:r>
            <w:r>
              <w:rPr>
                <w:spacing w:val="-4"/>
                <w:sz w:val="20"/>
                <w:szCs w:val="20"/>
              </w:rPr>
              <w:t>，</w:t>
            </w:r>
            <w:r>
              <w:rPr>
                <w:spacing w:val="-1"/>
              </w:rPr>
              <w:t>对环境产生的影响不大。</w:t>
            </w:r>
          </w:p>
          <w:p w14:paraId="10B9569E">
            <w:pPr>
              <w:pStyle w:val="6"/>
              <w:spacing w:before="1" w:line="218" w:lineRule="auto"/>
              <w:ind w:left="591"/>
            </w:pPr>
            <w:r>
              <w:rPr>
                <w:spacing w:val="-1"/>
              </w:rPr>
              <w:t>为减少烃类气体的无组织挥发，项目拟采取以下措施：</w:t>
            </w:r>
          </w:p>
          <w:p w14:paraId="354172D8">
            <w:pPr>
              <w:pStyle w:val="6"/>
              <w:spacing w:before="184" w:line="359" w:lineRule="auto"/>
              <w:ind w:left="111" w:right="102" w:firstLine="488"/>
            </w:pPr>
            <w:r>
              <w:rPr>
                <w:spacing w:val="-3"/>
              </w:rPr>
              <w:t>（</w:t>
            </w:r>
            <w:r>
              <w:rPr>
                <w:rFonts w:ascii="Times New Roman" w:hAnsi="Times New Roman" w:eastAsia="Times New Roman" w:cs="Times New Roman"/>
                <w:spacing w:val="-3"/>
              </w:rPr>
              <w:t>1</w:t>
            </w:r>
            <w:r>
              <w:rPr>
                <w:spacing w:val="-3"/>
              </w:rPr>
              <w:t>）储液罐采用卧式高架固定顶储液罐，采用环密技术，减少烃类废气无组织挥发。</w:t>
            </w:r>
          </w:p>
          <w:p w14:paraId="73D283D5">
            <w:pPr>
              <w:pStyle w:val="6"/>
              <w:spacing w:before="3" w:line="358" w:lineRule="auto"/>
              <w:ind w:left="106" w:right="102" w:firstLine="493"/>
            </w:pPr>
            <w:r>
              <w:rPr>
                <w:spacing w:val="-3"/>
              </w:rPr>
              <w:t>（</w:t>
            </w:r>
            <w:r>
              <w:rPr>
                <w:rFonts w:ascii="Times New Roman" w:hAnsi="Times New Roman" w:eastAsia="Times New Roman" w:cs="Times New Roman"/>
                <w:spacing w:val="-3"/>
              </w:rPr>
              <w:t>2</w:t>
            </w:r>
            <w:r>
              <w:rPr>
                <w:spacing w:val="-3"/>
              </w:rPr>
              <w:t>）为减轻集输过程中烃类的损失，采用密闭集输流程，井口、储液罐设</w:t>
            </w:r>
            <w:r>
              <w:rPr>
                <w:spacing w:val="1"/>
              </w:rPr>
              <w:t>置切断阀，一旦发生事故，紧急切断油源，从而最大限度地减少油气集输过程</w:t>
            </w:r>
            <w:r>
              <w:rPr>
                <w:spacing w:val="-1"/>
              </w:rPr>
              <w:t>中烃类及油的排放量。</w:t>
            </w:r>
          </w:p>
          <w:p w14:paraId="79EE1202">
            <w:pPr>
              <w:pStyle w:val="6"/>
              <w:spacing w:line="359" w:lineRule="auto"/>
              <w:ind w:left="108" w:right="102" w:firstLine="491"/>
            </w:pPr>
            <w:r>
              <w:rPr>
                <w:spacing w:val="-3"/>
              </w:rPr>
              <w:t>（</w:t>
            </w:r>
            <w:r>
              <w:rPr>
                <w:rFonts w:ascii="Times New Roman" w:hAnsi="Times New Roman" w:eastAsia="Times New Roman" w:cs="Times New Roman"/>
                <w:spacing w:val="-3"/>
              </w:rPr>
              <w:t>3</w:t>
            </w:r>
            <w:r>
              <w:rPr>
                <w:spacing w:val="-3"/>
              </w:rPr>
              <w:t>）加强井下作业和油井生产管理，减少烃类散失，试采作业前，做好油</w:t>
            </w:r>
            <w:r>
              <w:rPr>
                <w:spacing w:val="-1"/>
              </w:rPr>
              <w:t>井的压力监测，并准备应急措施。</w:t>
            </w:r>
          </w:p>
          <w:p w14:paraId="02B7C3EC">
            <w:pPr>
              <w:pStyle w:val="6"/>
              <w:spacing w:before="2" w:line="359" w:lineRule="auto"/>
              <w:ind w:left="110" w:right="22" w:firstLine="489"/>
            </w:pPr>
            <w:r>
              <w:rPr>
                <w:spacing w:val="-8"/>
              </w:rPr>
              <w:t>（</w:t>
            </w:r>
            <w:r>
              <w:rPr>
                <w:rFonts w:ascii="Times New Roman" w:hAnsi="Times New Roman" w:eastAsia="Times New Roman" w:cs="Times New Roman"/>
                <w:spacing w:val="-8"/>
              </w:rPr>
              <w:t>4</w:t>
            </w:r>
            <w:r>
              <w:rPr>
                <w:spacing w:val="-8"/>
              </w:rPr>
              <w:t>）对井场的设备、管线、阀门等进行定期的检查、检修，以防止跑、冒、</w:t>
            </w:r>
            <w:r>
              <w:rPr>
                <w:spacing w:val="1"/>
              </w:rPr>
              <w:t>滴、漏的发生。还要定期对采出液管线进行巡检，以便及时发现问题</w:t>
            </w:r>
            <w:r>
              <w:t>，消除事</w:t>
            </w:r>
            <w:r>
              <w:rPr>
                <w:spacing w:val="-3"/>
              </w:rPr>
              <w:t>故隐患。</w:t>
            </w:r>
          </w:p>
          <w:p w14:paraId="7D89897E">
            <w:pPr>
              <w:pStyle w:val="6"/>
              <w:spacing w:line="359" w:lineRule="auto"/>
              <w:ind w:left="108" w:right="102" w:firstLine="491"/>
            </w:pPr>
            <w:r>
              <w:rPr>
                <w:spacing w:val="-3"/>
              </w:rPr>
              <w:t>（</w:t>
            </w:r>
            <w:r>
              <w:rPr>
                <w:rFonts w:ascii="Times New Roman" w:hAnsi="Times New Roman" w:eastAsia="Times New Roman" w:cs="Times New Roman"/>
                <w:spacing w:val="-3"/>
              </w:rPr>
              <w:t>5</w:t>
            </w:r>
            <w:r>
              <w:rPr>
                <w:spacing w:val="-3"/>
              </w:rPr>
              <w:t>）采出液装车会有少量烃类气体的无组织挥发，本工程拟采取以下防治</w:t>
            </w:r>
            <w:r>
              <w:rPr>
                <w:spacing w:val="-4"/>
              </w:rPr>
              <w:t>措施：</w:t>
            </w:r>
          </w:p>
          <w:p w14:paraId="421454F5">
            <w:pPr>
              <w:pStyle w:val="6"/>
              <w:spacing w:line="359" w:lineRule="auto"/>
              <w:ind w:left="108" w:right="102" w:firstLine="498"/>
            </w:pPr>
            <w:r>
              <w:rPr>
                <w:rFonts w:ascii="Times New Roman" w:hAnsi="Times New Roman" w:eastAsia="Times New Roman" w:cs="Times New Roman"/>
                <w:spacing w:val="-3"/>
              </w:rPr>
              <w:t>1</w:t>
            </w:r>
            <w:r>
              <w:rPr>
                <w:spacing w:val="-3"/>
              </w:rPr>
              <w:t>）井口采用先进的井控装置，同时采取密闭集输工艺，装</w:t>
            </w:r>
            <w:r>
              <w:rPr>
                <w:spacing w:val="-4"/>
              </w:rPr>
              <w:t>车过程采用密闭</w:t>
            </w:r>
            <w:r>
              <w:rPr>
                <w:spacing w:val="-1"/>
              </w:rPr>
              <w:t>装车流程，最大限度地降低烃类气体的无组织挥发量。</w:t>
            </w:r>
          </w:p>
          <w:p w14:paraId="1E30188D">
            <w:pPr>
              <w:pStyle w:val="6"/>
              <w:spacing w:before="4" w:line="347" w:lineRule="auto"/>
              <w:ind w:left="107" w:right="41" w:firstLine="476"/>
            </w:pPr>
            <w:r>
              <w:rPr>
                <w:rFonts w:ascii="Times New Roman" w:hAnsi="Times New Roman" w:eastAsia="Times New Roman" w:cs="Times New Roman"/>
                <w:spacing w:val="-8"/>
              </w:rPr>
              <w:t>2</w:t>
            </w:r>
            <w:r>
              <w:rPr>
                <w:spacing w:val="-8"/>
              </w:rPr>
              <w:t>）加强采出液装车过程管理，在储液罐上安装简易装车流程。装车过程中，</w:t>
            </w:r>
            <w:r>
              <w:rPr>
                <w:spacing w:val="1"/>
              </w:rPr>
              <w:t>采用浸没式装车方式，采出液通过罐体上端的拉油鹤管输送到拉油罐车里，且</w:t>
            </w:r>
            <w:r>
              <w:t>确保拉油鹤管出口一直延伸至罐车底部，有效地</w:t>
            </w:r>
            <w:r>
              <w:rPr>
                <w:spacing w:val="-1"/>
              </w:rPr>
              <w:t>降低烃类气体的挥发。</w:t>
            </w:r>
          </w:p>
        </w:tc>
      </w:tr>
    </w:tbl>
    <w:p w14:paraId="5941EC67">
      <w:pPr>
        <w:rPr>
          <w:rFonts w:ascii="Arial"/>
          <w:sz w:val="21"/>
        </w:rPr>
      </w:pPr>
    </w:p>
    <w:p w14:paraId="6C75A1E8">
      <w:pPr>
        <w:rPr>
          <w:rFonts w:ascii="Arial" w:hAnsi="Arial" w:eastAsia="Arial" w:cs="Arial"/>
          <w:sz w:val="21"/>
          <w:szCs w:val="21"/>
        </w:rPr>
        <w:sectPr>
          <w:footerReference r:id="rId93" w:type="default"/>
          <w:pgSz w:w="11906" w:h="16839"/>
          <w:pgMar w:top="400" w:right="1410" w:bottom="1240" w:left="1579" w:header="0" w:footer="1078" w:gutter="0"/>
          <w:cols w:space="720" w:num="1"/>
        </w:sectPr>
      </w:pPr>
    </w:p>
    <w:p w14:paraId="05D00E63">
      <w:pPr>
        <w:spacing w:before="56"/>
      </w:pPr>
    </w:p>
    <w:p w14:paraId="533DE583">
      <w:pPr>
        <w:spacing w:before="56"/>
      </w:pPr>
    </w:p>
    <w:p w14:paraId="25FD842A">
      <w:pPr>
        <w:spacing w:before="55"/>
      </w:pPr>
    </w:p>
    <w:p w14:paraId="63B64C91">
      <w:pPr>
        <w:spacing w:before="55"/>
      </w:pPr>
    </w:p>
    <w:tbl>
      <w:tblPr>
        <w:tblStyle w:val="5"/>
        <w:tblW w:w="890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86"/>
        <w:gridCol w:w="8415"/>
      </w:tblGrid>
      <w:tr w14:paraId="74F77A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486" w:type="dxa"/>
            <w:tcBorders>
              <w:right w:val="single" w:color="000000" w:sz="2" w:space="0"/>
            </w:tcBorders>
            <w:vAlign w:val="top"/>
          </w:tcPr>
          <w:p w14:paraId="7FFCC0FB">
            <w:pPr>
              <w:rPr>
                <w:rFonts w:ascii="Arial"/>
                <w:sz w:val="21"/>
              </w:rPr>
            </w:pPr>
          </w:p>
        </w:tc>
        <w:tc>
          <w:tcPr>
            <w:tcW w:w="8415" w:type="dxa"/>
            <w:tcBorders>
              <w:left w:val="single" w:color="000000" w:sz="2" w:space="0"/>
            </w:tcBorders>
            <w:vAlign w:val="top"/>
          </w:tcPr>
          <w:p w14:paraId="2507F5E6">
            <w:pPr>
              <w:pStyle w:val="6"/>
              <w:spacing w:before="40" w:line="219" w:lineRule="auto"/>
              <w:ind w:left="588"/>
            </w:pPr>
            <w:r>
              <w:rPr>
                <w:rFonts w:ascii="Times New Roman" w:hAnsi="Times New Roman" w:eastAsia="Times New Roman" w:cs="Times New Roman"/>
                <w:spacing w:val="-1"/>
              </w:rPr>
              <w:t>3</w:t>
            </w:r>
            <w:r>
              <w:rPr>
                <w:spacing w:val="-1"/>
              </w:rPr>
              <w:t>）油罐车运输过程中确保油罐全程密闭，减少烃类气体的挥发。</w:t>
            </w:r>
          </w:p>
          <w:p w14:paraId="4EC34698">
            <w:pPr>
              <w:pStyle w:val="6"/>
              <w:spacing w:before="182" w:line="359" w:lineRule="auto"/>
              <w:ind w:left="108" w:right="102" w:firstLine="481"/>
            </w:pPr>
            <w:r>
              <w:rPr>
                <w:spacing w:val="-4"/>
              </w:rPr>
              <w:t>经预测可知，无组织非甲烷总烃最大落地浓度为</w:t>
            </w:r>
            <w:r>
              <w:rPr>
                <w:spacing w:val="-37"/>
              </w:rPr>
              <w:t xml:space="preserve"> </w:t>
            </w:r>
            <w:r>
              <w:rPr>
                <w:rFonts w:ascii="Times New Roman" w:hAnsi="Times New Roman" w:eastAsia="Times New Roman" w:cs="Times New Roman"/>
                <w:spacing w:val="-4"/>
              </w:rPr>
              <w:t>0.49mg/m</w:t>
            </w:r>
            <w:r>
              <w:rPr>
                <w:rFonts w:ascii="Times New Roman" w:hAnsi="Times New Roman" w:eastAsia="Times New Roman" w:cs="Times New Roman"/>
                <w:spacing w:val="-4"/>
                <w:position w:val="8"/>
                <w:sz w:val="15"/>
                <w:szCs w:val="15"/>
              </w:rPr>
              <w:t>3</w:t>
            </w:r>
            <w:r>
              <w:rPr>
                <w:spacing w:val="-4"/>
              </w:rPr>
              <w:t>，井场场界非甲</w:t>
            </w:r>
            <w:r>
              <w:rPr>
                <w:spacing w:val="24"/>
              </w:rPr>
              <w:t>烷总烃排放浓度满足《陆上石油天然气开采工业大气污染物排放标准》</w:t>
            </w:r>
            <w:r>
              <w:t xml:space="preserve"> （</w:t>
            </w:r>
            <w:r>
              <w:rPr>
                <w:rFonts w:ascii="Times New Roman" w:hAnsi="Times New Roman" w:eastAsia="Times New Roman" w:cs="Times New Roman"/>
              </w:rPr>
              <w:t>GB39728-2020</w:t>
            </w:r>
            <w:r>
              <w:t>）企业边界污</w:t>
            </w:r>
            <w:r>
              <w:rPr>
                <w:spacing w:val="-1"/>
              </w:rPr>
              <w:t>染物控制要求，井场内非甲烷总烃排放浓度满足</w:t>
            </w:r>
            <w:r>
              <w:t>《挥发性有机物无组织排放控制标准》（</w:t>
            </w:r>
            <w:r>
              <w:rPr>
                <w:rFonts w:ascii="Times New Roman" w:hAnsi="Times New Roman" w:eastAsia="Times New Roman" w:cs="Times New Roman"/>
              </w:rPr>
              <w:t>GB37822-</w:t>
            </w:r>
            <w:r>
              <w:rPr>
                <w:rFonts w:ascii="Times New Roman" w:hAnsi="Times New Roman" w:eastAsia="Times New Roman" w:cs="Times New Roman"/>
                <w:spacing w:val="-1"/>
              </w:rPr>
              <w:t>2019</w:t>
            </w:r>
            <w:r>
              <w:rPr>
                <w:spacing w:val="-1"/>
              </w:rPr>
              <w:t>）表</w:t>
            </w:r>
            <w:r>
              <w:rPr>
                <w:spacing w:val="-58"/>
              </w:rPr>
              <w:t xml:space="preserve"> </w:t>
            </w:r>
            <w:r>
              <w:rPr>
                <w:rFonts w:ascii="Times New Roman" w:hAnsi="Times New Roman" w:eastAsia="Times New Roman" w:cs="Times New Roman"/>
                <w:spacing w:val="-1"/>
              </w:rPr>
              <w:t xml:space="preserve">A.1 </w:t>
            </w:r>
            <w:r>
              <w:rPr>
                <w:spacing w:val="-1"/>
              </w:rPr>
              <w:t>要求，对周围环境空气影响较小，措施可行。</w:t>
            </w:r>
          </w:p>
          <w:p w14:paraId="5CB8E3D1">
            <w:pPr>
              <w:pStyle w:val="6"/>
              <w:spacing w:line="219" w:lineRule="auto"/>
              <w:ind w:left="590"/>
            </w:pPr>
            <w:r>
              <w:rPr>
                <w:rFonts w:ascii="Times New Roman" w:hAnsi="Times New Roman" w:eastAsia="Times New Roman" w:cs="Times New Roman"/>
                <w:spacing w:val="-8"/>
              </w:rPr>
              <w:t>5</w:t>
            </w:r>
            <w:r>
              <w:rPr>
                <w:rFonts w:ascii="Times New Roman" w:hAnsi="Times New Roman" w:eastAsia="Times New Roman" w:cs="Times New Roman"/>
                <w:spacing w:val="-33"/>
              </w:rPr>
              <w:t xml:space="preserve"> </w:t>
            </w:r>
            <w:r>
              <w:rPr>
                <w:spacing w:val="-8"/>
              </w:rPr>
              <w:t>、伴生气</w:t>
            </w:r>
          </w:p>
          <w:p w14:paraId="615E0EF1">
            <w:pPr>
              <w:pStyle w:val="6"/>
              <w:spacing w:before="183" w:line="359" w:lineRule="auto"/>
              <w:ind w:left="109" w:right="102" w:firstLine="479"/>
            </w:pPr>
            <w:r>
              <w:rPr>
                <w:spacing w:val="1"/>
              </w:rPr>
              <w:t>试油阶段勘探井伴生气体主要为天然气及少量非甲烷总烃，采用火炬就地</w:t>
            </w:r>
            <w:r>
              <w:rPr>
                <w:spacing w:val="-1"/>
              </w:rPr>
              <w:t>燃烧，燃烧产物主要为二氧化碳。</w:t>
            </w:r>
          </w:p>
          <w:p w14:paraId="3C4B1345">
            <w:pPr>
              <w:pStyle w:val="6"/>
              <w:spacing w:before="1" w:line="359" w:lineRule="auto"/>
              <w:ind w:left="108" w:right="84" w:firstLine="480"/>
              <w:jc w:val="both"/>
            </w:pPr>
            <w:r>
              <w:rPr>
                <w:spacing w:val="-3"/>
              </w:rPr>
              <w:t>试油阶段伴生气产生量取决于地层实际含量和</w:t>
            </w:r>
            <w:r>
              <w:rPr>
                <w:spacing w:val="-4"/>
              </w:rPr>
              <w:t>测试时间，项目试油</w:t>
            </w:r>
            <w:r>
              <w:rPr>
                <w:spacing w:val="-32"/>
              </w:rPr>
              <w:t xml:space="preserve"> </w:t>
            </w:r>
            <w:r>
              <w:rPr>
                <w:rFonts w:ascii="Times New Roman" w:hAnsi="Times New Roman" w:eastAsia="Times New Roman" w:cs="Times New Roman"/>
                <w:spacing w:val="-4"/>
              </w:rPr>
              <w:t>15</w:t>
            </w:r>
            <w:r>
              <w:rPr>
                <w:rFonts w:ascii="Times New Roman" w:hAnsi="Times New Roman" w:eastAsia="Times New Roman" w:cs="Times New Roman"/>
                <w:spacing w:val="15"/>
              </w:rPr>
              <w:t xml:space="preserve"> </w:t>
            </w:r>
            <w:r>
              <w:rPr>
                <w:spacing w:val="-4"/>
              </w:rPr>
              <w:t>天，</w:t>
            </w:r>
            <w:r>
              <w:rPr>
                <w:spacing w:val="1"/>
              </w:rPr>
              <w:t>时间短。放喷天然气时间更短，一般最多持续几小时。测试放喷的天然气</w:t>
            </w:r>
            <w:r>
              <w:t>经点</w:t>
            </w:r>
            <w:r>
              <w:rPr>
                <w:spacing w:val="1"/>
              </w:rPr>
              <w:t>火燃烧，其主要污染物为</w:t>
            </w:r>
            <w:r>
              <w:rPr>
                <w:spacing w:val="-57"/>
              </w:rPr>
              <w:t xml:space="preserve"> </w:t>
            </w:r>
            <w:r>
              <w:rPr>
                <w:rFonts w:ascii="Times New Roman" w:hAnsi="Times New Roman" w:eastAsia="Times New Roman" w:cs="Times New Roman"/>
              </w:rPr>
              <w:t>NO</w:t>
            </w:r>
            <w:r>
              <w:rPr>
                <w:rFonts w:ascii="Times New Roman" w:hAnsi="Times New Roman" w:eastAsia="Times New Roman" w:cs="Times New Roman"/>
                <w:position w:val="-1"/>
                <w:sz w:val="15"/>
                <w:szCs w:val="15"/>
              </w:rPr>
              <w:t>x</w:t>
            </w:r>
            <w:r>
              <w:rPr>
                <w:rFonts w:ascii="Times New Roman" w:hAnsi="Times New Roman" w:eastAsia="Times New Roman" w:cs="Times New Roman"/>
                <w:spacing w:val="-8"/>
                <w:position w:val="-1"/>
                <w:sz w:val="15"/>
                <w:szCs w:val="15"/>
              </w:rPr>
              <w:t xml:space="preserve"> </w:t>
            </w:r>
            <w:r>
              <w:rPr>
                <w:spacing w:val="1"/>
              </w:rPr>
              <w:t>、</w:t>
            </w:r>
            <w:r>
              <w:rPr>
                <w:rFonts w:ascii="Times New Roman" w:hAnsi="Times New Roman" w:eastAsia="Times New Roman" w:cs="Times New Roman"/>
              </w:rPr>
              <w:t>CO</w:t>
            </w:r>
            <w:r>
              <w:rPr>
                <w:rFonts w:ascii="Times New Roman" w:hAnsi="Times New Roman" w:eastAsia="Times New Roman" w:cs="Times New Roman"/>
                <w:spacing w:val="1"/>
                <w:position w:val="-1"/>
                <w:sz w:val="15"/>
                <w:szCs w:val="15"/>
              </w:rPr>
              <w:t xml:space="preserve">2 </w:t>
            </w:r>
            <w:r>
              <w:rPr>
                <w:spacing w:val="1"/>
              </w:rPr>
              <w:t>。井眼加装井下压力感应装置，遇到气体逸散将自动报警并转入压井状态，试油阶段伴生气放喷试验时间短暂，燃</w:t>
            </w:r>
            <w:r>
              <w:t>烧排</w:t>
            </w:r>
            <w:r>
              <w:rPr>
                <w:spacing w:val="-1"/>
              </w:rPr>
              <w:t>放量较小，对周边影响较小。</w:t>
            </w:r>
          </w:p>
          <w:p w14:paraId="4E1EAD15">
            <w:pPr>
              <w:pStyle w:val="6"/>
              <w:spacing w:line="219" w:lineRule="auto"/>
              <w:ind w:left="617"/>
            </w:pPr>
            <w:r>
              <w:rPr>
                <w:spacing w:val="-2"/>
              </w:rPr>
              <w:t>由上分析，其产生的废气对当地大气环境影响甚微。</w:t>
            </w:r>
          </w:p>
          <w:p w14:paraId="4A2F29A6">
            <w:pPr>
              <w:pStyle w:val="6"/>
              <w:spacing w:before="180" w:line="219" w:lineRule="auto"/>
              <w:ind w:left="592"/>
            </w:pPr>
            <w:r>
              <w:rPr>
                <w:b/>
                <w:bCs/>
                <w:spacing w:val="-4"/>
              </w:rPr>
              <w:t>二、施工期废水治理措施</w:t>
            </w:r>
          </w:p>
          <w:p w14:paraId="73D2D68D">
            <w:pPr>
              <w:pStyle w:val="6"/>
              <w:spacing w:before="184" w:line="219" w:lineRule="auto"/>
              <w:ind w:left="587"/>
            </w:pPr>
            <w:r>
              <w:rPr>
                <w:spacing w:val="-1"/>
              </w:rPr>
              <w:t>废水污染源主要是钻井废水、生活污水。</w:t>
            </w:r>
          </w:p>
          <w:p w14:paraId="0B83D92D">
            <w:pPr>
              <w:pStyle w:val="6"/>
              <w:spacing w:before="181" w:line="219" w:lineRule="auto"/>
              <w:ind w:left="607"/>
            </w:pPr>
            <w:r>
              <w:rPr>
                <w:rFonts w:ascii="Times New Roman" w:hAnsi="Times New Roman" w:eastAsia="Times New Roman" w:cs="Times New Roman"/>
                <w:spacing w:val="-10"/>
              </w:rPr>
              <w:t>1</w:t>
            </w:r>
            <w:r>
              <w:rPr>
                <w:rFonts w:ascii="Times New Roman" w:hAnsi="Times New Roman" w:eastAsia="Times New Roman" w:cs="Times New Roman"/>
                <w:spacing w:val="-30"/>
              </w:rPr>
              <w:t xml:space="preserve"> </w:t>
            </w:r>
            <w:r>
              <w:rPr>
                <w:spacing w:val="-10"/>
              </w:rPr>
              <w:t>、钻井废水</w:t>
            </w:r>
          </w:p>
          <w:p w14:paraId="44742262">
            <w:pPr>
              <w:pStyle w:val="6"/>
              <w:spacing w:before="183" w:line="359" w:lineRule="auto"/>
              <w:ind w:left="106" w:right="102" w:firstLine="482"/>
            </w:pPr>
            <w:r>
              <w:rPr>
                <w:spacing w:val="1"/>
              </w:rPr>
              <w:t>本项目生产过程用水主要为钻井液用水，这部分水通过钻井液配置过程进入钻井液循环系统。钻井过程中废水随同废弃泥浆、岩屑收集至可移动废</w:t>
            </w:r>
            <w:r>
              <w:t>水罐</w:t>
            </w:r>
            <w:r>
              <w:rPr>
                <w:spacing w:val="-1"/>
              </w:rPr>
              <w:t>临时贮存，</w:t>
            </w:r>
            <w:r>
              <w:rPr>
                <w:spacing w:val="-52"/>
              </w:rPr>
              <w:t xml:space="preserve"> </w:t>
            </w:r>
            <w:r>
              <w:rPr>
                <w:spacing w:val="-1"/>
              </w:rPr>
              <w:t>自然沉降后，上清液通过螺杆泵抽回到泥浆不落地循环系统，继续</w:t>
            </w:r>
            <w:r>
              <w:rPr>
                <w:spacing w:val="1"/>
              </w:rPr>
              <w:t>使用，下部无法继续使用的废水随同废弃泥浆、岩屑一并拉运至内蒙古众宁环保科技有限公司油气田废弃物集中处理厂处理。含水废弃泥浆及岩屑不在现场</w:t>
            </w:r>
            <w:r>
              <w:rPr>
                <w:spacing w:val="-1"/>
              </w:rPr>
              <w:t>进行压滤及分离，因此不单独产生钻井废水。</w:t>
            </w:r>
          </w:p>
          <w:p w14:paraId="5256C039">
            <w:pPr>
              <w:pStyle w:val="6"/>
              <w:spacing w:before="1" w:line="219" w:lineRule="auto"/>
              <w:ind w:left="584"/>
            </w:pPr>
            <w:r>
              <w:rPr>
                <w:rFonts w:ascii="Times New Roman" w:hAnsi="Times New Roman" w:eastAsia="Times New Roman" w:cs="Times New Roman"/>
                <w:spacing w:val="-6"/>
              </w:rPr>
              <w:t>2</w:t>
            </w:r>
            <w:r>
              <w:rPr>
                <w:rFonts w:ascii="Times New Roman" w:hAnsi="Times New Roman" w:eastAsia="Times New Roman" w:cs="Times New Roman"/>
                <w:spacing w:val="-31"/>
              </w:rPr>
              <w:t xml:space="preserve"> </w:t>
            </w:r>
            <w:r>
              <w:rPr>
                <w:spacing w:val="-6"/>
              </w:rPr>
              <w:t>、生活污水</w:t>
            </w:r>
          </w:p>
          <w:p w14:paraId="4BA7EAF0">
            <w:pPr>
              <w:pStyle w:val="6"/>
              <w:spacing w:before="180" w:line="354" w:lineRule="auto"/>
              <w:ind w:left="107" w:right="41" w:firstLine="484"/>
            </w:pPr>
            <w:r>
              <w:rPr>
                <w:spacing w:val="-3"/>
              </w:rPr>
              <w:t>项目盥洗废水产生量为</w:t>
            </w:r>
            <w:r>
              <w:rPr>
                <w:spacing w:val="-55"/>
              </w:rPr>
              <w:t xml:space="preserve"> </w:t>
            </w:r>
            <w:r>
              <w:rPr>
                <w:rFonts w:ascii="Times New Roman" w:hAnsi="Times New Roman" w:eastAsia="Times New Roman" w:cs="Times New Roman"/>
                <w:spacing w:val="-3"/>
              </w:rPr>
              <w:t>230.4m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rPr>
              <w:t>/</w:t>
            </w:r>
            <w:r>
              <w:rPr>
                <w:spacing w:val="-3"/>
              </w:rPr>
              <w:t>勘探期，盥洗废水主要污染</w:t>
            </w:r>
            <w:r>
              <w:rPr>
                <w:spacing w:val="-4"/>
              </w:rPr>
              <w:t>物为</w:t>
            </w:r>
            <w:r>
              <w:rPr>
                <w:spacing w:val="-61"/>
              </w:rPr>
              <w:t xml:space="preserve"> </w:t>
            </w:r>
            <w:r>
              <w:rPr>
                <w:rFonts w:ascii="Times New Roman" w:hAnsi="Times New Roman" w:eastAsia="Times New Roman" w:cs="Times New Roman"/>
                <w:spacing w:val="-4"/>
              </w:rPr>
              <w:t>pH</w:t>
            </w:r>
            <w:r>
              <w:rPr>
                <w:spacing w:val="-4"/>
              </w:rPr>
              <w:t>：</w:t>
            </w:r>
            <w:r>
              <w:rPr>
                <w:rFonts w:ascii="Times New Roman" w:hAnsi="Times New Roman" w:eastAsia="Times New Roman" w:cs="Times New Roman"/>
                <w:spacing w:val="-4"/>
              </w:rPr>
              <w:t>6~9</w:t>
            </w:r>
            <w:r>
              <w:rPr>
                <w:spacing w:val="-4"/>
              </w:rPr>
              <w:t>，</w:t>
            </w:r>
            <w:r>
              <w:t xml:space="preserve"> </w:t>
            </w:r>
            <w:r>
              <w:rPr>
                <w:rFonts w:ascii="Times New Roman" w:hAnsi="Times New Roman" w:eastAsia="Times New Roman" w:cs="Times New Roman"/>
                <w:spacing w:val="-2"/>
              </w:rPr>
              <w:t>COD</w:t>
            </w:r>
            <w:r>
              <w:rPr>
                <w:spacing w:val="-2"/>
              </w:rPr>
              <w:t>：</w:t>
            </w:r>
            <w:r>
              <w:rPr>
                <w:rFonts w:ascii="Times New Roman" w:hAnsi="Times New Roman" w:eastAsia="Times New Roman" w:cs="Times New Roman"/>
                <w:spacing w:val="-2"/>
              </w:rPr>
              <w:t>400mg/L</w:t>
            </w:r>
            <w:r>
              <w:rPr>
                <w:rFonts w:ascii="Times New Roman" w:hAnsi="Times New Roman" w:eastAsia="Times New Roman" w:cs="Times New Roman"/>
                <w:spacing w:val="-24"/>
              </w:rPr>
              <w:t xml:space="preserve"> </w:t>
            </w:r>
            <w:r>
              <w:rPr>
                <w:spacing w:val="-2"/>
              </w:rPr>
              <w:t>，</w:t>
            </w:r>
            <w:r>
              <w:rPr>
                <w:rFonts w:ascii="Times New Roman" w:hAnsi="Times New Roman" w:eastAsia="Times New Roman" w:cs="Times New Roman"/>
                <w:spacing w:val="-2"/>
              </w:rPr>
              <w:t>BOD</w:t>
            </w:r>
            <w:r>
              <w:rPr>
                <w:rFonts w:ascii="Times New Roman" w:hAnsi="Times New Roman" w:eastAsia="Times New Roman" w:cs="Times New Roman"/>
                <w:spacing w:val="-2"/>
                <w:position w:val="-1"/>
                <w:sz w:val="15"/>
                <w:szCs w:val="15"/>
              </w:rPr>
              <w:t xml:space="preserve">5 </w:t>
            </w:r>
            <w:r>
              <w:rPr>
                <w:spacing w:val="-2"/>
              </w:rPr>
              <w:t>：</w:t>
            </w:r>
            <w:r>
              <w:rPr>
                <w:rFonts w:ascii="Times New Roman" w:hAnsi="Times New Roman" w:eastAsia="Times New Roman" w:cs="Times New Roman"/>
                <w:spacing w:val="-2"/>
              </w:rPr>
              <w:t>200mg/L</w:t>
            </w:r>
            <w:r>
              <w:rPr>
                <w:rFonts w:ascii="Times New Roman" w:hAnsi="Times New Roman" w:eastAsia="Times New Roman" w:cs="Times New Roman"/>
                <w:spacing w:val="-24"/>
              </w:rPr>
              <w:t xml:space="preserve"> </w:t>
            </w:r>
            <w:r>
              <w:rPr>
                <w:spacing w:val="-2"/>
              </w:rPr>
              <w:t>，</w:t>
            </w:r>
            <w:r>
              <w:rPr>
                <w:rFonts w:ascii="Times New Roman" w:hAnsi="Times New Roman" w:eastAsia="Times New Roman" w:cs="Times New Roman"/>
                <w:spacing w:val="-2"/>
              </w:rPr>
              <w:t>SS</w:t>
            </w:r>
            <w:r>
              <w:rPr>
                <w:spacing w:val="-2"/>
              </w:rPr>
              <w:t>：</w:t>
            </w:r>
            <w:r>
              <w:rPr>
                <w:rFonts w:ascii="Times New Roman" w:hAnsi="Times New Roman" w:eastAsia="Times New Roman" w:cs="Times New Roman"/>
                <w:spacing w:val="-2"/>
              </w:rPr>
              <w:t>250mg/L</w:t>
            </w:r>
            <w:r>
              <w:rPr>
                <w:rFonts w:ascii="Times New Roman" w:hAnsi="Times New Roman" w:eastAsia="Times New Roman" w:cs="Times New Roman"/>
                <w:spacing w:val="-23"/>
              </w:rPr>
              <w:t xml:space="preserve"> </w:t>
            </w:r>
            <w:r>
              <w:rPr>
                <w:spacing w:val="-2"/>
              </w:rPr>
              <w:t>，氨氮：</w:t>
            </w:r>
            <w:r>
              <w:rPr>
                <w:rFonts w:ascii="Times New Roman" w:hAnsi="Times New Roman" w:eastAsia="Times New Roman" w:cs="Times New Roman"/>
                <w:spacing w:val="-2"/>
              </w:rPr>
              <w:t>25mg/L</w:t>
            </w:r>
            <w:r>
              <w:rPr>
                <w:rFonts w:ascii="Times New Roman" w:hAnsi="Times New Roman" w:eastAsia="Times New Roman" w:cs="Times New Roman"/>
                <w:spacing w:val="-24"/>
              </w:rPr>
              <w:t xml:space="preserve"> </w:t>
            </w:r>
            <w:r>
              <w:rPr>
                <w:spacing w:val="-3"/>
              </w:rPr>
              <w:t>，盥洗废水</w:t>
            </w:r>
            <w:r>
              <w:rPr>
                <w:spacing w:val="-1"/>
              </w:rPr>
              <w:t>排入井场设置的环保厕所，定期清掏。</w:t>
            </w:r>
          </w:p>
          <w:p w14:paraId="6CBEFFD6">
            <w:pPr>
              <w:pStyle w:val="6"/>
              <w:spacing w:before="21" w:line="219" w:lineRule="auto"/>
              <w:ind w:left="588"/>
            </w:pPr>
            <w:r>
              <w:rPr>
                <w:spacing w:val="1"/>
              </w:rPr>
              <w:t>针对含水废弃泥浆及岩屑、生活污水分别采取措施后，各废水均能得到有</w:t>
            </w:r>
          </w:p>
        </w:tc>
      </w:tr>
    </w:tbl>
    <w:p w14:paraId="786BA62E">
      <w:pPr>
        <w:rPr>
          <w:rFonts w:ascii="Arial"/>
          <w:sz w:val="21"/>
        </w:rPr>
      </w:pPr>
    </w:p>
    <w:p w14:paraId="540EA149">
      <w:pPr>
        <w:rPr>
          <w:rFonts w:ascii="Arial" w:hAnsi="Arial" w:eastAsia="Arial" w:cs="Arial"/>
          <w:sz w:val="21"/>
          <w:szCs w:val="21"/>
        </w:rPr>
        <w:sectPr>
          <w:footerReference r:id="rId94" w:type="default"/>
          <w:pgSz w:w="11906" w:h="16839"/>
          <w:pgMar w:top="400" w:right="1410" w:bottom="1240" w:left="1579" w:header="0" w:footer="1078" w:gutter="0"/>
          <w:cols w:space="720" w:num="1"/>
        </w:sectPr>
      </w:pPr>
    </w:p>
    <w:p w14:paraId="20F4CD6A">
      <w:pPr>
        <w:spacing w:before="56"/>
      </w:pPr>
    </w:p>
    <w:p w14:paraId="5796B4E4">
      <w:pPr>
        <w:spacing w:before="56"/>
      </w:pPr>
    </w:p>
    <w:p w14:paraId="6A7FFF9F">
      <w:pPr>
        <w:spacing w:before="55"/>
      </w:pPr>
    </w:p>
    <w:p w14:paraId="0C17E3A9">
      <w:pPr>
        <w:spacing w:before="55"/>
      </w:pPr>
    </w:p>
    <w:tbl>
      <w:tblPr>
        <w:tblStyle w:val="5"/>
        <w:tblW w:w="890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86"/>
        <w:gridCol w:w="8415"/>
      </w:tblGrid>
      <w:tr w14:paraId="4DC836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486" w:type="dxa"/>
            <w:tcBorders>
              <w:right w:val="single" w:color="000000" w:sz="2" w:space="0"/>
            </w:tcBorders>
            <w:vAlign w:val="top"/>
          </w:tcPr>
          <w:p w14:paraId="26A096A2">
            <w:pPr>
              <w:rPr>
                <w:rFonts w:ascii="Arial"/>
                <w:sz w:val="21"/>
              </w:rPr>
            </w:pPr>
          </w:p>
        </w:tc>
        <w:tc>
          <w:tcPr>
            <w:tcW w:w="8415" w:type="dxa"/>
            <w:tcBorders>
              <w:left w:val="single" w:color="000000" w:sz="2" w:space="0"/>
            </w:tcBorders>
            <w:vAlign w:val="top"/>
          </w:tcPr>
          <w:p w14:paraId="0E0952BE">
            <w:pPr>
              <w:pStyle w:val="6"/>
              <w:spacing w:before="40" w:line="359" w:lineRule="auto"/>
              <w:ind w:left="109" w:right="102" w:firstLine="4"/>
            </w:pPr>
            <w:r>
              <w:t>效处理；根据“建设内容</w:t>
            </w:r>
            <w:r>
              <w:rPr>
                <w:spacing w:val="-89"/>
              </w:rPr>
              <w:t xml:space="preserve"> </w:t>
            </w:r>
            <w:r>
              <w:t>”中依托工程章节分析知，含水废弃泥浆</w:t>
            </w:r>
            <w:r>
              <w:rPr>
                <w:spacing w:val="-1"/>
              </w:rPr>
              <w:t>、岩屑依托众宁公司油气田废弃物集中处理厂可行。</w:t>
            </w:r>
          </w:p>
          <w:p w14:paraId="1FBB6AB4">
            <w:pPr>
              <w:pStyle w:val="6"/>
              <w:spacing w:line="359" w:lineRule="auto"/>
              <w:ind w:left="107" w:right="102" w:firstLine="480"/>
            </w:pPr>
            <w:r>
              <w:rPr>
                <w:spacing w:val="1"/>
              </w:rPr>
              <w:t>施工期不排放污水，全部回收利用，对井场周边水环境基本没有影响，措</w:t>
            </w:r>
            <w:r>
              <w:rPr>
                <w:spacing w:val="-3"/>
              </w:rPr>
              <w:t>施可行。</w:t>
            </w:r>
          </w:p>
          <w:p w14:paraId="27FC53DB">
            <w:pPr>
              <w:pStyle w:val="6"/>
              <w:spacing w:line="220" w:lineRule="auto"/>
              <w:ind w:left="588"/>
            </w:pPr>
            <w:r>
              <w:rPr>
                <w:b/>
                <w:bCs/>
                <w:spacing w:val="-3"/>
              </w:rPr>
              <w:t>三、施工期噪声防治措施</w:t>
            </w:r>
          </w:p>
          <w:p w14:paraId="4F9E620C">
            <w:pPr>
              <w:pStyle w:val="6"/>
              <w:spacing w:before="182" w:line="359" w:lineRule="auto"/>
              <w:ind w:left="111" w:right="102" w:firstLine="480"/>
            </w:pPr>
            <w:r>
              <w:rPr>
                <w:spacing w:val="1"/>
              </w:rPr>
              <w:t>为最大限度避免和减轻施工对周围其他声环境的不利影响，本评价</w:t>
            </w:r>
            <w:r>
              <w:t>对施工</w:t>
            </w:r>
            <w:r>
              <w:rPr>
                <w:spacing w:val="-1"/>
              </w:rPr>
              <w:t>期噪声控制提出以下要求和建议：</w:t>
            </w:r>
          </w:p>
          <w:p w14:paraId="375CCFDE">
            <w:pPr>
              <w:pStyle w:val="6"/>
              <w:spacing w:line="359" w:lineRule="auto"/>
              <w:ind w:left="109" w:right="102" w:firstLine="490"/>
            </w:pPr>
            <w:r>
              <w:rPr>
                <w:spacing w:val="-3"/>
              </w:rPr>
              <w:t>（</w:t>
            </w:r>
            <w:r>
              <w:rPr>
                <w:rFonts w:ascii="Times New Roman" w:hAnsi="Times New Roman" w:eastAsia="Times New Roman" w:cs="Times New Roman"/>
                <w:spacing w:val="-3"/>
              </w:rPr>
              <w:t>1</w:t>
            </w:r>
            <w:r>
              <w:rPr>
                <w:spacing w:val="-3"/>
              </w:rPr>
              <w:t>）选用低噪声设备和工艺，对钻机、钻井泵、柴油机等高噪声设备安放</w:t>
            </w:r>
            <w:r>
              <w:rPr>
                <w:spacing w:val="-1"/>
              </w:rPr>
              <w:t>稳固，与地面保持良好接触，做好基础减振，并定期维护保养。</w:t>
            </w:r>
          </w:p>
          <w:p w14:paraId="313959BB">
            <w:pPr>
              <w:pStyle w:val="6"/>
              <w:spacing w:line="219" w:lineRule="auto"/>
              <w:ind w:left="599"/>
            </w:pPr>
            <w:r>
              <w:rPr>
                <w:spacing w:val="-1"/>
              </w:rPr>
              <w:t>（</w:t>
            </w:r>
            <w:r>
              <w:rPr>
                <w:rFonts w:ascii="Times New Roman" w:hAnsi="Times New Roman" w:eastAsia="Times New Roman" w:cs="Times New Roman"/>
                <w:spacing w:val="-1"/>
              </w:rPr>
              <w:t>2</w:t>
            </w:r>
            <w:r>
              <w:rPr>
                <w:spacing w:val="-1"/>
              </w:rPr>
              <w:t>）制定施工计划时，尽可能避免高噪声设备同时施工。</w:t>
            </w:r>
          </w:p>
          <w:p w14:paraId="70B7514F">
            <w:pPr>
              <w:pStyle w:val="6"/>
              <w:spacing w:before="180" w:line="360" w:lineRule="auto"/>
              <w:ind w:left="107" w:right="102" w:firstLine="492"/>
            </w:pPr>
            <w:r>
              <w:rPr>
                <w:spacing w:val="-3"/>
              </w:rPr>
              <w:t>（</w:t>
            </w:r>
            <w:r>
              <w:rPr>
                <w:rFonts w:ascii="Times New Roman" w:hAnsi="Times New Roman" w:eastAsia="Times New Roman" w:cs="Times New Roman"/>
                <w:spacing w:val="-3"/>
              </w:rPr>
              <w:t>3</w:t>
            </w:r>
            <w:r>
              <w:rPr>
                <w:spacing w:val="-3"/>
              </w:rPr>
              <w:t>）合理安排施工时间，将高噪声设备施工时间安排在日间。钻井施工作</w:t>
            </w:r>
            <w:r>
              <w:rPr>
                <w:spacing w:val="-1"/>
              </w:rPr>
              <w:t>业为</w:t>
            </w:r>
            <w:r>
              <w:rPr>
                <w:spacing w:val="-44"/>
              </w:rPr>
              <w:t xml:space="preserve"> </w:t>
            </w:r>
            <w:r>
              <w:rPr>
                <w:rFonts w:ascii="Times New Roman" w:hAnsi="Times New Roman" w:eastAsia="Times New Roman" w:cs="Times New Roman"/>
                <w:spacing w:val="-1"/>
              </w:rPr>
              <w:t xml:space="preserve">24h </w:t>
            </w:r>
            <w:r>
              <w:rPr>
                <w:spacing w:val="-1"/>
              </w:rPr>
              <w:t>连续进行，夜间施工应告知周围单位或居民。</w:t>
            </w:r>
          </w:p>
          <w:p w14:paraId="64D55B02">
            <w:pPr>
              <w:pStyle w:val="6"/>
              <w:spacing w:line="359" w:lineRule="auto"/>
              <w:ind w:left="108" w:right="87" w:firstLine="491"/>
            </w:pPr>
            <w:r>
              <w:rPr>
                <w:spacing w:val="-3"/>
              </w:rPr>
              <w:t>（</w:t>
            </w:r>
            <w:r>
              <w:rPr>
                <w:rFonts w:ascii="Times New Roman" w:hAnsi="Times New Roman" w:eastAsia="Times New Roman" w:cs="Times New Roman"/>
                <w:spacing w:val="-3"/>
              </w:rPr>
              <w:t>4</w:t>
            </w:r>
            <w:r>
              <w:rPr>
                <w:spacing w:val="-3"/>
              </w:rPr>
              <w:t>）尽量避免在同一地点安排大量的高噪声设备，以避免局部声级过高；</w:t>
            </w:r>
            <w:r>
              <w:rPr>
                <w:spacing w:val="-1"/>
              </w:rPr>
              <w:t>井场各种管材轻拿轻放，减少撞击性噪声。</w:t>
            </w:r>
          </w:p>
          <w:p w14:paraId="764D1ED7">
            <w:pPr>
              <w:pStyle w:val="6"/>
              <w:spacing w:before="3" w:line="358" w:lineRule="auto"/>
              <w:ind w:left="108" w:right="102" w:firstLine="491"/>
            </w:pPr>
            <w:r>
              <w:rPr>
                <w:spacing w:val="-3"/>
              </w:rPr>
              <w:t>（</w:t>
            </w:r>
            <w:r>
              <w:rPr>
                <w:rFonts w:ascii="Times New Roman" w:hAnsi="Times New Roman" w:eastAsia="Times New Roman" w:cs="Times New Roman"/>
                <w:spacing w:val="-3"/>
              </w:rPr>
              <w:t>5</w:t>
            </w:r>
            <w:r>
              <w:rPr>
                <w:spacing w:val="-3"/>
              </w:rPr>
              <w:t>）对运输车辆定期维修、养护，运输车辆尽量选择避开居民区的路线和</w:t>
            </w:r>
            <w:r>
              <w:rPr>
                <w:spacing w:val="1"/>
              </w:rPr>
              <w:t>减少夜间运输量，在通过村庄等环境敏感点时减速慢行并减少喇叭鸣放，</w:t>
            </w:r>
            <w:r>
              <w:t>合理</w:t>
            </w:r>
            <w:r>
              <w:rPr>
                <w:spacing w:val="-1"/>
              </w:rPr>
              <w:t>调配车辆来往行车密度，尽量避开附近村民休息时间。</w:t>
            </w:r>
          </w:p>
          <w:p w14:paraId="0562067C">
            <w:pPr>
              <w:pStyle w:val="6"/>
              <w:spacing w:line="359" w:lineRule="auto"/>
              <w:ind w:left="108" w:right="102" w:firstLine="481"/>
            </w:pPr>
            <w:r>
              <w:rPr>
                <w:spacing w:val="1"/>
              </w:rPr>
              <w:t>经采取以上措施后，项目区施工噪声对周围村庄影响较小，声环境质</w:t>
            </w:r>
            <w:r>
              <w:t>量可</w:t>
            </w:r>
            <w:r>
              <w:rPr>
                <w:spacing w:val="-1"/>
              </w:rPr>
              <w:t>基本维持现状，勘探期结束后噪声影响随即消失，措施可行。</w:t>
            </w:r>
          </w:p>
          <w:p w14:paraId="16ED1140">
            <w:pPr>
              <w:pStyle w:val="6"/>
              <w:spacing w:line="220" w:lineRule="auto"/>
              <w:ind w:left="610"/>
            </w:pPr>
            <w:r>
              <w:rPr>
                <w:b/>
                <w:bCs/>
                <w:spacing w:val="-5"/>
              </w:rPr>
              <w:t>四、施工固废防治措施</w:t>
            </w:r>
          </w:p>
          <w:p w14:paraId="62163E93">
            <w:pPr>
              <w:pStyle w:val="6"/>
              <w:spacing w:before="182" w:line="220" w:lineRule="auto"/>
              <w:ind w:left="607"/>
            </w:pPr>
            <w:r>
              <w:rPr>
                <w:rFonts w:ascii="Times New Roman" w:hAnsi="Times New Roman" w:eastAsia="Times New Roman" w:cs="Times New Roman"/>
                <w:spacing w:val="-7"/>
              </w:rPr>
              <w:t>1</w:t>
            </w:r>
            <w:r>
              <w:rPr>
                <w:rFonts w:ascii="Times New Roman" w:hAnsi="Times New Roman" w:eastAsia="Times New Roman" w:cs="Times New Roman"/>
                <w:spacing w:val="-34"/>
              </w:rPr>
              <w:t xml:space="preserve"> </w:t>
            </w:r>
            <w:r>
              <w:rPr>
                <w:spacing w:val="-7"/>
              </w:rPr>
              <w:t>、一般固体废物</w:t>
            </w:r>
          </w:p>
          <w:p w14:paraId="4D48282D">
            <w:pPr>
              <w:pStyle w:val="6"/>
              <w:spacing w:before="179" w:line="219" w:lineRule="auto"/>
              <w:ind w:left="599"/>
            </w:pPr>
            <w:r>
              <w:rPr>
                <w:spacing w:val="-2"/>
              </w:rPr>
              <w:t>（</w:t>
            </w:r>
            <w:r>
              <w:rPr>
                <w:rFonts w:ascii="Times New Roman" w:hAnsi="Times New Roman" w:eastAsia="Times New Roman" w:cs="Times New Roman"/>
                <w:spacing w:val="-2"/>
              </w:rPr>
              <w:t>1</w:t>
            </w:r>
            <w:r>
              <w:rPr>
                <w:spacing w:val="-2"/>
              </w:rPr>
              <w:t>）废弃泥浆、钻井岩屑</w:t>
            </w:r>
          </w:p>
          <w:p w14:paraId="0493022E">
            <w:pPr>
              <w:pStyle w:val="6"/>
              <w:spacing w:before="184" w:line="359" w:lineRule="auto"/>
              <w:ind w:left="108" w:right="142" w:firstLine="483"/>
            </w:pPr>
            <w:r>
              <w:t>项目采用水基型钻井泥浆，结合水平衡情况，钻</w:t>
            </w:r>
            <w:r>
              <w:rPr>
                <w:spacing w:val="-1"/>
              </w:rPr>
              <w:t>井过程产生的废弃泥浆、钻井岩屑约</w:t>
            </w:r>
            <w:r>
              <w:rPr>
                <w:spacing w:val="-32"/>
              </w:rPr>
              <w:t xml:space="preserve"> </w:t>
            </w:r>
            <w:r>
              <w:rPr>
                <w:rFonts w:ascii="Times New Roman" w:hAnsi="Times New Roman" w:eastAsia="Times New Roman" w:cs="Times New Roman"/>
                <w:spacing w:val="-1"/>
              </w:rPr>
              <w:t>1546.76m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rPr>
              <w:t>/</w:t>
            </w:r>
            <w:r>
              <w:rPr>
                <w:spacing w:val="-1"/>
              </w:rPr>
              <w:t>钻井期（</w:t>
            </w:r>
            <w:r>
              <w:rPr>
                <w:rFonts w:ascii="Times New Roman" w:hAnsi="Times New Roman" w:eastAsia="Times New Roman" w:cs="Times New Roman"/>
                <w:spacing w:val="-1"/>
              </w:rPr>
              <w:t>23.8m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rPr>
              <w:t>/d</w:t>
            </w:r>
            <w:r>
              <w:rPr>
                <w:spacing w:val="4"/>
              </w:rPr>
              <w:t>），</w:t>
            </w:r>
            <w:r>
              <w:rPr>
                <w:spacing w:val="-1"/>
              </w:rPr>
              <w:t>属于</w:t>
            </w:r>
            <w:r>
              <w:rPr>
                <w:rFonts w:ascii="Times New Roman" w:hAnsi="Times New Roman" w:eastAsia="Times New Roman" w:cs="Times New Roman"/>
                <w:spacing w:val="-1"/>
              </w:rPr>
              <w:t>Ⅱ</w:t>
            </w:r>
            <w:r>
              <w:rPr>
                <w:spacing w:val="-1"/>
              </w:rPr>
              <w:t>类一般工业固体</w:t>
            </w:r>
            <w:r>
              <w:rPr>
                <w:spacing w:val="-2"/>
              </w:rPr>
              <w:t>废物。</w:t>
            </w:r>
          </w:p>
          <w:p w14:paraId="132C6293">
            <w:pPr>
              <w:pStyle w:val="6"/>
              <w:spacing w:before="2" w:line="352" w:lineRule="auto"/>
              <w:ind w:left="108" w:right="101" w:firstLine="483"/>
              <w:jc w:val="both"/>
            </w:pPr>
            <w:r>
              <w:rPr>
                <w:spacing w:val="1"/>
              </w:rPr>
              <w:t>项目采用泥浆不落地循环系统装置，不开挖泥浆循环池。泥浆不</w:t>
            </w:r>
            <w:r>
              <w:t>落地循环</w:t>
            </w:r>
            <w:r>
              <w:rPr>
                <w:spacing w:val="1"/>
              </w:rPr>
              <w:t>系统装置配备防渗防溢钻井泥浆循环罐，钻井泥浆循环罐下方铺设双层防</w:t>
            </w:r>
            <w:r>
              <w:t>渗膜</w:t>
            </w:r>
            <w:r>
              <w:rPr>
                <w:spacing w:val="-7"/>
              </w:rPr>
              <w:t>并设置围堰。废弃泥浆、钻井岩屑收集至泥浆不落地循环</w:t>
            </w:r>
            <w:r>
              <w:rPr>
                <w:spacing w:val="-8"/>
              </w:rPr>
              <w:t>系统装置旁的</w:t>
            </w:r>
            <w:r>
              <w:rPr>
                <w:spacing w:val="-65"/>
              </w:rPr>
              <w:t xml:space="preserve"> </w:t>
            </w:r>
            <w:r>
              <w:rPr>
                <w:rFonts w:ascii="Times New Roman" w:hAnsi="Times New Roman" w:eastAsia="Times New Roman" w:cs="Times New Roman"/>
                <w:spacing w:val="-8"/>
              </w:rPr>
              <w:t xml:space="preserve">3 </w:t>
            </w:r>
            <w:r>
              <w:rPr>
                <w:spacing w:val="-8"/>
              </w:rPr>
              <w:t>具</w:t>
            </w:r>
            <w:r>
              <w:rPr>
                <w:spacing w:val="-64"/>
              </w:rPr>
              <w:t xml:space="preserve"> </w:t>
            </w:r>
            <w:r>
              <w:rPr>
                <w:rFonts w:ascii="Times New Roman" w:hAnsi="Times New Roman" w:eastAsia="Times New Roman" w:cs="Times New Roman"/>
                <w:spacing w:val="-8"/>
              </w:rPr>
              <w:t>30m</w:t>
            </w:r>
            <w:r>
              <w:rPr>
                <w:rFonts w:ascii="Times New Roman" w:hAnsi="Times New Roman" w:eastAsia="Times New Roman" w:cs="Times New Roman"/>
                <w:spacing w:val="-8"/>
                <w:position w:val="8"/>
                <w:sz w:val="15"/>
                <w:szCs w:val="15"/>
              </w:rPr>
              <w:t>3</w:t>
            </w:r>
            <w:r>
              <w:rPr>
                <w:spacing w:val="1"/>
              </w:rPr>
              <w:t>可移动废水罐临时贮存，定期拉运至内蒙古众宁环保科技有限公司油气田</w:t>
            </w:r>
            <w:r>
              <w:t>废弃</w:t>
            </w:r>
            <w:r>
              <w:rPr>
                <w:spacing w:val="-1"/>
              </w:rPr>
              <w:t>物集中处理厂处理，不会对周围环境产生明显不利影响。</w:t>
            </w:r>
          </w:p>
        </w:tc>
      </w:tr>
    </w:tbl>
    <w:p w14:paraId="34CF836C">
      <w:pPr>
        <w:rPr>
          <w:rFonts w:ascii="Arial"/>
          <w:sz w:val="21"/>
        </w:rPr>
      </w:pPr>
    </w:p>
    <w:p w14:paraId="6450D281">
      <w:pPr>
        <w:rPr>
          <w:rFonts w:ascii="Arial" w:hAnsi="Arial" w:eastAsia="Arial" w:cs="Arial"/>
          <w:sz w:val="21"/>
          <w:szCs w:val="21"/>
        </w:rPr>
        <w:sectPr>
          <w:footerReference r:id="rId95" w:type="default"/>
          <w:pgSz w:w="11906" w:h="16839"/>
          <w:pgMar w:top="400" w:right="1410" w:bottom="1240" w:left="1579" w:header="0" w:footer="1078" w:gutter="0"/>
          <w:cols w:space="720" w:num="1"/>
        </w:sectPr>
      </w:pPr>
    </w:p>
    <w:p w14:paraId="30337967">
      <w:pPr>
        <w:spacing w:before="56"/>
      </w:pPr>
    </w:p>
    <w:p w14:paraId="06F62985">
      <w:pPr>
        <w:spacing w:before="56"/>
      </w:pPr>
    </w:p>
    <w:p w14:paraId="084ACFFF">
      <w:pPr>
        <w:spacing w:before="55"/>
      </w:pPr>
    </w:p>
    <w:p w14:paraId="6E3C1BE9">
      <w:pPr>
        <w:spacing w:before="55"/>
      </w:pPr>
    </w:p>
    <w:tbl>
      <w:tblPr>
        <w:tblStyle w:val="5"/>
        <w:tblW w:w="890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86"/>
        <w:gridCol w:w="8415"/>
      </w:tblGrid>
      <w:tr w14:paraId="220DAB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486" w:type="dxa"/>
            <w:tcBorders>
              <w:right w:val="single" w:color="000000" w:sz="2" w:space="0"/>
            </w:tcBorders>
            <w:vAlign w:val="top"/>
          </w:tcPr>
          <w:p w14:paraId="54DE128C">
            <w:pPr>
              <w:rPr>
                <w:rFonts w:ascii="Arial"/>
                <w:sz w:val="21"/>
              </w:rPr>
            </w:pPr>
          </w:p>
        </w:tc>
        <w:tc>
          <w:tcPr>
            <w:tcW w:w="8415" w:type="dxa"/>
            <w:tcBorders>
              <w:left w:val="single" w:color="000000" w:sz="2" w:space="0"/>
            </w:tcBorders>
            <w:vAlign w:val="top"/>
          </w:tcPr>
          <w:p w14:paraId="706867AF">
            <w:pPr>
              <w:pStyle w:val="6"/>
              <w:spacing w:before="39" w:line="220" w:lineRule="auto"/>
              <w:ind w:left="599"/>
            </w:pPr>
            <w:r>
              <w:rPr>
                <w:spacing w:val="-3"/>
              </w:rPr>
              <w:t>（</w:t>
            </w:r>
            <w:r>
              <w:rPr>
                <w:rFonts w:ascii="Times New Roman" w:hAnsi="Times New Roman" w:eastAsia="Times New Roman" w:cs="Times New Roman"/>
                <w:spacing w:val="-3"/>
              </w:rPr>
              <w:t>2</w:t>
            </w:r>
            <w:r>
              <w:rPr>
                <w:spacing w:val="-3"/>
              </w:rPr>
              <w:t>）生活垃圾</w:t>
            </w:r>
          </w:p>
          <w:p w14:paraId="78570408">
            <w:pPr>
              <w:pStyle w:val="6"/>
              <w:spacing w:before="182" w:line="359" w:lineRule="auto"/>
              <w:ind w:left="108" w:right="100" w:firstLine="483"/>
            </w:pPr>
            <w:r>
              <w:t>项目生活垃圾的产生量为</w:t>
            </w:r>
            <w:r>
              <w:rPr>
                <w:spacing w:val="-31"/>
              </w:rPr>
              <w:t xml:space="preserve"> </w:t>
            </w:r>
            <w:r>
              <w:rPr>
                <w:rFonts w:ascii="Times New Roman" w:hAnsi="Times New Roman" w:eastAsia="Times New Roman" w:cs="Times New Roman"/>
              </w:rPr>
              <w:t>1.8t/</w:t>
            </w:r>
            <w:r>
              <w:t>勘探期。井场设置</w:t>
            </w:r>
            <w:r>
              <w:rPr>
                <w:spacing w:val="-1"/>
              </w:rPr>
              <w:t>垃圾桶，集中收集后，拉运至当地乡镇生活垃圾点，由当地环卫部门处理。</w:t>
            </w:r>
          </w:p>
          <w:p w14:paraId="18D7819D">
            <w:pPr>
              <w:pStyle w:val="6"/>
              <w:spacing w:line="220" w:lineRule="auto"/>
              <w:ind w:left="584"/>
            </w:pPr>
            <w:r>
              <w:rPr>
                <w:rFonts w:ascii="Times New Roman" w:hAnsi="Times New Roman" w:eastAsia="Times New Roman" w:cs="Times New Roman"/>
                <w:spacing w:val="-6"/>
              </w:rPr>
              <w:t>2</w:t>
            </w:r>
            <w:r>
              <w:rPr>
                <w:rFonts w:ascii="Times New Roman" w:hAnsi="Times New Roman" w:eastAsia="Times New Roman" w:cs="Times New Roman"/>
                <w:spacing w:val="-31"/>
              </w:rPr>
              <w:t xml:space="preserve"> </w:t>
            </w:r>
            <w:r>
              <w:rPr>
                <w:spacing w:val="-6"/>
              </w:rPr>
              <w:t>、危险废物</w:t>
            </w:r>
          </w:p>
          <w:p w14:paraId="6507DC47">
            <w:pPr>
              <w:pStyle w:val="6"/>
              <w:spacing w:before="179" w:line="220" w:lineRule="auto"/>
              <w:ind w:left="599"/>
            </w:pPr>
            <w:r>
              <w:rPr>
                <w:spacing w:val="-3"/>
              </w:rPr>
              <w:t>（</w:t>
            </w:r>
            <w:r>
              <w:rPr>
                <w:rFonts w:ascii="Times New Roman" w:hAnsi="Times New Roman" w:eastAsia="Times New Roman" w:cs="Times New Roman"/>
                <w:spacing w:val="-3"/>
              </w:rPr>
              <w:t>1</w:t>
            </w:r>
            <w:r>
              <w:rPr>
                <w:spacing w:val="-3"/>
              </w:rPr>
              <w:t>）废润滑油</w:t>
            </w:r>
          </w:p>
          <w:p w14:paraId="1E957448">
            <w:pPr>
              <w:pStyle w:val="6"/>
              <w:spacing w:before="183" w:line="359" w:lineRule="auto"/>
              <w:ind w:left="104" w:right="41" w:firstLine="487"/>
            </w:pPr>
            <w:r>
              <w:rPr>
                <w:spacing w:val="-5"/>
              </w:rPr>
              <w:t>项目废润滑油产生量约</w:t>
            </w:r>
            <w:r>
              <w:rPr>
                <w:spacing w:val="-51"/>
              </w:rPr>
              <w:t xml:space="preserve"> </w:t>
            </w:r>
            <w:r>
              <w:rPr>
                <w:rFonts w:ascii="Times New Roman" w:hAnsi="Times New Roman" w:eastAsia="Times New Roman" w:cs="Times New Roman"/>
                <w:spacing w:val="-5"/>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5"/>
              </w:rPr>
              <w:t>15t</w:t>
            </w:r>
            <w:r>
              <w:rPr>
                <w:spacing w:val="-5"/>
              </w:rPr>
              <w:t>，危险废物代码为</w:t>
            </w:r>
            <w:r>
              <w:rPr>
                <w:spacing w:val="-50"/>
              </w:rPr>
              <w:t xml:space="preserve"> </w:t>
            </w:r>
            <w:r>
              <w:rPr>
                <w:rFonts w:ascii="Times New Roman" w:hAnsi="Times New Roman" w:eastAsia="Times New Roman" w:cs="Times New Roman"/>
                <w:spacing w:val="-5"/>
              </w:rPr>
              <w:t>900-21</w:t>
            </w:r>
            <w:r>
              <w:rPr>
                <w:rFonts w:ascii="Times New Roman" w:hAnsi="Times New Roman" w:eastAsia="Times New Roman" w:cs="Times New Roman"/>
                <w:spacing w:val="-6"/>
              </w:rPr>
              <w:t>4-08</w:t>
            </w:r>
            <w:r>
              <w:rPr>
                <w:spacing w:val="-6"/>
              </w:rPr>
              <w:t>，危废特性为</w:t>
            </w:r>
            <w:r>
              <w:rPr>
                <w:spacing w:val="-53"/>
              </w:rPr>
              <w:t xml:space="preserve"> </w:t>
            </w:r>
            <w:r>
              <w:rPr>
                <w:rFonts w:ascii="Times New Roman" w:hAnsi="Times New Roman" w:eastAsia="Times New Roman" w:cs="Times New Roman"/>
                <w:spacing w:val="-6"/>
              </w:rPr>
              <w:t>T</w:t>
            </w:r>
            <w:r>
              <w:rPr>
                <w:spacing w:val="-6"/>
              </w:rPr>
              <w:t>，</w:t>
            </w:r>
            <w:r>
              <w:t xml:space="preserve"> </w:t>
            </w:r>
            <w:r>
              <w:rPr>
                <w:rFonts w:ascii="Times New Roman" w:hAnsi="Times New Roman" w:eastAsia="Times New Roman" w:cs="Times New Roman"/>
                <w:spacing w:val="-1"/>
              </w:rPr>
              <w:t>I</w:t>
            </w:r>
            <w:r>
              <w:rPr>
                <w:spacing w:val="-1"/>
              </w:rPr>
              <w:t>。废润滑油采用专用容器收集，暂存于井场撬装式危废贮</w:t>
            </w:r>
            <w:r>
              <w:rPr>
                <w:spacing w:val="-2"/>
              </w:rPr>
              <w:t>存点内，定期交有资</w:t>
            </w:r>
            <w:r>
              <w:rPr>
                <w:spacing w:val="-1"/>
              </w:rPr>
              <w:t>质单位拉运处置。</w:t>
            </w:r>
          </w:p>
          <w:p w14:paraId="5FFB2CEE">
            <w:pPr>
              <w:pStyle w:val="6"/>
              <w:spacing w:line="218" w:lineRule="auto"/>
              <w:ind w:left="479"/>
            </w:pPr>
            <w:r>
              <w:rPr>
                <w:spacing w:val="-2"/>
              </w:rPr>
              <w:t>（</w:t>
            </w:r>
            <w:r>
              <w:rPr>
                <w:rFonts w:ascii="Times New Roman" w:hAnsi="Times New Roman" w:eastAsia="Times New Roman" w:cs="Times New Roman"/>
                <w:spacing w:val="-2"/>
              </w:rPr>
              <w:t>2</w:t>
            </w:r>
            <w:r>
              <w:rPr>
                <w:spacing w:val="-2"/>
              </w:rPr>
              <w:t>）落地油、废防渗材料</w:t>
            </w:r>
          </w:p>
          <w:p w14:paraId="34207602">
            <w:pPr>
              <w:pStyle w:val="6"/>
              <w:spacing w:before="184" w:line="359" w:lineRule="auto"/>
              <w:ind w:left="108" w:right="102" w:firstLine="479"/>
            </w:pPr>
            <w:r>
              <w:rPr>
                <w:spacing w:val="1"/>
              </w:rPr>
              <w:t>施工过程中储罐阀门、法兰等渗漏或施工操作不当会产生少量落地油，油类物质滴至地面后，根据污染深度，铲至未被污染土层深度；同时防渗膜</w:t>
            </w:r>
            <w:r>
              <w:t>将有</w:t>
            </w:r>
            <w:r>
              <w:rPr>
                <w:spacing w:val="1"/>
              </w:rPr>
              <w:t>效收集产生的落地油。施工过程中及施工结束后，在场地清理过程中会产</w:t>
            </w:r>
            <w:r>
              <w:t>生少</w:t>
            </w:r>
            <w:r>
              <w:rPr>
                <w:spacing w:val="1"/>
              </w:rPr>
              <w:t>量废防渗材料。落地油、废防渗材料暂存于井场撬装式危废贮存点内，定</w:t>
            </w:r>
            <w:r>
              <w:t>期交</w:t>
            </w:r>
            <w:r>
              <w:rPr>
                <w:spacing w:val="-1"/>
              </w:rPr>
              <w:t>有资质单位拉运处置。</w:t>
            </w:r>
          </w:p>
          <w:p w14:paraId="4DD8F310">
            <w:pPr>
              <w:pStyle w:val="6"/>
              <w:spacing w:line="220" w:lineRule="auto"/>
              <w:ind w:left="599"/>
            </w:pPr>
            <w:r>
              <w:rPr>
                <w:spacing w:val="-2"/>
              </w:rPr>
              <w:t>（</w:t>
            </w:r>
            <w:r>
              <w:rPr>
                <w:rFonts w:ascii="Times New Roman" w:hAnsi="Times New Roman" w:eastAsia="Times New Roman" w:cs="Times New Roman"/>
                <w:spacing w:val="-2"/>
              </w:rPr>
              <w:t>3</w:t>
            </w:r>
            <w:r>
              <w:rPr>
                <w:spacing w:val="-2"/>
              </w:rPr>
              <w:t>）危险废物防治措施</w:t>
            </w:r>
          </w:p>
          <w:p w14:paraId="44155DF1">
            <w:pPr>
              <w:pStyle w:val="6"/>
              <w:spacing w:before="179" w:line="217" w:lineRule="auto"/>
              <w:ind w:left="587"/>
            </w:pPr>
            <w:r>
              <w:rPr>
                <w:spacing w:val="-1"/>
              </w:rPr>
              <w:t>①危险废物管理措施</w:t>
            </w:r>
          </w:p>
          <w:p w14:paraId="24A0F12F">
            <w:pPr>
              <w:pStyle w:val="6"/>
              <w:spacing w:before="186" w:line="359" w:lineRule="auto"/>
              <w:ind w:left="110" w:right="102" w:firstLine="477"/>
              <w:jc w:val="both"/>
            </w:pPr>
            <w:r>
              <w:rPr>
                <w:rFonts w:ascii="Times New Roman" w:hAnsi="Times New Roman" w:eastAsia="Times New Roman" w:cs="Times New Roman"/>
                <w:spacing w:val="1"/>
              </w:rPr>
              <w:t xml:space="preserve">a </w:t>
            </w:r>
            <w:r>
              <w:rPr>
                <w:spacing w:val="1"/>
              </w:rPr>
              <w:t>严格按照国家《危险废物贮存污染控制标准》（</w:t>
            </w:r>
            <w:r>
              <w:rPr>
                <w:rFonts w:ascii="Times New Roman" w:hAnsi="Times New Roman" w:eastAsia="Times New Roman" w:cs="Times New Roman"/>
              </w:rPr>
              <w:t>GB</w:t>
            </w:r>
            <w:r>
              <w:rPr>
                <w:rFonts w:ascii="Times New Roman" w:hAnsi="Times New Roman" w:eastAsia="Times New Roman" w:cs="Times New Roman"/>
                <w:spacing w:val="1"/>
              </w:rPr>
              <w:t>18597-2023</w:t>
            </w:r>
            <w:r>
              <w:rPr>
                <w:spacing w:val="1"/>
              </w:rPr>
              <w:t>）、《危</w:t>
            </w:r>
            <w:r>
              <w:rPr>
                <w:spacing w:val="-2"/>
              </w:rPr>
              <w:t>险废物收集、运输、贮存技术规范》（</w:t>
            </w:r>
            <w:r>
              <w:rPr>
                <w:rFonts w:ascii="Times New Roman" w:hAnsi="Times New Roman" w:eastAsia="Times New Roman" w:cs="Times New Roman"/>
                <w:spacing w:val="-2"/>
              </w:rPr>
              <w:t>HJ2025-2012</w:t>
            </w:r>
            <w:r>
              <w:rPr>
                <w:spacing w:val="-2"/>
              </w:rPr>
              <w:t>）和危险废物管理的有关规</w:t>
            </w:r>
            <w:r>
              <w:rPr>
                <w:spacing w:val="1"/>
              </w:rPr>
              <w:t>定，严禁将危险废物随意丢弃，严禁将危险废物混入一般工业固体废</w:t>
            </w:r>
            <w:r>
              <w:t>物和生活</w:t>
            </w:r>
            <w:r>
              <w:rPr>
                <w:spacing w:val="-3"/>
              </w:rPr>
              <w:t>垃圾中。</w:t>
            </w:r>
          </w:p>
          <w:p w14:paraId="3B10A191">
            <w:pPr>
              <w:pStyle w:val="6"/>
              <w:spacing w:before="5" w:line="355" w:lineRule="auto"/>
              <w:ind w:left="106" w:right="22" w:firstLine="472"/>
              <w:jc w:val="both"/>
            </w:pPr>
            <w:r>
              <w:rPr>
                <w:rFonts w:ascii="Times New Roman" w:hAnsi="Times New Roman" w:eastAsia="Times New Roman" w:cs="Times New Roman"/>
                <w:spacing w:val="-2"/>
              </w:rPr>
              <w:t>b</w:t>
            </w:r>
            <w:r>
              <w:rPr>
                <w:spacing w:val="-2"/>
              </w:rPr>
              <w:t>《中华人民共和国固体废物污染环境防治法》</w:t>
            </w:r>
            <w:r>
              <w:rPr>
                <w:spacing w:val="-3"/>
              </w:rPr>
              <w:t>规定，禁止将危险废物提供</w:t>
            </w:r>
            <w:r>
              <w:rPr>
                <w:spacing w:val="1"/>
              </w:rPr>
              <w:t>或委托给无经营许可证的单位从事收集、贮存、处置的经营活动。在生产经营</w:t>
            </w:r>
            <w:r>
              <w:t>活动中产生危险废物的企业、事业单位和个人（简称危险废物产生者</w:t>
            </w:r>
            <w:r>
              <w:rPr>
                <w:spacing w:val="17"/>
              </w:rPr>
              <w:t>），</w:t>
            </w:r>
            <w:r>
              <w:t>负有</w:t>
            </w:r>
            <w:r>
              <w:rPr>
                <w:spacing w:val="1"/>
              </w:rPr>
              <w:t>防止和治理危险废物污染的责任和法律法规规定的其他责任。危险废物产生者应当采取清洁生产工艺，减少危险废物的产生。对所产生的危险废物应当采取综合利用或无害化处理措施，并建立危险废物污染防治的管理制度。危险废物</w:t>
            </w:r>
            <w:r>
              <w:rPr>
                <w:spacing w:val="-4"/>
              </w:rPr>
              <w:t>产生者应当将危险废物转移到取得许可证的单位或场所，进行统一贮存、利用、</w:t>
            </w:r>
            <w:r>
              <w:rPr>
                <w:spacing w:val="1"/>
              </w:rPr>
              <w:t>处理和处置。贮存、利用、处理、处置危险废物的设施和场所，必须按规定设</w:t>
            </w:r>
            <w:r>
              <w:rPr>
                <w:spacing w:val="-1"/>
              </w:rPr>
              <w:t>置统一的识别标志。</w:t>
            </w:r>
          </w:p>
        </w:tc>
      </w:tr>
    </w:tbl>
    <w:p w14:paraId="51E08BEB">
      <w:pPr>
        <w:rPr>
          <w:rFonts w:ascii="Arial"/>
          <w:sz w:val="21"/>
        </w:rPr>
      </w:pPr>
    </w:p>
    <w:p w14:paraId="493E54CC">
      <w:pPr>
        <w:rPr>
          <w:rFonts w:ascii="Arial" w:hAnsi="Arial" w:eastAsia="Arial" w:cs="Arial"/>
          <w:sz w:val="21"/>
          <w:szCs w:val="21"/>
        </w:rPr>
        <w:sectPr>
          <w:footerReference r:id="rId96" w:type="default"/>
          <w:pgSz w:w="11906" w:h="16839"/>
          <w:pgMar w:top="400" w:right="1410" w:bottom="1240" w:left="1579" w:header="0" w:footer="1078" w:gutter="0"/>
          <w:cols w:space="720" w:num="1"/>
        </w:sectPr>
      </w:pPr>
    </w:p>
    <w:p w14:paraId="3062AE22">
      <w:pPr>
        <w:spacing w:before="56"/>
      </w:pPr>
    </w:p>
    <w:p w14:paraId="7EF33553">
      <w:pPr>
        <w:spacing w:before="56"/>
      </w:pPr>
    </w:p>
    <w:p w14:paraId="5469C13D">
      <w:pPr>
        <w:spacing w:before="55"/>
      </w:pPr>
    </w:p>
    <w:p w14:paraId="72BB1EB2">
      <w:pPr>
        <w:spacing w:before="55"/>
      </w:pPr>
    </w:p>
    <w:tbl>
      <w:tblPr>
        <w:tblStyle w:val="5"/>
        <w:tblW w:w="890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86"/>
        <w:gridCol w:w="8415"/>
      </w:tblGrid>
      <w:tr w14:paraId="51D9DF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486" w:type="dxa"/>
            <w:tcBorders>
              <w:right w:val="single" w:color="000000" w:sz="2" w:space="0"/>
            </w:tcBorders>
            <w:vAlign w:val="top"/>
          </w:tcPr>
          <w:p w14:paraId="1A6B5D84">
            <w:pPr>
              <w:rPr>
                <w:rFonts w:ascii="Arial"/>
                <w:sz w:val="21"/>
              </w:rPr>
            </w:pPr>
          </w:p>
        </w:tc>
        <w:tc>
          <w:tcPr>
            <w:tcW w:w="8415" w:type="dxa"/>
            <w:tcBorders>
              <w:left w:val="single" w:color="000000" w:sz="2" w:space="0"/>
            </w:tcBorders>
            <w:vAlign w:val="top"/>
          </w:tcPr>
          <w:p w14:paraId="6842BCAB">
            <w:pPr>
              <w:pStyle w:val="6"/>
              <w:spacing w:before="40" w:line="359" w:lineRule="auto"/>
              <w:ind w:left="109" w:right="116" w:firstLine="477"/>
            </w:pPr>
            <w:r>
              <w:rPr>
                <w:rFonts w:ascii="Times New Roman" w:hAnsi="Times New Roman" w:eastAsia="Times New Roman" w:cs="Times New Roman"/>
                <w:spacing w:val="-13"/>
              </w:rPr>
              <w:t>c</w:t>
            </w:r>
            <w:r>
              <w:rPr>
                <w:rFonts w:ascii="Times New Roman" w:hAnsi="Times New Roman" w:eastAsia="Times New Roman" w:cs="Times New Roman"/>
                <w:spacing w:val="27"/>
              </w:rPr>
              <w:t xml:space="preserve"> </w:t>
            </w:r>
            <w:r>
              <w:rPr>
                <w:spacing w:val="-13"/>
              </w:rPr>
              <w:t>危废贮存点严格按《危险废物收集、运输、贮存技术规范》（</w:t>
            </w:r>
            <w:r>
              <w:rPr>
                <w:rFonts w:ascii="Times New Roman" w:hAnsi="Times New Roman" w:eastAsia="Times New Roman" w:cs="Times New Roman"/>
                <w:spacing w:val="-13"/>
              </w:rPr>
              <w:t>HJ2025-2012</w:t>
            </w:r>
            <w:r>
              <w:rPr>
                <w:spacing w:val="-13"/>
              </w:rPr>
              <w:t>）</w:t>
            </w:r>
            <w:r>
              <w:t>和《危险废物贮存污染控制标准》（</w:t>
            </w:r>
            <w:r>
              <w:rPr>
                <w:rFonts w:ascii="Times New Roman" w:hAnsi="Times New Roman" w:eastAsia="Times New Roman" w:cs="Times New Roman"/>
              </w:rPr>
              <w:t>GB1859</w:t>
            </w:r>
            <w:r>
              <w:rPr>
                <w:rFonts w:ascii="Times New Roman" w:hAnsi="Times New Roman" w:eastAsia="Times New Roman" w:cs="Times New Roman"/>
                <w:spacing w:val="-1"/>
              </w:rPr>
              <w:t>7-2023</w:t>
            </w:r>
            <w:r>
              <w:rPr>
                <w:spacing w:val="-1"/>
              </w:rPr>
              <w:t>）要求设置。</w:t>
            </w:r>
          </w:p>
          <w:p w14:paraId="2E3BA885">
            <w:pPr>
              <w:pStyle w:val="6"/>
              <w:spacing w:before="1" w:line="359" w:lineRule="auto"/>
              <w:ind w:left="107" w:right="154" w:firstLine="484"/>
            </w:pPr>
            <w:r>
              <w:t>项目危废贮存点设置撬装式临时贮存设施，面积</w:t>
            </w:r>
            <w:r>
              <w:rPr>
                <w:spacing w:val="-24"/>
              </w:rPr>
              <w:t xml:space="preserve"> </w:t>
            </w:r>
            <w:r>
              <w:rPr>
                <w:rFonts w:ascii="Times New Roman" w:hAnsi="Times New Roman" w:eastAsia="Times New Roman" w:cs="Times New Roman"/>
              </w:rPr>
              <w:t>10m</w:t>
            </w:r>
            <w:r>
              <w:rPr>
                <w:rFonts w:ascii="Times New Roman" w:hAnsi="Times New Roman" w:eastAsia="Times New Roman" w:cs="Times New Roman"/>
                <w:position w:val="8"/>
                <w:sz w:val="15"/>
                <w:szCs w:val="15"/>
              </w:rPr>
              <w:t xml:space="preserve">2 </w:t>
            </w:r>
            <w:r>
              <w:t>。危险废物贮存点</w:t>
            </w:r>
            <w:r>
              <w:rPr>
                <w:spacing w:val="-4"/>
              </w:rPr>
              <w:t>四周设</w:t>
            </w:r>
            <w:r>
              <w:rPr>
                <w:spacing w:val="-38"/>
              </w:rPr>
              <w:t xml:space="preserve"> </w:t>
            </w:r>
            <w:r>
              <w:rPr>
                <w:rFonts w:ascii="Times New Roman" w:hAnsi="Times New Roman" w:eastAsia="Times New Roman" w:cs="Times New Roman"/>
                <w:spacing w:val="-4"/>
              </w:rPr>
              <w:t>20cm</w:t>
            </w:r>
            <w:r>
              <w:rPr>
                <w:rFonts w:ascii="Times New Roman" w:hAnsi="Times New Roman" w:eastAsia="Times New Roman" w:cs="Times New Roman"/>
                <w:spacing w:val="17"/>
              </w:rPr>
              <w:t xml:space="preserve"> </w:t>
            </w:r>
            <w:r>
              <w:rPr>
                <w:spacing w:val="-4"/>
              </w:rPr>
              <w:t>高围堰，围堰内利用</w:t>
            </w:r>
            <w:r>
              <w:rPr>
                <w:spacing w:val="-55"/>
              </w:rPr>
              <w:t xml:space="preserve"> </w:t>
            </w:r>
            <w:r>
              <w:rPr>
                <w:rFonts w:ascii="Times New Roman" w:hAnsi="Times New Roman" w:eastAsia="Times New Roman" w:cs="Times New Roman"/>
                <w:spacing w:val="-4"/>
              </w:rPr>
              <w:t>2mm</w:t>
            </w:r>
            <w:r>
              <w:rPr>
                <w:rFonts w:ascii="Times New Roman" w:hAnsi="Times New Roman" w:eastAsia="Times New Roman" w:cs="Times New Roman"/>
                <w:spacing w:val="15"/>
                <w:w w:val="101"/>
              </w:rPr>
              <w:t xml:space="preserve"> </w:t>
            </w:r>
            <w:r>
              <w:rPr>
                <w:spacing w:val="-4"/>
              </w:rPr>
              <w:t>厚高密度聚乙烯防渗膜双层作为底层，</w:t>
            </w:r>
            <w:r>
              <w:rPr>
                <w:spacing w:val="-5"/>
              </w:rPr>
              <w:t>渗透系数小于</w:t>
            </w:r>
            <w:r>
              <w:rPr>
                <w:spacing w:val="-32"/>
              </w:rPr>
              <w:t xml:space="preserve"> </w:t>
            </w:r>
            <w:r>
              <w:rPr>
                <w:rFonts w:ascii="Times New Roman" w:hAnsi="Times New Roman" w:eastAsia="Times New Roman" w:cs="Times New Roman"/>
                <w:spacing w:val="-5"/>
              </w:rPr>
              <w:t>10</w:t>
            </w:r>
            <w:r>
              <w:rPr>
                <w:rFonts w:ascii="Times New Roman" w:hAnsi="Times New Roman" w:eastAsia="Times New Roman" w:cs="Times New Roman"/>
                <w:spacing w:val="-5"/>
                <w:position w:val="7"/>
                <w:sz w:val="15"/>
                <w:szCs w:val="15"/>
              </w:rPr>
              <w:t>-</w:t>
            </w:r>
            <w:r>
              <w:rPr>
                <w:rFonts w:ascii="Times New Roman" w:hAnsi="Times New Roman" w:eastAsia="Times New Roman" w:cs="Times New Roman"/>
                <w:spacing w:val="-21"/>
                <w:position w:val="7"/>
                <w:sz w:val="15"/>
                <w:szCs w:val="15"/>
              </w:rPr>
              <w:t xml:space="preserve"> </w:t>
            </w:r>
            <w:r>
              <w:rPr>
                <w:rFonts w:ascii="Times New Roman" w:hAnsi="Times New Roman" w:eastAsia="Times New Roman" w:cs="Times New Roman"/>
                <w:spacing w:val="-5"/>
                <w:position w:val="7"/>
                <w:sz w:val="15"/>
                <w:szCs w:val="15"/>
              </w:rPr>
              <w:t>10</w:t>
            </w:r>
            <w:r>
              <w:rPr>
                <w:rFonts w:ascii="Times New Roman" w:hAnsi="Times New Roman" w:eastAsia="Times New Roman" w:cs="Times New Roman"/>
                <w:spacing w:val="-5"/>
              </w:rPr>
              <w:t>cm/s</w:t>
            </w:r>
            <w:r>
              <w:rPr>
                <w:spacing w:val="-5"/>
              </w:rPr>
              <w:t>。贮存设施内部铺设双层</w:t>
            </w:r>
            <w:r>
              <w:rPr>
                <w:spacing w:val="-55"/>
              </w:rPr>
              <w:t xml:space="preserve"> </w:t>
            </w:r>
            <w:r>
              <w:rPr>
                <w:rFonts w:ascii="Times New Roman" w:hAnsi="Times New Roman" w:eastAsia="Times New Roman" w:cs="Times New Roman"/>
                <w:spacing w:val="-5"/>
              </w:rPr>
              <w:t>2mm</w:t>
            </w:r>
            <w:r>
              <w:rPr>
                <w:rFonts w:ascii="Times New Roman" w:hAnsi="Times New Roman" w:eastAsia="Times New Roman" w:cs="Times New Roman"/>
                <w:spacing w:val="16"/>
              </w:rPr>
              <w:t xml:space="preserve"> </w:t>
            </w:r>
            <w:r>
              <w:rPr>
                <w:spacing w:val="-5"/>
              </w:rPr>
              <w:t>厚</w:t>
            </w:r>
            <w:r>
              <w:rPr>
                <w:spacing w:val="-6"/>
              </w:rPr>
              <w:t>高密度聚乙烯防渗膜，</w:t>
            </w:r>
            <w:r>
              <w:rPr>
                <w:spacing w:val="-1"/>
              </w:rPr>
              <w:t>地面与裙脚采取表面防渗措施，并设置专用容器；内部设隔板、托盘和围堰。</w:t>
            </w:r>
            <w:r>
              <w:rPr>
                <w:spacing w:val="-2"/>
              </w:rPr>
              <w:t>撬装式危废贮存点用于贮存非正常工况下的落地油、</w:t>
            </w:r>
            <w:r>
              <w:rPr>
                <w:spacing w:val="-3"/>
              </w:rPr>
              <w:t>废润滑油等，危险废物均</w:t>
            </w:r>
            <w:r>
              <w:rPr>
                <w:spacing w:val="-2"/>
              </w:rPr>
              <w:t>采用桶（罐）装，贮存过程中挥发量少，不会对环境</w:t>
            </w:r>
            <w:r>
              <w:rPr>
                <w:spacing w:val="-3"/>
              </w:rPr>
              <w:t>空气产生明显影响。禁明</w:t>
            </w:r>
            <w:r>
              <w:rPr>
                <w:spacing w:val="-1"/>
              </w:rPr>
              <w:t>火，配防爆设备，消防器材就近可用。</w:t>
            </w:r>
          </w:p>
          <w:p w14:paraId="09DC69A3">
            <w:pPr>
              <w:pStyle w:val="6"/>
              <w:spacing w:line="359" w:lineRule="auto"/>
              <w:ind w:left="107" w:right="102" w:firstLine="481"/>
              <w:jc w:val="both"/>
            </w:pPr>
            <w:r>
              <w:rPr>
                <w:spacing w:val="1"/>
              </w:rPr>
              <w:t>严格落实防风、防晒、防雨、防漏、防渗、防腐以及其他环境污染防治措施，根据危险废物的类别、数量、形态、物理化学性质和污染防治等要求设置必要的贮存分区，避免不相容的危险废物接触、混合。危险废物放入符合标准的罐（桶）内，按要求设置危险废物贮存分区标志和危险废物标签等危险废物识别标志，包括废物名称、废物类别、废物代码、危险特性、主要成分、废物重量等内容，并做好收集、利用、贮存和转运中的二次污染防治。贮存点应及时清运贮存的危险废物，交有资质单位统一处理并实行联单制管理，实时贮存</w:t>
            </w:r>
            <w:r>
              <w:rPr>
                <w:spacing w:val="-4"/>
              </w:rPr>
              <w:t>量不超过</w:t>
            </w:r>
            <w:r>
              <w:rPr>
                <w:spacing w:val="-44"/>
              </w:rPr>
              <w:t xml:space="preserve"> </w:t>
            </w:r>
            <w:r>
              <w:rPr>
                <w:rFonts w:ascii="Times New Roman" w:hAnsi="Times New Roman" w:eastAsia="Times New Roman" w:cs="Times New Roman"/>
                <w:spacing w:val="-4"/>
              </w:rPr>
              <w:t>3</w:t>
            </w:r>
            <w:r>
              <w:rPr>
                <w:rFonts w:ascii="Times New Roman" w:hAnsi="Times New Roman" w:eastAsia="Times New Roman" w:cs="Times New Roman"/>
                <w:spacing w:val="21"/>
              </w:rPr>
              <w:t xml:space="preserve"> </w:t>
            </w:r>
            <w:r>
              <w:rPr>
                <w:spacing w:val="-4"/>
              </w:rPr>
              <w:t>吨，处理率达到</w:t>
            </w:r>
            <w:r>
              <w:rPr>
                <w:spacing w:val="-32"/>
              </w:rPr>
              <w:t xml:space="preserve"> </w:t>
            </w:r>
            <w:r>
              <w:rPr>
                <w:rFonts w:ascii="Times New Roman" w:hAnsi="Times New Roman" w:eastAsia="Times New Roman" w:cs="Times New Roman"/>
                <w:spacing w:val="-4"/>
              </w:rPr>
              <w:t>100%</w:t>
            </w:r>
            <w:r>
              <w:rPr>
                <w:rFonts w:ascii="Times New Roman" w:hAnsi="Times New Roman" w:eastAsia="Times New Roman" w:cs="Times New Roman"/>
                <w:spacing w:val="-32"/>
              </w:rPr>
              <w:t xml:space="preserve"> </w:t>
            </w:r>
            <w:r>
              <w:rPr>
                <w:spacing w:val="-4"/>
              </w:rPr>
              <w:t>，符合环保相关要求。</w:t>
            </w:r>
          </w:p>
          <w:p w14:paraId="42926E18">
            <w:pPr>
              <w:pStyle w:val="6"/>
              <w:spacing w:line="359" w:lineRule="auto"/>
              <w:ind w:left="108" w:right="102" w:firstLine="479"/>
              <w:jc w:val="both"/>
            </w:pPr>
            <w:r>
              <w:rPr>
                <w:spacing w:val="1"/>
              </w:rPr>
              <w:t>撬装式危废贮存点设立危险废物警示标志，做好危废情况的记录，记录上须注明危险废物的名称、来源、数量、特性等内容。由专人定期检查危险</w:t>
            </w:r>
            <w:r>
              <w:t>废物</w:t>
            </w:r>
            <w:r>
              <w:rPr>
                <w:spacing w:val="1"/>
              </w:rPr>
              <w:t>的贮存状况，及时清理贮存设施地面，更换破损泄漏的危险废物贮存容器</w:t>
            </w:r>
            <w:r>
              <w:t>和包</w:t>
            </w:r>
            <w:r>
              <w:rPr>
                <w:spacing w:val="-1"/>
              </w:rPr>
              <w:t>装物，保证堆存危险废物的防雨、防风、防扬尘等设施功能完好。</w:t>
            </w:r>
          </w:p>
          <w:p w14:paraId="482A0B08">
            <w:pPr>
              <w:pStyle w:val="6"/>
              <w:spacing w:line="359" w:lineRule="auto"/>
              <w:ind w:left="108" w:right="215" w:firstLine="478"/>
            </w:pPr>
            <w:r>
              <w:rPr>
                <w:rFonts w:ascii="Times New Roman" w:hAnsi="Times New Roman" w:eastAsia="Times New Roman" w:cs="Times New Roman"/>
                <w:spacing w:val="-1"/>
              </w:rPr>
              <w:t>d</w:t>
            </w:r>
            <w:r>
              <w:rPr>
                <w:rFonts w:ascii="Times New Roman" w:hAnsi="Times New Roman" w:eastAsia="Times New Roman" w:cs="Times New Roman"/>
                <w:spacing w:val="16"/>
              </w:rPr>
              <w:t xml:space="preserve"> </w:t>
            </w:r>
            <w:r>
              <w:rPr>
                <w:spacing w:val="-1"/>
              </w:rPr>
              <w:t>公司应向环保部门申报危险废物的种类、数量、成分特征、排放</w:t>
            </w:r>
            <w:r>
              <w:rPr>
                <w:spacing w:val="-2"/>
              </w:rPr>
              <w:t>方式，并提供污染防治设施和废物主要去向等资料。在危</w:t>
            </w:r>
            <w:r>
              <w:rPr>
                <w:spacing w:val="-3"/>
              </w:rPr>
              <w:t>险废物收集、运输之前，危</w:t>
            </w:r>
            <w:r>
              <w:rPr>
                <w:spacing w:val="-2"/>
              </w:rPr>
              <w:t>险废物产生者应当根据危险废物的性质、形态，选</w:t>
            </w:r>
            <w:r>
              <w:rPr>
                <w:spacing w:val="-3"/>
              </w:rPr>
              <w:t>择安全的包装方式，并向承</w:t>
            </w:r>
            <w:r>
              <w:t>运者和接收者提供安全防护要求的说明。强</w:t>
            </w:r>
            <w:r>
              <w:rPr>
                <w:spacing w:val="-1"/>
              </w:rPr>
              <w:t>化职工的安全环保意识。</w:t>
            </w:r>
          </w:p>
          <w:p w14:paraId="488D3EAB">
            <w:pPr>
              <w:pStyle w:val="6"/>
              <w:spacing w:line="217" w:lineRule="auto"/>
              <w:ind w:left="586"/>
            </w:pPr>
            <w:r>
              <w:rPr>
                <w:spacing w:val="-1"/>
              </w:rPr>
              <w:t>②运输过程管理措施</w:t>
            </w:r>
          </w:p>
          <w:p w14:paraId="194B7F93">
            <w:pPr>
              <w:pStyle w:val="6"/>
              <w:spacing w:before="186" w:line="348" w:lineRule="auto"/>
              <w:ind w:left="107" w:right="22" w:firstLine="484"/>
              <w:jc w:val="both"/>
            </w:pPr>
            <w:r>
              <w:rPr>
                <w:spacing w:val="1"/>
              </w:rPr>
              <w:t>项目产生的危险废物收集后交有资质单位处置。危险废物运输过</w:t>
            </w:r>
            <w:r>
              <w:t>程中全部</w:t>
            </w:r>
            <w:r>
              <w:rPr>
                <w:spacing w:val="1"/>
              </w:rPr>
              <w:t>采用密闭容器储存，运输路线尽量选取不经过办公区等人员密集区，转运结束</w:t>
            </w:r>
            <w:r>
              <w:rPr>
                <w:spacing w:val="-4"/>
              </w:rPr>
              <w:t>后及时对转运路线进行检查和清理，确保无危险废物散落或泄漏在转运路线上。</w:t>
            </w:r>
          </w:p>
        </w:tc>
      </w:tr>
    </w:tbl>
    <w:p w14:paraId="6CD6632D">
      <w:pPr>
        <w:rPr>
          <w:rFonts w:ascii="Arial"/>
          <w:sz w:val="21"/>
        </w:rPr>
      </w:pPr>
    </w:p>
    <w:p w14:paraId="0886B857">
      <w:pPr>
        <w:rPr>
          <w:rFonts w:ascii="Arial" w:hAnsi="Arial" w:eastAsia="Arial" w:cs="Arial"/>
          <w:sz w:val="21"/>
          <w:szCs w:val="21"/>
        </w:rPr>
        <w:sectPr>
          <w:footerReference r:id="rId97" w:type="default"/>
          <w:pgSz w:w="11906" w:h="16839"/>
          <w:pgMar w:top="400" w:right="1410" w:bottom="1240" w:left="1579" w:header="0" w:footer="1078" w:gutter="0"/>
          <w:cols w:space="720" w:num="1"/>
        </w:sectPr>
      </w:pPr>
    </w:p>
    <w:p w14:paraId="35AE3340">
      <w:pPr>
        <w:spacing w:before="56"/>
      </w:pPr>
    </w:p>
    <w:p w14:paraId="40A5E45F">
      <w:pPr>
        <w:spacing w:before="56"/>
      </w:pPr>
    </w:p>
    <w:p w14:paraId="58848B73">
      <w:pPr>
        <w:spacing w:before="55"/>
      </w:pPr>
    </w:p>
    <w:p w14:paraId="68849B3F">
      <w:pPr>
        <w:spacing w:before="55"/>
      </w:pPr>
    </w:p>
    <w:tbl>
      <w:tblPr>
        <w:tblStyle w:val="5"/>
        <w:tblW w:w="890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86"/>
        <w:gridCol w:w="8415"/>
      </w:tblGrid>
      <w:tr w14:paraId="084B2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486" w:type="dxa"/>
            <w:tcBorders>
              <w:right w:val="single" w:color="000000" w:sz="2" w:space="0"/>
            </w:tcBorders>
            <w:vAlign w:val="top"/>
          </w:tcPr>
          <w:p w14:paraId="14C643BD">
            <w:pPr>
              <w:rPr>
                <w:rFonts w:ascii="Arial"/>
                <w:sz w:val="21"/>
              </w:rPr>
            </w:pPr>
          </w:p>
        </w:tc>
        <w:tc>
          <w:tcPr>
            <w:tcW w:w="8415" w:type="dxa"/>
            <w:tcBorders>
              <w:left w:val="single" w:color="000000" w:sz="2" w:space="0"/>
            </w:tcBorders>
            <w:vAlign w:val="top"/>
          </w:tcPr>
          <w:p w14:paraId="3D40D0BA">
            <w:pPr>
              <w:pStyle w:val="6"/>
              <w:spacing w:before="40" w:line="359" w:lineRule="auto"/>
              <w:ind w:left="106" w:right="102" w:firstLine="484"/>
            </w:pPr>
            <w:r>
              <w:rPr>
                <w:spacing w:val="1"/>
              </w:rPr>
              <w:t>危险废物的运输应采取危险废物转移联单制度，保证运输安全，防</w:t>
            </w:r>
            <w:r>
              <w:t>止非法</w:t>
            </w:r>
            <w:r>
              <w:rPr>
                <w:spacing w:val="1"/>
              </w:rPr>
              <w:t>转移和非法处置，保证危险废物的安全监控，防止危险废物污染事故的发生。所有装满运走的容器或贮罐都应标明内盛物的类别与危害说明，以及数量和装</w:t>
            </w:r>
            <w:r>
              <w:rPr>
                <w:spacing w:val="-1"/>
              </w:rPr>
              <w:t>进日期，设置危险废物的识别标志。</w:t>
            </w:r>
          </w:p>
          <w:p w14:paraId="04257FCE">
            <w:pPr>
              <w:pStyle w:val="6"/>
              <w:spacing w:line="359" w:lineRule="auto"/>
              <w:ind w:left="107" w:right="102" w:firstLine="480"/>
            </w:pPr>
            <w:r>
              <w:rPr>
                <w:spacing w:val="1"/>
              </w:rPr>
              <w:t>撬装式危废贮存点地面采取防腐防渗措施，运输过程中加强环境管理严格</w:t>
            </w:r>
            <w:r>
              <w:rPr>
                <w:spacing w:val="-1"/>
              </w:rPr>
              <w:t>遵守转移联单制度，不会对环境产生不利影响。</w:t>
            </w:r>
          </w:p>
          <w:p w14:paraId="1966222F">
            <w:pPr>
              <w:pStyle w:val="6"/>
              <w:spacing w:line="217" w:lineRule="auto"/>
              <w:ind w:left="586"/>
            </w:pPr>
            <w:r>
              <w:rPr>
                <w:spacing w:val="-1"/>
              </w:rPr>
              <w:t>③委托利用或者处置措施</w:t>
            </w:r>
          </w:p>
          <w:p w14:paraId="0234F019">
            <w:pPr>
              <w:pStyle w:val="6"/>
              <w:spacing w:before="184" w:line="359" w:lineRule="auto"/>
              <w:ind w:left="111" w:right="102" w:firstLine="480"/>
            </w:pPr>
            <w:r>
              <w:rPr>
                <w:spacing w:val="1"/>
              </w:rPr>
              <w:t>项目危险废物委托有资质单位拉运处置。建设单位已与有资质单</w:t>
            </w:r>
            <w:r>
              <w:t>位签订了</w:t>
            </w:r>
            <w:r>
              <w:rPr>
                <w:spacing w:val="1"/>
              </w:rPr>
              <w:t>危废处置合同，其经营范围涵盖了项目危废产生种类且有足够能力</w:t>
            </w:r>
            <w:r>
              <w:t>处置产生的</w:t>
            </w:r>
            <w:r>
              <w:rPr>
                <w:spacing w:val="-2"/>
              </w:rPr>
              <w:t>危废，措施可行。</w:t>
            </w:r>
          </w:p>
          <w:p w14:paraId="11B4119C">
            <w:pPr>
              <w:pStyle w:val="6"/>
              <w:spacing w:line="217" w:lineRule="auto"/>
              <w:ind w:left="586"/>
            </w:pPr>
            <w:r>
              <w:rPr>
                <w:spacing w:val="-2"/>
              </w:rPr>
              <w:t>④其他措施</w:t>
            </w:r>
          </w:p>
          <w:p w14:paraId="2C7AD242">
            <w:pPr>
              <w:pStyle w:val="6"/>
              <w:spacing w:before="186" w:line="359" w:lineRule="auto"/>
              <w:ind w:left="108" w:right="22" w:firstLine="479"/>
            </w:pPr>
            <w:r>
              <w:rPr>
                <w:spacing w:val="1"/>
              </w:rPr>
              <w:t>在收集、运输、贮存危险废物过程中，如发生泄漏事故时，应马上启动危</w:t>
            </w:r>
            <w:r>
              <w:rPr>
                <w:spacing w:val="-4"/>
              </w:rPr>
              <w:t>险废物应急处置预案；收集、贮存、运输危险废物的场所、设施、设备和容器、</w:t>
            </w:r>
            <w:r>
              <w:rPr>
                <w:spacing w:val="1"/>
              </w:rPr>
              <w:t>包装物或其他物品转作他用时，必须经过消除污染的处理，并经环境保护</w:t>
            </w:r>
            <w:r>
              <w:t>检测</w:t>
            </w:r>
            <w:r>
              <w:rPr>
                <w:spacing w:val="-1"/>
              </w:rPr>
              <w:t>部门检测，达到无害化标准，未达到标准的严禁转作他用。</w:t>
            </w:r>
          </w:p>
          <w:p w14:paraId="760C77B0">
            <w:pPr>
              <w:pStyle w:val="6"/>
              <w:spacing w:line="359" w:lineRule="auto"/>
              <w:ind w:left="108" w:right="102" w:firstLine="559"/>
            </w:pPr>
            <w:r>
              <w:rPr>
                <w:spacing w:val="-2"/>
              </w:rPr>
              <w:t>综上，项目产生的固体废物均采取了合理、有效的防治措施，对周围环境影响较小。</w:t>
            </w:r>
          </w:p>
          <w:p w14:paraId="1CBDA3E7">
            <w:pPr>
              <w:pStyle w:val="6"/>
              <w:spacing w:line="219" w:lineRule="auto"/>
              <w:ind w:left="592"/>
            </w:pPr>
            <w:r>
              <w:rPr>
                <w:b/>
                <w:bCs/>
                <w:spacing w:val="-3"/>
              </w:rPr>
              <w:t>五、施工期地下水、土壤环境保护措施</w:t>
            </w:r>
          </w:p>
          <w:p w14:paraId="1E1D74DE">
            <w:pPr>
              <w:pStyle w:val="6"/>
              <w:spacing w:before="182" w:line="359" w:lineRule="auto"/>
              <w:ind w:left="108" w:right="22" w:firstLine="482"/>
              <w:jc w:val="both"/>
            </w:pPr>
            <w:r>
              <w:rPr>
                <w:spacing w:val="2"/>
              </w:rPr>
              <w:t>为防止污染地下水、土壤环境，按照“源头控制、分区</w:t>
            </w:r>
            <w:r>
              <w:rPr>
                <w:spacing w:val="1"/>
              </w:rPr>
              <w:t>防治、污染监控、</w:t>
            </w:r>
            <w:r>
              <w:rPr>
                <w:spacing w:val="-5"/>
              </w:rPr>
              <w:t>应急响应</w:t>
            </w:r>
            <w:r>
              <w:rPr>
                <w:spacing w:val="-72"/>
              </w:rPr>
              <w:t xml:space="preserve"> </w:t>
            </w:r>
            <w:r>
              <w:rPr>
                <w:spacing w:val="-5"/>
              </w:rPr>
              <w:t>”相结合的原则，从污染物的产生、入渗、扩散、应急响应进行控制。</w:t>
            </w:r>
            <w:r>
              <w:rPr>
                <w:spacing w:val="-2"/>
              </w:rPr>
              <w:t>具体措施如下：</w:t>
            </w:r>
          </w:p>
          <w:p w14:paraId="46310814">
            <w:pPr>
              <w:pStyle w:val="6"/>
              <w:spacing w:line="220" w:lineRule="auto"/>
              <w:ind w:left="599"/>
            </w:pPr>
            <w:r>
              <w:rPr>
                <w:spacing w:val="-3"/>
              </w:rPr>
              <w:t>（</w:t>
            </w:r>
            <w:r>
              <w:rPr>
                <w:rFonts w:ascii="Times New Roman" w:hAnsi="Times New Roman" w:eastAsia="Times New Roman" w:cs="Times New Roman"/>
                <w:spacing w:val="-3"/>
              </w:rPr>
              <w:t>1</w:t>
            </w:r>
            <w:r>
              <w:rPr>
                <w:spacing w:val="-3"/>
              </w:rPr>
              <w:t>）污染源控制措施</w:t>
            </w:r>
          </w:p>
          <w:p w14:paraId="63E96A0E">
            <w:pPr>
              <w:pStyle w:val="6"/>
              <w:spacing w:before="181" w:line="359" w:lineRule="auto"/>
              <w:ind w:left="108" w:right="102" w:firstLine="479"/>
            </w:pPr>
            <w:r>
              <w:rPr>
                <w:spacing w:val="1"/>
              </w:rPr>
              <w:t>源头控制主要包括实施清洁生产及各类废物循环利用，减少污染物的排放量；在工艺、设备、污水储存及处理构筑物采取相应措施，防止和降低污</w:t>
            </w:r>
            <w:r>
              <w:t>染物</w:t>
            </w:r>
            <w:r>
              <w:rPr>
                <w:spacing w:val="-1"/>
              </w:rPr>
              <w:t>跑、冒、滴、漏，将污染物泄漏的环境风险事故降到最低限度。</w:t>
            </w:r>
          </w:p>
          <w:p w14:paraId="6CDD3F96">
            <w:pPr>
              <w:pStyle w:val="6"/>
              <w:spacing w:line="220" w:lineRule="auto"/>
              <w:ind w:left="592"/>
            </w:pPr>
            <w:r>
              <w:rPr>
                <w:spacing w:val="-2"/>
              </w:rPr>
              <w:t>项目提出以下控制措施：</w:t>
            </w:r>
          </w:p>
          <w:p w14:paraId="1204A8B7">
            <w:pPr>
              <w:pStyle w:val="6"/>
              <w:spacing w:before="182" w:line="348" w:lineRule="auto"/>
              <w:ind w:left="110" w:right="102" w:firstLine="496"/>
              <w:jc w:val="both"/>
            </w:pPr>
            <w:r>
              <w:rPr>
                <w:rFonts w:ascii="Times New Roman" w:hAnsi="Times New Roman" w:eastAsia="Times New Roman" w:cs="Times New Roman"/>
                <w:spacing w:val="-3"/>
              </w:rPr>
              <w:t>1</w:t>
            </w:r>
            <w:r>
              <w:rPr>
                <w:spacing w:val="-3"/>
              </w:rPr>
              <w:t>）在施工前充分研究地质设计资料等，优化钻井施工工艺</w:t>
            </w:r>
            <w:r>
              <w:rPr>
                <w:spacing w:val="-4"/>
              </w:rPr>
              <w:t>、钻井泥浆体系</w:t>
            </w:r>
            <w:r>
              <w:rPr>
                <w:spacing w:val="1"/>
              </w:rPr>
              <w:t>等，对钻井过程中可能发生的钻井泥浆漏失的情况，采用强钻方式快</w:t>
            </w:r>
            <w:r>
              <w:t>速钻穿漏</w:t>
            </w:r>
            <w:r>
              <w:rPr>
                <w:spacing w:val="1"/>
              </w:rPr>
              <w:t>失层达到固井层位。选用合理钻井泥浆密度，实现近平衡压力钻井，</w:t>
            </w:r>
            <w:r>
              <w:t>降低钻井</w:t>
            </w:r>
          </w:p>
        </w:tc>
      </w:tr>
    </w:tbl>
    <w:p w14:paraId="6C2BB80C">
      <w:pPr>
        <w:rPr>
          <w:rFonts w:ascii="Arial"/>
          <w:sz w:val="21"/>
        </w:rPr>
      </w:pPr>
    </w:p>
    <w:p w14:paraId="0A3B395E">
      <w:pPr>
        <w:rPr>
          <w:rFonts w:ascii="Arial" w:hAnsi="Arial" w:eastAsia="Arial" w:cs="Arial"/>
          <w:sz w:val="21"/>
          <w:szCs w:val="21"/>
        </w:rPr>
        <w:sectPr>
          <w:footerReference r:id="rId98" w:type="default"/>
          <w:pgSz w:w="11906" w:h="16839"/>
          <w:pgMar w:top="400" w:right="1410" w:bottom="1240" w:left="1579" w:header="0" w:footer="1078" w:gutter="0"/>
          <w:cols w:space="720" w:num="1"/>
        </w:sectPr>
      </w:pPr>
    </w:p>
    <w:p w14:paraId="179C4909">
      <w:pPr>
        <w:spacing w:before="56"/>
      </w:pPr>
    </w:p>
    <w:p w14:paraId="1CE64F03">
      <w:pPr>
        <w:spacing w:before="56"/>
      </w:pPr>
    </w:p>
    <w:p w14:paraId="44E7212C">
      <w:pPr>
        <w:spacing w:before="55"/>
      </w:pPr>
    </w:p>
    <w:p w14:paraId="4C6EE12C">
      <w:pPr>
        <w:spacing w:before="55"/>
      </w:pPr>
    </w:p>
    <w:tbl>
      <w:tblPr>
        <w:tblStyle w:val="5"/>
        <w:tblW w:w="890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86"/>
        <w:gridCol w:w="8415"/>
      </w:tblGrid>
      <w:tr w14:paraId="07511B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486" w:type="dxa"/>
            <w:tcBorders>
              <w:right w:val="single" w:color="000000" w:sz="2" w:space="0"/>
            </w:tcBorders>
            <w:vAlign w:val="top"/>
          </w:tcPr>
          <w:p w14:paraId="265230F9">
            <w:pPr>
              <w:rPr>
                <w:rFonts w:ascii="Arial"/>
                <w:sz w:val="21"/>
              </w:rPr>
            </w:pPr>
          </w:p>
        </w:tc>
        <w:tc>
          <w:tcPr>
            <w:tcW w:w="8415" w:type="dxa"/>
            <w:tcBorders>
              <w:left w:val="single" w:color="000000" w:sz="2" w:space="0"/>
            </w:tcBorders>
            <w:vAlign w:val="top"/>
          </w:tcPr>
          <w:p w14:paraId="2C260068">
            <w:pPr>
              <w:pStyle w:val="6"/>
              <w:spacing w:before="40" w:line="359" w:lineRule="auto"/>
              <w:ind w:left="114" w:right="102" w:hanging="4"/>
            </w:pPr>
            <w:r>
              <w:rPr>
                <w:spacing w:val="1"/>
              </w:rPr>
              <w:t>泥浆环空压耗，降低钻井泥浆激动压力，从而降低井筒中钻井泥浆动</w:t>
            </w:r>
            <w:r>
              <w:t>压力，减</w:t>
            </w:r>
            <w:r>
              <w:rPr>
                <w:spacing w:val="-2"/>
              </w:rPr>
              <w:t>小钻井泥浆漏失量。</w:t>
            </w:r>
          </w:p>
          <w:p w14:paraId="70333887">
            <w:pPr>
              <w:pStyle w:val="6"/>
              <w:spacing w:line="219" w:lineRule="auto"/>
              <w:ind w:left="584"/>
            </w:pPr>
            <w:r>
              <w:rPr>
                <w:rFonts w:ascii="Times New Roman" w:hAnsi="Times New Roman" w:eastAsia="Times New Roman" w:cs="Times New Roman"/>
              </w:rPr>
              <w:t>2</w:t>
            </w:r>
            <w:r>
              <w:t>）钻井、过程中加强监控，防止钻井泥浆</w:t>
            </w:r>
            <w:r>
              <w:rPr>
                <w:spacing w:val="-1"/>
              </w:rPr>
              <w:t>的扩散污染等。</w:t>
            </w:r>
          </w:p>
          <w:p w14:paraId="17BF1AC1">
            <w:pPr>
              <w:pStyle w:val="6"/>
              <w:spacing w:before="183" w:line="359" w:lineRule="auto"/>
              <w:ind w:left="108" w:right="102" w:firstLine="480"/>
            </w:pPr>
            <w:r>
              <w:rPr>
                <w:rFonts w:ascii="Times New Roman" w:hAnsi="Times New Roman" w:eastAsia="Times New Roman" w:cs="Times New Roman"/>
                <w:spacing w:val="-3"/>
              </w:rPr>
              <w:t>3</w:t>
            </w:r>
            <w:r>
              <w:rPr>
                <w:spacing w:val="-3"/>
              </w:rPr>
              <w:t>）钻进过程中保持平衡操作，并对钻井泥浆进行实时监控。采用无毒的钻</w:t>
            </w:r>
            <w:r>
              <w:rPr>
                <w:spacing w:val="1"/>
              </w:rPr>
              <w:t>井泥浆，配备足够量、高效的堵漏剂等，一旦发现漏失，立即采取堵漏措</w:t>
            </w:r>
            <w:r>
              <w:t>施，</w:t>
            </w:r>
            <w:r>
              <w:rPr>
                <w:spacing w:val="1"/>
              </w:rPr>
              <w:t>减少漏失量。堵漏剂的选取应考虑清洁、无毒、对人体无害，环境污染轻</w:t>
            </w:r>
            <w:r>
              <w:t>的种</w:t>
            </w:r>
            <w:r>
              <w:rPr>
                <w:spacing w:val="-5"/>
              </w:rPr>
              <w:t>类。</w:t>
            </w:r>
          </w:p>
          <w:p w14:paraId="7D74757C">
            <w:pPr>
              <w:pStyle w:val="6"/>
              <w:spacing w:before="2" w:line="358" w:lineRule="auto"/>
              <w:ind w:left="108" w:right="102" w:firstLine="474"/>
            </w:pPr>
            <w:r>
              <w:rPr>
                <w:rFonts w:ascii="Times New Roman" w:hAnsi="Times New Roman" w:eastAsia="Times New Roman" w:cs="Times New Roman"/>
                <w:spacing w:val="-3"/>
              </w:rPr>
              <w:t>4</w:t>
            </w:r>
            <w:r>
              <w:rPr>
                <w:spacing w:val="-3"/>
              </w:rPr>
              <w:t>）每次钻井结束后的固井作业可有效封隔地层与套管之间的环空，防止污</w:t>
            </w:r>
            <w:r>
              <w:rPr>
                <w:spacing w:val="1"/>
              </w:rPr>
              <w:t>染地下水。固井作业应提高固井质量，可有效防止因为井漏事故造成的地</w:t>
            </w:r>
            <w:r>
              <w:t>下水</w:t>
            </w:r>
            <w:r>
              <w:rPr>
                <w:spacing w:val="-2"/>
              </w:rPr>
              <w:t>环境污染。</w:t>
            </w:r>
          </w:p>
          <w:p w14:paraId="2B486C79">
            <w:pPr>
              <w:pStyle w:val="6"/>
              <w:spacing w:before="2" w:line="359" w:lineRule="auto"/>
              <w:ind w:left="108" w:right="102" w:firstLine="482"/>
            </w:pPr>
            <w:r>
              <w:rPr>
                <w:rFonts w:ascii="Times New Roman" w:hAnsi="Times New Roman" w:eastAsia="Times New Roman" w:cs="Times New Roman"/>
                <w:spacing w:val="-3"/>
              </w:rPr>
              <w:t>5</w:t>
            </w:r>
            <w:r>
              <w:rPr>
                <w:spacing w:val="-3"/>
              </w:rPr>
              <w:t>）在钻井完井过程中严格控制新鲜水用量，实行清污分流，减少污水产生</w:t>
            </w:r>
            <w:r>
              <w:rPr>
                <w:spacing w:val="-5"/>
              </w:rPr>
              <w:t>量。</w:t>
            </w:r>
          </w:p>
          <w:p w14:paraId="154F64C4">
            <w:pPr>
              <w:pStyle w:val="6"/>
              <w:spacing w:before="1" w:line="218" w:lineRule="auto"/>
              <w:ind w:left="589"/>
            </w:pPr>
            <w:r>
              <w:rPr>
                <w:rFonts w:ascii="Times New Roman" w:hAnsi="Times New Roman" w:eastAsia="Times New Roman" w:cs="Times New Roman"/>
                <w:spacing w:val="-1"/>
              </w:rPr>
              <w:t>6</w:t>
            </w:r>
            <w:r>
              <w:rPr>
                <w:spacing w:val="-1"/>
              </w:rPr>
              <w:t>）作业用材料集中放置在防渗漏地面，防止对地下水的污染。</w:t>
            </w:r>
          </w:p>
          <w:p w14:paraId="44111300">
            <w:pPr>
              <w:pStyle w:val="6"/>
              <w:spacing w:before="183" w:line="359" w:lineRule="auto"/>
              <w:ind w:left="107" w:right="102" w:firstLine="480"/>
            </w:pPr>
            <w:r>
              <w:rPr>
                <w:rFonts w:ascii="Times New Roman" w:hAnsi="Times New Roman" w:eastAsia="Times New Roman" w:cs="Times New Roman"/>
                <w:spacing w:val="-3"/>
              </w:rPr>
              <w:t>7</w:t>
            </w:r>
            <w:r>
              <w:rPr>
                <w:spacing w:val="-3"/>
              </w:rPr>
              <w:t>）施工过程中应加强废水管理，防止出现废水渗漏、外溢等事故；钻井过</w:t>
            </w:r>
            <w:r>
              <w:rPr>
                <w:spacing w:val="1"/>
              </w:rPr>
              <w:t>程中产生的废水进入废弃泥浆、钻井岩屑中，收集至可移动废水罐，定期拉运</w:t>
            </w:r>
            <w:r>
              <w:rPr>
                <w:spacing w:val="-1"/>
              </w:rPr>
              <w:t>至内蒙古众宁环保科技有限公司油气田废弃物集中处理厂处理。</w:t>
            </w:r>
          </w:p>
          <w:p w14:paraId="114D23C9">
            <w:pPr>
              <w:pStyle w:val="6"/>
              <w:spacing w:line="359" w:lineRule="auto"/>
              <w:ind w:left="109" w:right="102" w:firstLine="484"/>
            </w:pPr>
            <w:r>
              <w:rPr>
                <w:rFonts w:ascii="Times New Roman" w:hAnsi="Times New Roman" w:eastAsia="Times New Roman" w:cs="Times New Roman"/>
                <w:spacing w:val="-3"/>
              </w:rPr>
              <w:t>8</w:t>
            </w:r>
            <w:r>
              <w:rPr>
                <w:spacing w:val="-3"/>
              </w:rPr>
              <w:t>）根据探井勘探项目的实际生产情况，保证钻孔固井质量是保护地下水的</w:t>
            </w:r>
            <w:r>
              <w:rPr>
                <w:spacing w:val="1"/>
              </w:rPr>
              <w:t>有效措施，钻井过程中使用双层套管，表层套管和油层套管固井水泥均</w:t>
            </w:r>
            <w:r>
              <w:t>返至井</w:t>
            </w:r>
            <w:r>
              <w:rPr>
                <w:spacing w:val="1"/>
              </w:rPr>
              <w:t>口处，确保安全封闭此深度内的潜水层和承压水层，同时封固地表疏松</w:t>
            </w:r>
            <w:r>
              <w:t>地层，</w:t>
            </w:r>
            <w:r>
              <w:rPr>
                <w:spacing w:val="1"/>
              </w:rPr>
              <w:t>为井口控制和后续完井采用预应力固井创造条件；钻井过程中的固井措</w:t>
            </w:r>
            <w:r>
              <w:t>施，一</w:t>
            </w:r>
            <w:r>
              <w:rPr>
                <w:spacing w:val="1"/>
              </w:rPr>
              <w:t>方面加固井壁，同时也有分隔地层的作用，使各个不相连通的地层分隔</w:t>
            </w:r>
            <w:r>
              <w:t>开来，</w:t>
            </w:r>
            <w:r>
              <w:rPr>
                <w:spacing w:val="-1"/>
              </w:rPr>
              <w:t>保持其原有的循环运移道路。</w:t>
            </w:r>
          </w:p>
          <w:p w14:paraId="5B87C63D">
            <w:pPr>
              <w:pStyle w:val="6"/>
              <w:spacing w:before="6" w:line="358" w:lineRule="auto"/>
              <w:ind w:left="107" w:right="102" w:firstLine="470"/>
              <w:jc w:val="both"/>
            </w:pPr>
            <w:r>
              <w:rPr>
                <w:spacing w:val="1"/>
              </w:rPr>
              <w:t>在钻井施工过程中根据地层地质结构及含水层位的不同，下入不同深度的</w:t>
            </w:r>
            <w:r>
              <w:rPr>
                <w:spacing w:val="-1"/>
              </w:rPr>
              <w:t>套管，一般导管下至</w:t>
            </w:r>
            <w:r>
              <w:rPr>
                <w:spacing w:val="-29"/>
              </w:rPr>
              <w:t xml:space="preserve"> </w:t>
            </w:r>
            <w:r>
              <w:rPr>
                <w:rFonts w:ascii="Times New Roman" w:hAnsi="Times New Roman" w:eastAsia="Times New Roman" w:cs="Times New Roman"/>
                <w:spacing w:val="-1"/>
              </w:rPr>
              <w:t>120m</w:t>
            </w:r>
            <w:r>
              <w:rPr>
                <w:rFonts w:ascii="Times New Roman" w:hAnsi="Times New Roman" w:eastAsia="Times New Roman" w:cs="Times New Roman"/>
                <w:spacing w:val="16"/>
              </w:rPr>
              <w:t xml:space="preserve"> </w:t>
            </w:r>
            <w:r>
              <w:rPr>
                <w:spacing w:val="-1"/>
              </w:rPr>
              <w:t>并注入水泥封固，</w:t>
            </w:r>
            <w:r>
              <w:rPr>
                <w:spacing w:val="-2"/>
              </w:rPr>
              <w:t>表层套管下至</w:t>
            </w:r>
            <w:r>
              <w:rPr>
                <w:spacing w:val="-32"/>
              </w:rPr>
              <w:t xml:space="preserve"> </w:t>
            </w:r>
            <w:r>
              <w:rPr>
                <w:rFonts w:ascii="Times New Roman" w:hAnsi="Times New Roman" w:eastAsia="Times New Roman" w:cs="Times New Roman"/>
                <w:spacing w:val="-2"/>
              </w:rPr>
              <w:t xml:space="preserve">1200m </w:t>
            </w:r>
            <w:r>
              <w:rPr>
                <w:spacing w:val="-2"/>
              </w:rPr>
              <w:t>左右并注入</w:t>
            </w:r>
            <w:r>
              <w:rPr>
                <w:spacing w:val="1"/>
              </w:rPr>
              <w:t>水泥封固，确保套管能完全封隔含水层。而且，钻井施工过程中，不只</w:t>
            </w:r>
            <w:r>
              <w:t>是有导</w:t>
            </w:r>
            <w:r>
              <w:rPr>
                <w:spacing w:val="1"/>
              </w:rPr>
              <w:t>管、表层套管，二开、三开后还会下入相应尺寸的套管，每层套管和井壁之间</w:t>
            </w:r>
            <w:r>
              <w:rPr>
                <w:spacing w:val="-1"/>
              </w:rPr>
              <w:t>会用水泥封固，防止地下水被钻井泥浆污染。</w:t>
            </w:r>
          </w:p>
          <w:p w14:paraId="3FE03A39">
            <w:pPr>
              <w:pStyle w:val="6"/>
              <w:spacing w:before="2" w:line="342" w:lineRule="auto"/>
              <w:ind w:left="110" w:right="22" w:firstLine="478"/>
            </w:pPr>
            <w:r>
              <w:rPr>
                <w:rFonts w:ascii="Times New Roman" w:hAnsi="Times New Roman" w:eastAsia="Times New Roman" w:cs="Times New Roman"/>
                <w:spacing w:val="-3"/>
              </w:rPr>
              <w:t>9</w:t>
            </w:r>
            <w:r>
              <w:rPr>
                <w:spacing w:val="-3"/>
              </w:rPr>
              <w:t>）加强油料的管理和控制，特别应加强和完善废油的控制措施。加强废弃</w:t>
            </w:r>
            <w:r>
              <w:rPr>
                <w:spacing w:val="-4"/>
              </w:rPr>
              <w:t>泥浆、钻井岩屑及其他固体废弃物收集、运输及暂存、处置等过程的环境管理。</w:t>
            </w:r>
          </w:p>
        </w:tc>
      </w:tr>
    </w:tbl>
    <w:p w14:paraId="0AA0E4D7">
      <w:pPr>
        <w:rPr>
          <w:rFonts w:ascii="Arial"/>
          <w:sz w:val="21"/>
        </w:rPr>
      </w:pPr>
    </w:p>
    <w:p w14:paraId="4EDF9B7A">
      <w:pPr>
        <w:rPr>
          <w:rFonts w:ascii="Arial" w:hAnsi="Arial" w:eastAsia="Arial" w:cs="Arial"/>
          <w:sz w:val="21"/>
          <w:szCs w:val="21"/>
        </w:rPr>
        <w:sectPr>
          <w:footerReference r:id="rId99" w:type="default"/>
          <w:pgSz w:w="11906" w:h="16839"/>
          <w:pgMar w:top="400" w:right="1410" w:bottom="1240" w:left="1579" w:header="0" w:footer="1078" w:gutter="0"/>
          <w:cols w:space="720" w:num="1"/>
        </w:sectPr>
      </w:pPr>
    </w:p>
    <w:p w14:paraId="2E717F4F">
      <w:pPr>
        <w:spacing w:before="56"/>
      </w:pPr>
    </w:p>
    <w:p w14:paraId="51EF8692">
      <w:pPr>
        <w:spacing w:before="56"/>
      </w:pPr>
    </w:p>
    <w:p w14:paraId="73240C65">
      <w:pPr>
        <w:spacing w:before="55"/>
      </w:pPr>
    </w:p>
    <w:p w14:paraId="04B48329">
      <w:pPr>
        <w:spacing w:before="55"/>
      </w:pPr>
    </w:p>
    <w:tbl>
      <w:tblPr>
        <w:tblStyle w:val="5"/>
        <w:tblW w:w="890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86"/>
        <w:gridCol w:w="8415"/>
      </w:tblGrid>
      <w:tr w14:paraId="6D3021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80" w:hRule="atLeast"/>
        </w:trPr>
        <w:tc>
          <w:tcPr>
            <w:tcW w:w="486" w:type="dxa"/>
            <w:tcBorders>
              <w:right w:val="single" w:color="000000" w:sz="2" w:space="0"/>
            </w:tcBorders>
            <w:vAlign w:val="top"/>
          </w:tcPr>
          <w:p w14:paraId="3164DB1C">
            <w:pPr>
              <w:rPr>
                <w:rFonts w:ascii="Arial"/>
                <w:sz w:val="21"/>
              </w:rPr>
            </w:pPr>
          </w:p>
        </w:tc>
        <w:tc>
          <w:tcPr>
            <w:tcW w:w="8415" w:type="dxa"/>
            <w:tcBorders>
              <w:left w:val="single" w:color="000000" w:sz="2" w:space="0"/>
            </w:tcBorders>
            <w:vAlign w:val="top"/>
          </w:tcPr>
          <w:p w14:paraId="2338BD16">
            <w:pPr>
              <w:pStyle w:val="6"/>
              <w:spacing w:before="40" w:line="359" w:lineRule="auto"/>
              <w:ind w:left="113" w:right="102" w:firstLine="493"/>
            </w:pPr>
            <w:r>
              <w:rPr>
                <w:rFonts w:ascii="Times New Roman" w:hAnsi="Times New Roman" w:eastAsia="Times New Roman" w:cs="Times New Roman"/>
              </w:rPr>
              <w:t>10</w:t>
            </w:r>
            <w:r>
              <w:t>）钻井泥浆等应做到循环利用。采取节水措施，减少耗水量。鼓励采用</w:t>
            </w:r>
            <w:r>
              <w:rPr>
                <w:spacing w:val="-2"/>
              </w:rPr>
              <w:t>先进的工艺、设备。</w:t>
            </w:r>
          </w:p>
          <w:p w14:paraId="1AAA7CA8">
            <w:pPr>
              <w:pStyle w:val="6"/>
              <w:spacing w:before="3" w:line="359" w:lineRule="auto"/>
              <w:ind w:left="108" w:right="41" w:firstLine="498"/>
            </w:pPr>
            <w:r>
              <w:rPr>
                <w:rFonts w:ascii="Times New Roman" w:hAnsi="Times New Roman" w:eastAsia="Times New Roman" w:cs="Times New Roman"/>
              </w:rPr>
              <w:t>11</w:t>
            </w:r>
            <w:r>
              <w:t>）在钻井泥浆入口、出口安装流量测量仪，实时监测钻井泥浆流量变化</w:t>
            </w:r>
            <w:r>
              <w:rPr>
                <w:spacing w:val="1"/>
              </w:rPr>
              <w:t>情况。若发现钻井泥浆出口流量小于入口流量，则判断为井筒渗漏，依据</w:t>
            </w:r>
            <w:r>
              <w:t>地层</w:t>
            </w:r>
            <w:r>
              <w:rPr>
                <w:spacing w:val="1"/>
              </w:rPr>
              <w:t>特征和渗漏速度，确定井漏具体层位，及时向钻井泥浆中加入堵漏材料并</w:t>
            </w:r>
            <w:r>
              <w:t>调整</w:t>
            </w:r>
            <w:r>
              <w:rPr>
                <w:spacing w:val="1"/>
              </w:rPr>
              <w:t>钻井泥浆性能，同时配备水泥浆（适用各种漏失通道的需要。对于大裂缝</w:t>
            </w:r>
            <w:r>
              <w:t>或溶</w:t>
            </w:r>
            <w:r>
              <w:rPr>
                <w:spacing w:val="-2"/>
              </w:rPr>
              <w:t>洞等引起的严重井漏、破碎性地层引起的诱导性井漏，首先考虑水泥浆堵漏</w:t>
            </w:r>
            <w:r>
              <w:rPr>
                <w:spacing w:val="-40"/>
              </w:rPr>
              <w:t>），</w:t>
            </w:r>
            <w:r>
              <w:rPr>
                <w:spacing w:val="-2"/>
              </w:rPr>
              <w:t>确保及时堵漏成功。</w:t>
            </w:r>
          </w:p>
          <w:p w14:paraId="5759D6D1">
            <w:pPr>
              <w:pStyle w:val="6"/>
              <w:spacing w:before="2" w:line="358" w:lineRule="auto"/>
              <w:ind w:left="108" w:right="102" w:firstLine="498"/>
            </w:pPr>
            <w:r>
              <w:rPr>
                <w:rFonts w:ascii="Times New Roman" w:hAnsi="Times New Roman" w:eastAsia="Times New Roman" w:cs="Times New Roman"/>
              </w:rPr>
              <w:t>12</w:t>
            </w:r>
            <w:r>
              <w:t>）井场分区铺设高密度聚乙烯防渗膜，非正常工况产生落地油，根据污</w:t>
            </w:r>
            <w:r>
              <w:rPr>
                <w:spacing w:val="1"/>
              </w:rPr>
              <w:t>染深度，铲至未被污染土层深度，暂存于撬装式危废贮存点，交有资质单</w:t>
            </w:r>
            <w:r>
              <w:t>位拉</w:t>
            </w:r>
            <w:r>
              <w:rPr>
                <w:spacing w:val="-3"/>
              </w:rPr>
              <w:t>运处置。</w:t>
            </w:r>
          </w:p>
          <w:p w14:paraId="21914372">
            <w:pPr>
              <w:pStyle w:val="6"/>
              <w:spacing w:line="220" w:lineRule="auto"/>
              <w:ind w:left="599"/>
            </w:pPr>
            <w:r>
              <w:rPr>
                <w:spacing w:val="-3"/>
              </w:rPr>
              <w:t>（</w:t>
            </w:r>
            <w:r>
              <w:rPr>
                <w:rFonts w:ascii="Times New Roman" w:hAnsi="Times New Roman" w:eastAsia="Times New Roman" w:cs="Times New Roman"/>
                <w:spacing w:val="-3"/>
              </w:rPr>
              <w:t>2</w:t>
            </w:r>
            <w:r>
              <w:rPr>
                <w:spacing w:val="-3"/>
              </w:rPr>
              <w:t>）防渗控制措施</w:t>
            </w:r>
          </w:p>
          <w:p w14:paraId="4BDDFFE5">
            <w:pPr>
              <w:pStyle w:val="6"/>
              <w:spacing w:before="182" w:line="359" w:lineRule="auto"/>
              <w:ind w:left="107" w:right="22" w:firstLine="483"/>
            </w:pPr>
            <w:r>
              <w:rPr>
                <w:spacing w:val="1"/>
              </w:rPr>
              <w:t>为防止污染地下水、土壤环境，针对施工期间工程特点，参照《环</w:t>
            </w:r>
            <w:r>
              <w:t>境影响</w:t>
            </w:r>
            <w:r>
              <w:rPr>
                <w:spacing w:val="1"/>
              </w:rPr>
              <w:t>评价技术导则地下水环境》（</w:t>
            </w:r>
            <w:r>
              <w:rPr>
                <w:rFonts w:ascii="Times New Roman" w:hAnsi="Times New Roman" w:eastAsia="Times New Roman" w:cs="Times New Roman"/>
              </w:rPr>
              <w:t>HJ</w:t>
            </w:r>
            <w:r>
              <w:rPr>
                <w:rFonts w:ascii="Times New Roman" w:hAnsi="Times New Roman" w:eastAsia="Times New Roman" w:cs="Times New Roman"/>
                <w:spacing w:val="1"/>
              </w:rPr>
              <w:t>610-2016</w:t>
            </w:r>
            <w:r>
              <w:rPr>
                <w:spacing w:val="1"/>
              </w:rPr>
              <w:t>）和《石油化工工程防渗技术规</w:t>
            </w:r>
            <w:r>
              <w:t xml:space="preserve">范》 </w:t>
            </w:r>
            <w:r>
              <w:rPr>
                <w:spacing w:val="-4"/>
              </w:rPr>
              <w:t>（</w:t>
            </w:r>
            <w:r>
              <w:rPr>
                <w:rFonts w:ascii="Times New Roman" w:hAnsi="Times New Roman" w:eastAsia="Times New Roman" w:cs="Times New Roman"/>
                <w:spacing w:val="-4"/>
              </w:rPr>
              <w:t>GB/T50934-2013</w:t>
            </w:r>
            <w:r>
              <w:rPr>
                <w:spacing w:val="-4"/>
              </w:rPr>
              <w:t>）的相关要求，将井场进行分区防渗，主要分为重点防渗区、</w:t>
            </w:r>
            <w:r>
              <w:rPr>
                <w:spacing w:val="-1"/>
              </w:rPr>
              <w:t>一般防渗区和简单防渗区。</w:t>
            </w:r>
          </w:p>
          <w:p w14:paraId="1871CD49">
            <w:pPr>
              <w:pStyle w:val="6"/>
              <w:spacing w:line="220" w:lineRule="auto"/>
              <w:ind w:left="607"/>
            </w:pPr>
            <w:r>
              <w:rPr>
                <w:rFonts w:ascii="Times New Roman" w:hAnsi="Times New Roman" w:eastAsia="Times New Roman" w:cs="Times New Roman"/>
                <w:spacing w:val="-5"/>
              </w:rPr>
              <w:t>1</w:t>
            </w:r>
            <w:r>
              <w:rPr>
                <w:spacing w:val="-5"/>
              </w:rPr>
              <w:t>）重点防渗区</w:t>
            </w:r>
          </w:p>
          <w:p w14:paraId="25799BF8">
            <w:pPr>
              <w:pStyle w:val="6"/>
              <w:spacing w:before="179" w:line="359" w:lineRule="auto"/>
              <w:ind w:left="107" w:right="41" w:firstLine="480"/>
            </w:pPr>
            <w:r>
              <w:rPr>
                <w:spacing w:val="2"/>
              </w:rPr>
              <w:t>钻井平台、泥浆不落地循环系统装置区、柴油罐区、撬装式</w:t>
            </w:r>
            <w:r>
              <w:rPr>
                <w:spacing w:val="1"/>
              </w:rPr>
              <w:t>危废贮存点、</w:t>
            </w:r>
            <w:r>
              <w:rPr>
                <w:spacing w:val="-9"/>
              </w:rPr>
              <w:t>储液罐、放喷池（即应急池）等为重点防渗区。重点防渗区四周加设高度为</w:t>
            </w:r>
            <w:r>
              <w:rPr>
                <w:spacing w:val="-48"/>
              </w:rPr>
              <w:t xml:space="preserve"> </w:t>
            </w:r>
            <w:r>
              <w:rPr>
                <w:rFonts w:ascii="Times New Roman" w:hAnsi="Times New Roman" w:eastAsia="Times New Roman" w:cs="Times New Roman"/>
                <w:spacing w:val="-9"/>
              </w:rPr>
              <w:t>20cm</w:t>
            </w:r>
            <w:r>
              <w:rPr>
                <w:spacing w:val="-4"/>
              </w:rPr>
              <w:t>的围堰，铺设双层</w:t>
            </w:r>
            <w:r>
              <w:rPr>
                <w:spacing w:val="-55"/>
              </w:rPr>
              <w:t xml:space="preserve"> </w:t>
            </w:r>
            <w:r>
              <w:rPr>
                <w:rFonts w:ascii="Times New Roman" w:hAnsi="Times New Roman" w:eastAsia="Times New Roman" w:cs="Times New Roman"/>
                <w:spacing w:val="-4"/>
              </w:rPr>
              <w:t>2mm</w:t>
            </w:r>
            <w:r>
              <w:rPr>
                <w:rFonts w:ascii="Times New Roman" w:hAnsi="Times New Roman" w:eastAsia="Times New Roman" w:cs="Times New Roman"/>
                <w:spacing w:val="16"/>
                <w:w w:val="101"/>
              </w:rPr>
              <w:t xml:space="preserve"> </w:t>
            </w:r>
            <w:r>
              <w:rPr>
                <w:spacing w:val="-4"/>
              </w:rPr>
              <w:t>厚高密度聚乙烯防渗膜（覆盖围堰并外延</w:t>
            </w:r>
            <w:r>
              <w:rPr>
                <w:spacing w:val="-52"/>
              </w:rPr>
              <w:t xml:space="preserve"> </w:t>
            </w:r>
            <w:r>
              <w:rPr>
                <w:rFonts w:ascii="Times New Roman" w:hAnsi="Times New Roman" w:eastAsia="Times New Roman" w:cs="Times New Roman"/>
                <w:spacing w:val="-4"/>
              </w:rPr>
              <w:t>0.5m</w:t>
            </w:r>
            <w:r>
              <w:rPr>
                <w:rFonts w:ascii="Times New Roman" w:hAnsi="Times New Roman" w:eastAsia="Times New Roman" w:cs="Times New Roman"/>
                <w:spacing w:val="35"/>
                <w:w w:val="101"/>
              </w:rPr>
              <w:t xml:space="preserve"> </w:t>
            </w:r>
            <w:r>
              <w:rPr>
                <w:spacing w:val="-4"/>
              </w:rPr>
              <w:t>以上</w:t>
            </w:r>
            <w:r>
              <w:rPr>
                <w:spacing w:val="-45"/>
              </w:rPr>
              <w:t>），</w:t>
            </w:r>
            <w:r>
              <w:rPr>
                <w:spacing w:val="-2"/>
              </w:rPr>
              <w:t>等效黏土防渗层</w:t>
            </w:r>
            <w:r>
              <w:rPr>
                <w:spacing w:val="-50"/>
              </w:rPr>
              <w:t xml:space="preserve"> </w:t>
            </w:r>
            <w:r>
              <w:rPr>
                <w:rFonts w:ascii="Times New Roman" w:hAnsi="Times New Roman" w:eastAsia="Times New Roman" w:cs="Times New Roman"/>
                <w:spacing w:val="-2"/>
              </w:rPr>
              <w:t>Mb≥6.0m</w:t>
            </w:r>
            <w:r>
              <w:rPr>
                <w:rFonts w:ascii="Times New Roman" w:hAnsi="Times New Roman" w:eastAsia="Times New Roman" w:cs="Times New Roman"/>
                <w:spacing w:val="-32"/>
              </w:rPr>
              <w:t xml:space="preserve"> </w:t>
            </w:r>
            <w:r>
              <w:rPr>
                <w:spacing w:val="-2"/>
              </w:rPr>
              <w:t>，</w:t>
            </w:r>
            <w:r>
              <w:rPr>
                <w:rFonts w:ascii="Times New Roman" w:hAnsi="Times New Roman" w:eastAsia="Times New Roman" w:cs="Times New Roman"/>
                <w:spacing w:val="-2"/>
              </w:rPr>
              <w:t>K≤1×10</w:t>
            </w:r>
            <w:r>
              <w:rPr>
                <w:rFonts w:ascii="Times New Roman" w:hAnsi="Times New Roman" w:eastAsia="Times New Roman" w:cs="Times New Roman"/>
                <w:spacing w:val="-2"/>
                <w:position w:val="7"/>
                <w:sz w:val="15"/>
                <w:szCs w:val="15"/>
              </w:rPr>
              <w:t>-</w:t>
            </w:r>
            <w:r>
              <w:rPr>
                <w:rFonts w:ascii="Times New Roman" w:hAnsi="Times New Roman" w:eastAsia="Times New Roman" w:cs="Times New Roman"/>
                <w:spacing w:val="-21"/>
                <w:position w:val="7"/>
                <w:sz w:val="15"/>
                <w:szCs w:val="15"/>
              </w:rPr>
              <w:t xml:space="preserve"> </w:t>
            </w:r>
            <w:r>
              <w:rPr>
                <w:rFonts w:ascii="Times New Roman" w:hAnsi="Times New Roman" w:eastAsia="Times New Roman" w:cs="Times New Roman"/>
                <w:spacing w:val="-2"/>
                <w:position w:val="7"/>
                <w:sz w:val="15"/>
                <w:szCs w:val="15"/>
              </w:rPr>
              <w:t>10</w:t>
            </w:r>
            <w:r>
              <w:rPr>
                <w:rFonts w:ascii="Times New Roman" w:hAnsi="Times New Roman" w:eastAsia="Times New Roman" w:cs="Times New Roman"/>
                <w:spacing w:val="-2"/>
              </w:rPr>
              <w:t>cm/s</w:t>
            </w:r>
            <w:r>
              <w:rPr>
                <w:spacing w:val="-2"/>
              </w:rPr>
              <w:t>。</w:t>
            </w:r>
          </w:p>
          <w:p w14:paraId="66ADA177">
            <w:pPr>
              <w:pStyle w:val="6"/>
              <w:spacing w:line="220" w:lineRule="auto"/>
              <w:ind w:left="584"/>
            </w:pPr>
            <w:r>
              <w:rPr>
                <w:rFonts w:ascii="Times New Roman" w:hAnsi="Times New Roman" w:eastAsia="Times New Roman" w:cs="Times New Roman"/>
                <w:spacing w:val="-1"/>
              </w:rPr>
              <w:t>2</w:t>
            </w:r>
            <w:r>
              <w:rPr>
                <w:spacing w:val="-1"/>
              </w:rPr>
              <w:t>）一般防渗区</w:t>
            </w:r>
          </w:p>
          <w:p w14:paraId="27CF0737">
            <w:pPr>
              <w:pStyle w:val="6"/>
              <w:spacing w:before="182" w:line="359" w:lineRule="auto"/>
              <w:ind w:left="108" w:right="102" w:firstLine="485"/>
            </w:pPr>
            <w:r>
              <w:rPr>
                <w:spacing w:val="1"/>
              </w:rPr>
              <w:t>原材料堆存区、可移动废水罐、移动厕所等为一般防渗区。一</w:t>
            </w:r>
            <w:r>
              <w:t>般防渗区四</w:t>
            </w:r>
            <w:r>
              <w:rPr>
                <w:spacing w:val="-1"/>
              </w:rPr>
              <w:t>周加设高度为</w:t>
            </w:r>
            <w:r>
              <w:rPr>
                <w:spacing w:val="-55"/>
              </w:rPr>
              <w:t xml:space="preserve"> </w:t>
            </w:r>
            <w:r>
              <w:rPr>
                <w:rFonts w:ascii="Times New Roman" w:hAnsi="Times New Roman" w:eastAsia="Times New Roman" w:cs="Times New Roman"/>
                <w:spacing w:val="-1"/>
              </w:rPr>
              <w:t>20cm</w:t>
            </w:r>
            <w:r>
              <w:rPr>
                <w:rFonts w:ascii="Times New Roman" w:hAnsi="Times New Roman" w:eastAsia="Times New Roman" w:cs="Times New Roman"/>
                <w:spacing w:val="32"/>
              </w:rPr>
              <w:t xml:space="preserve"> </w:t>
            </w:r>
            <w:r>
              <w:rPr>
                <w:spacing w:val="-1"/>
              </w:rPr>
              <w:t>的围堰，铺设双层</w:t>
            </w:r>
            <w:r>
              <w:rPr>
                <w:spacing w:val="-32"/>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2"/>
              </w:rPr>
              <w:t>.5mm</w:t>
            </w:r>
            <w:r>
              <w:rPr>
                <w:rFonts w:ascii="Times New Roman" w:hAnsi="Times New Roman" w:eastAsia="Times New Roman" w:cs="Times New Roman"/>
                <w:spacing w:val="16"/>
              </w:rPr>
              <w:t xml:space="preserve"> </w:t>
            </w:r>
            <w:r>
              <w:rPr>
                <w:spacing w:val="-2"/>
              </w:rPr>
              <w:t>厚高密度聚乙烯防渗膜（覆盖围</w:t>
            </w:r>
            <w:r>
              <w:rPr>
                <w:spacing w:val="-3"/>
              </w:rPr>
              <w:t>堰并外延</w:t>
            </w:r>
            <w:r>
              <w:rPr>
                <w:spacing w:val="-50"/>
              </w:rPr>
              <w:t xml:space="preserve"> </w:t>
            </w:r>
            <w:r>
              <w:rPr>
                <w:rFonts w:ascii="Times New Roman" w:hAnsi="Times New Roman" w:eastAsia="Times New Roman" w:cs="Times New Roman"/>
                <w:spacing w:val="-3"/>
              </w:rPr>
              <w:t>0.5m</w:t>
            </w:r>
            <w:r>
              <w:rPr>
                <w:rFonts w:ascii="Times New Roman" w:hAnsi="Times New Roman" w:eastAsia="Times New Roman" w:cs="Times New Roman"/>
                <w:spacing w:val="35"/>
              </w:rPr>
              <w:t xml:space="preserve"> </w:t>
            </w:r>
            <w:r>
              <w:rPr>
                <w:spacing w:val="-3"/>
              </w:rPr>
              <w:t>以上</w:t>
            </w:r>
            <w:r>
              <w:rPr>
                <w:spacing w:val="-16"/>
              </w:rPr>
              <w:t>），</w:t>
            </w:r>
            <w:r>
              <w:rPr>
                <w:spacing w:val="-3"/>
              </w:rPr>
              <w:t>移动厕所为一体化结构，整体防水密封，等</w:t>
            </w:r>
            <w:r>
              <w:rPr>
                <w:spacing w:val="-4"/>
              </w:rPr>
              <w:t>效黏土防渗</w:t>
            </w:r>
            <w:r>
              <w:rPr>
                <w:spacing w:val="-2"/>
              </w:rPr>
              <w:t>层</w:t>
            </w:r>
            <w:r>
              <w:rPr>
                <w:spacing w:val="-50"/>
              </w:rPr>
              <w:t xml:space="preserve"> </w:t>
            </w:r>
            <w:r>
              <w:rPr>
                <w:rFonts w:ascii="Times New Roman" w:hAnsi="Times New Roman" w:eastAsia="Times New Roman" w:cs="Times New Roman"/>
                <w:spacing w:val="-2"/>
              </w:rPr>
              <w:t>Mb≥1.5m</w:t>
            </w:r>
            <w:r>
              <w:rPr>
                <w:rFonts w:ascii="Times New Roman" w:hAnsi="Times New Roman" w:eastAsia="Times New Roman" w:cs="Times New Roman"/>
                <w:spacing w:val="-32"/>
              </w:rPr>
              <w:t xml:space="preserve"> </w:t>
            </w:r>
            <w:r>
              <w:rPr>
                <w:spacing w:val="-2"/>
              </w:rPr>
              <w:t>，</w:t>
            </w:r>
            <w:r>
              <w:rPr>
                <w:rFonts w:ascii="Times New Roman" w:hAnsi="Times New Roman" w:eastAsia="Times New Roman" w:cs="Times New Roman"/>
                <w:spacing w:val="-2"/>
              </w:rPr>
              <w:t>K≤1×10</w:t>
            </w:r>
            <w:r>
              <w:rPr>
                <w:rFonts w:ascii="Times New Roman" w:hAnsi="Times New Roman" w:eastAsia="Times New Roman" w:cs="Times New Roman"/>
                <w:spacing w:val="-2"/>
                <w:position w:val="7"/>
                <w:sz w:val="15"/>
                <w:szCs w:val="15"/>
              </w:rPr>
              <w:t>-7</w:t>
            </w:r>
            <w:r>
              <w:rPr>
                <w:rFonts w:ascii="Times New Roman" w:hAnsi="Times New Roman" w:eastAsia="Times New Roman" w:cs="Times New Roman"/>
                <w:spacing w:val="-2"/>
              </w:rPr>
              <w:t>cm/s</w:t>
            </w:r>
            <w:r>
              <w:rPr>
                <w:spacing w:val="-2"/>
              </w:rPr>
              <w:t>。</w:t>
            </w:r>
          </w:p>
          <w:p w14:paraId="6785607C">
            <w:pPr>
              <w:pStyle w:val="6"/>
              <w:spacing w:before="1" w:line="218" w:lineRule="auto"/>
              <w:ind w:left="588"/>
            </w:pPr>
            <w:r>
              <w:rPr>
                <w:rFonts w:ascii="Times New Roman" w:hAnsi="Times New Roman" w:eastAsia="Times New Roman" w:cs="Times New Roman"/>
                <w:spacing w:val="-2"/>
              </w:rPr>
              <w:t>3</w:t>
            </w:r>
            <w:r>
              <w:rPr>
                <w:spacing w:val="-2"/>
              </w:rPr>
              <w:t>）简易防渗区</w:t>
            </w:r>
          </w:p>
          <w:p w14:paraId="50D4CA2B">
            <w:pPr>
              <w:pStyle w:val="6"/>
              <w:spacing w:before="181" w:line="219" w:lineRule="auto"/>
              <w:ind w:left="593"/>
            </w:pPr>
            <w:r>
              <w:rPr>
                <w:spacing w:val="-1"/>
              </w:rPr>
              <w:t>办公室、值班室、机房等采用压实方式进行防渗。</w:t>
            </w:r>
          </w:p>
        </w:tc>
      </w:tr>
    </w:tbl>
    <w:p w14:paraId="028A7F1F">
      <w:pPr>
        <w:rPr>
          <w:rFonts w:ascii="Arial"/>
          <w:sz w:val="21"/>
        </w:rPr>
      </w:pPr>
    </w:p>
    <w:p w14:paraId="448F4935">
      <w:pPr>
        <w:rPr>
          <w:rFonts w:ascii="Arial" w:hAnsi="Arial" w:eastAsia="Arial" w:cs="Arial"/>
          <w:sz w:val="21"/>
          <w:szCs w:val="21"/>
        </w:rPr>
        <w:sectPr>
          <w:footerReference r:id="rId100" w:type="default"/>
          <w:pgSz w:w="11906" w:h="16839"/>
          <w:pgMar w:top="400" w:right="1410" w:bottom="1240" w:left="1579" w:header="0" w:footer="1078" w:gutter="0"/>
          <w:cols w:space="720" w:num="1"/>
        </w:sectPr>
      </w:pPr>
    </w:p>
    <w:p w14:paraId="0066C599">
      <w:pPr>
        <w:spacing w:before="56"/>
      </w:pPr>
    </w:p>
    <w:p w14:paraId="4C2F86A4">
      <w:pPr>
        <w:spacing w:before="56"/>
      </w:pPr>
    </w:p>
    <w:p w14:paraId="5F0B3CE2">
      <w:pPr>
        <w:spacing w:before="55"/>
      </w:pPr>
    </w:p>
    <w:p w14:paraId="555B1A28">
      <w:pPr>
        <w:spacing w:before="55"/>
      </w:pPr>
    </w:p>
    <w:tbl>
      <w:tblPr>
        <w:tblStyle w:val="5"/>
        <w:tblW w:w="890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86"/>
        <w:gridCol w:w="4174"/>
        <w:gridCol w:w="4241"/>
      </w:tblGrid>
      <w:tr w14:paraId="140807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49" w:hRule="atLeast"/>
        </w:trPr>
        <w:tc>
          <w:tcPr>
            <w:tcW w:w="486" w:type="dxa"/>
            <w:vMerge w:val="restart"/>
            <w:tcBorders>
              <w:bottom w:val="nil"/>
              <w:right w:val="single" w:color="000000" w:sz="2" w:space="0"/>
            </w:tcBorders>
            <w:vAlign w:val="top"/>
          </w:tcPr>
          <w:p w14:paraId="0E63C392">
            <w:pPr>
              <w:rPr>
                <w:rFonts w:ascii="Arial"/>
                <w:sz w:val="21"/>
              </w:rPr>
            </w:pPr>
          </w:p>
        </w:tc>
        <w:tc>
          <w:tcPr>
            <w:tcW w:w="4174" w:type="dxa"/>
            <w:tcBorders>
              <w:left w:val="single" w:color="000000" w:sz="2" w:space="0"/>
              <w:bottom w:val="nil"/>
              <w:right w:val="nil"/>
            </w:tcBorders>
            <w:vAlign w:val="top"/>
          </w:tcPr>
          <w:p w14:paraId="6E340902">
            <w:pPr>
              <w:spacing w:before="5" w:line="1811" w:lineRule="exact"/>
              <w:ind w:firstLine="542"/>
            </w:pPr>
            <w:r>
              <w:rPr>
                <w:position w:val="-36"/>
              </w:rPr>
              <w:drawing>
                <wp:inline distT="0" distB="0" distL="0" distR="0">
                  <wp:extent cx="2040255" cy="114998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96"/>
                          <a:stretch>
                            <a:fillRect/>
                          </a:stretch>
                        </pic:blipFill>
                        <pic:spPr>
                          <a:xfrm>
                            <a:off x="0" y="0"/>
                            <a:ext cx="2040636" cy="1150619"/>
                          </a:xfrm>
                          <a:prstGeom prst="rect">
                            <a:avLst/>
                          </a:prstGeom>
                        </pic:spPr>
                      </pic:pic>
                    </a:graphicData>
                  </a:graphic>
                </wp:inline>
              </w:drawing>
            </w:r>
          </w:p>
          <w:p w14:paraId="59396E7F">
            <w:pPr>
              <w:spacing w:before="156" w:line="1867" w:lineRule="exact"/>
              <w:ind w:firstLine="545"/>
            </w:pPr>
            <w:r>
              <w:rPr>
                <w:position w:val="-37"/>
              </w:rPr>
              <w:drawing>
                <wp:inline distT="0" distB="0" distL="0" distR="0">
                  <wp:extent cx="2035810" cy="118554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97"/>
                          <a:stretch>
                            <a:fillRect/>
                          </a:stretch>
                        </pic:blipFill>
                        <pic:spPr>
                          <a:xfrm>
                            <a:off x="0" y="0"/>
                            <a:ext cx="2036063" cy="1185671"/>
                          </a:xfrm>
                          <a:prstGeom prst="rect">
                            <a:avLst/>
                          </a:prstGeom>
                        </pic:spPr>
                      </pic:pic>
                    </a:graphicData>
                  </a:graphic>
                </wp:inline>
              </w:drawing>
            </w:r>
          </w:p>
        </w:tc>
        <w:tc>
          <w:tcPr>
            <w:tcW w:w="4241" w:type="dxa"/>
            <w:tcBorders>
              <w:left w:val="nil"/>
              <w:bottom w:val="nil"/>
            </w:tcBorders>
            <w:vAlign w:val="top"/>
          </w:tcPr>
          <w:p w14:paraId="6F292ACC">
            <w:pPr>
              <w:spacing w:before="26" w:line="1769" w:lineRule="exact"/>
              <w:ind w:firstLine="497"/>
            </w:pPr>
            <w:r>
              <w:rPr>
                <w:position w:val="-35"/>
              </w:rPr>
              <w:drawing>
                <wp:inline distT="0" distB="0" distL="0" distR="0">
                  <wp:extent cx="2009775" cy="112268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98"/>
                          <a:stretch>
                            <a:fillRect/>
                          </a:stretch>
                        </pic:blipFill>
                        <pic:spPr>
                          <a:xfrm>
                            <a:off x="0" y="0"/>
                            <a:ext cx="2010155" cy="1123188"/>
                          </a:xfrm>
                          <a:prstGeom prst="rect">
                            <a:avLst/>
                          </a:prstGeom>
                        </pic:spPr>
                      </pic:pic>
                    </a:graphicData>
                  </a:graphic>
                </wp:inline>
              </w:drawing>
            </w:r>
          </w:p>
          <w:p w14:paraId="194DD58A">
            <w:pPr>
              <w:spacing w:before="141" w:line="1939" w:lineRule="exact"/>
              <w:ind w:firstLine="415"/>
            </w:pPr>
            <w:r>
              <w:rPr>
                <w:position w:val="-38"/>
              </w:rPr>
              <w:drawing>
                <wp:inline distT="0" distB="0" distL="0" distR="0">
                  <wp:extent cx="2113280" cy="123126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99"/>
                          <a:stretch>
                            <a:fillRect/>
                          </a:stretch>
                        </pic:blipFill>
                        <pic:spPr>
                          <a:xfrm>
                            <a:off x="0" y="0"/>
                            <a:ext cx="2113788" cy="1231392"/>
                          </a:xfrm>
                          <a:prstGeom prst="rect">
                            <a:avLst/>
                          </a:prstGeom>
                        </pic:spPr>
                      </pic:pic>
                    </a:graphicData>
                  </a:graphic>
                </wp:inline>
              </w:drawing>
            </w:r>
          </w:p>
        </w:tc>
      </w:tr>
      <w:tr w14:paraId="0F4E39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818" w:hRule="atLeast"/>
        </w:trPr>
        <w:tc>
          <w:tcPr>
            <w:tcW w:w="486" w:type="dxa"/>
            <w:vMerge w:val="continue"/>
            <w:tcBorders>
              <w:top w:val="nil"/>
              <w:right w:val="single" w:color="000000" w:sz="2" w:space="0"/>
            </w:tcBorders>
            <w:vAlign w:val="top"/>
          </w:tcPr>
          <w:p w14:paraId="16FC7699">
            <w:pPr>
              <w:rPr>
                <w:rFonts w:ascii="Arial"/>
                <w:sz w:val="21"/>
              </w:rPr>
            </w:pPr>
          </w:p>
        </w:tc>
        <w:tc>
          <w:tcPr>
            <w:tcW w:w="8415" w:type="dxa"/>
            <w:gridSpan w:val="2"/>
            <w:tcBorders>
              <w:top w:val="nil"/>
              <w:left w:val="single" w:color="000000" w:sz="2" w:space="0"/>
            </w:tcBorders>
            <w:vAlign w:val="top"/>
          </w:tcPr>
          <w:p w14:paraId="3AB8C8E0">
            <w:pPr>
              <w:spacing w:before="81" w:line="221" w:lineRule="auto"/>
              <w:ind w:left="2443"/>
              <w:rPr>
                <w:rFonts w:ascii="黑体" w:hAnsi="黑体" w:eastAsia="黑体" w:cs="黑体"/>
                <w:sz w:val="24"/>
                <w:szCs w:val="24"/>
              </w:rPr>
            </w:pPr>
            <w:r>
              <w:rPr>
                <w:rFonts w:ascii="黑体" w:hAnsi="黑体" w:eastAsia="黑体" w:cs="黑体"/>
                <w:spacing w:val="-3"/>
                <w:sz w:val="24"/>
                <w:szCs w:val="24"/>
              </w:rPr>
              <w:t>图</w:t>
            </w:r>
            <w:r>
              <w:rPr>
                <w:rFonts w:ascii="Times New Roman" w:hAnsi="Times New Roman" w:eastAsia="Times New Roman" w:cs="Times New Roman"/>
                <w:spacing w:val="-3"/>
                <w:sz w:val="24"/>
                <w:szCs w:val="24"/>
              </w:rPr>
              <w:t>5-</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 xml:space="preserve">1  </w:t>
            </w:r>
            <w:r>
              <w:rPr>
                <w:rFonts w:ascii="黑体" w:hAnsi="黑体" w:eastAsia="黑体" w:cs="黑体"/>
                <w:spacing w:val="-3"/>
                <w:sz w:val="24"/>
                <w:szCs w:val="24"/>
              </w:rPr>
              <w:t>同类型钻井项目防渗措施图</w:t>
            </w:r>
          </w:p>
          <w:p w14:paraId="57F7E765">
            <w:pPr>
              <w:pStyle w:val="6"/>
              <w:spacing w:before="146" w:line="359" w:lineRule="auto"/>
              <w:ind w:left="107" w:right="102" w:firstLine="481"/>
            </w:pPr>
            <w:r>
              <w:rPr>
                <w:spacing w:val="1"/>
              </w:rPr>
              <w:t>本工程所选用的防渗材料近年来在中国石油多家油田公司广泛应用，采用优质原材料生产，可广泛应用于废料场、酸碱及含油废水的污水处理池、危险固体废物处理与处置场、石化储油罐防渗、化学反应池的防渗，防酸碱腐蚀，具有良好的抗老化性能、抗撕裂性能，强度纵横向拉力、抗穿刺性、环保性能</w:t>
            </w:r>
            <w:r>
              <w:t>指标均达到国家标准，耐高温和耐低温性能突出，适用温度范围</w:t>
            </w:r>
            <w:r>
              <w:rPr>
                <w:rFonts w:ascii="Times New Roman" w:hAnsi="Times New Roman" w:eastAsia="Times New Roman" w:cs="Times New Roman"/>
              </w:rPr>
              <w:t>-70℃~80℃</w:t>
            </w:r>
            <w:r>
              <w:rPr>
                <w:rFonts w:ascii="Times New Roman" w:hAnsi="Times New Roman" w:eastAsia="Times New Roman" w:cs="Times New Roman"/>
                <w:spacing w:val="-8"/>
              </w:rPr>
              <w:t xml:space="preserve"> </w:t>
            </w:r>
            <w:r>
              <w:t>。</w:t>
            </w:r>
            <w:r>
              <w:rPr>
                <w:spacing w:val="-1"/>
              </w:rPr>
              <w:t>采用其铺设的防渗层可以满足</w:t>
            </w:r>
            <w:r>
              <w:rPr>
                <w:spacing w:val="-32"/>
              </w:rPr>
              <w:t xml:space="preserve"> </w:t>
            </w:r>
            <w:r>
              <w:rPr>
                <w:rFonts w:ascii="Times New Roman" w:hAnsi="Times New Roman" w:eastAsia="Times New Roman" w:cs="Times New Roman"/>
                <w:spacing w:val="-1"/>
              </w:rPr>
              <w:t>1.0×10</w:t>
            </w:r>
            <w:r>
              <w:rPr>
                <w:rFonts w:ascii="Times New Roman" w:hAnsi="Times New Roman" w:eastAsia="Times New Roman" w:cs="Times New Roman"/>
                <w:spacing w:val="-1"/>
                <w:position w:val="7"/>
                <w:sz w:val="15"/>
                <w:szCs w:val="15"/>
              </w:rPr>
              <w:t>-</w:t>
            </w:r>
            <w:r>
              <w:rPr>
                <w:rFonts w:ascii="Times New Roman" w:hAnsi="Times New Roman" w:eastAsia="Times New Roman" w:cs="Times New Roman"/>
                <w:spacing w:val="-21"/>
                <w:position w:val="7"/>
                <w:sz w:val="15"/>
                <w:szCs w:val="15"/>
              </w:rPr>
              <w:t xml:space="preserve"> </w:t>
            </w:r>
            <w:r>
              <w:rPr>
                <w:rFonts w:ascii="Times New Roman" w:hAnsi="Times New Roman" w:eastAsia="Times New Roman" w:cs="Times New Roman"/>
                <w:spacing w:val="-1"/>
                <w:position w:val="7"/>
                <w:sz w:val="15"/>
                <w:szCs w:val="15"/>
              </w:rPr>
              <w:t>10</w:t>
            </w:r>
            <w:r>
              <w:rPr>
                <w:rFonts w:ascii="Times New Roman" w:hAnsi="Times New Roman" w:eastAsia="Times New Roman" w:cs="Times New Roman"/>
                <w:spacing w:val="-1"/>
              </w:rPr>
              <w:t>cm/s</w:t>
            </w:r>
            <w:r>
              <w:rPr>
                <w:rFonts w:ascii="Times New Roman" w:hAnsi="Times New Roman" w:eastAsia="Times New Roman" w:cs="Times New Roman"/>
                <w:spacing w:val="29"/>
                <w:w w:val="101"/>
              </w:rPr>
              <w:t xml:space="preserve"> </w:t>
            </w:r>
            <w:r>
              <w:rPr>
                <w:spacing w:val="-1"/>
              </w:rPr>
              <w:t>的防渗性能，能</w:t>
            </w:r>
            <w:r>
              <w:rPr>
                <w:spacing w:val="-2"/>
              </w:rPr>
              <w:t>够有效防止污染物</w:t>
            </w:r>
            <w:r>
              <w:rPr>
                <w:spacing w:val="-1"/>
              </w:rPr>
              <w:t>下渗，避免对地下水环境的影响。</w:t>
            </w:r>
          </w:p>
          <w:p w14:paraId="254EB63C">
            <w:pPr>
              <w:pStyle w:val="6"/>
              <w:spacing w:line="220" w:lineRule="auto"/>
              <w:ind w:left="590"/>
            </w:pPr>
            <w:r>
              <w:rPr>
                <w:b/>
                <w:bCs/>
                <w:spacing w:val="-3"/>
              </w:rPr>
              <w:t>六、生态保护与恢复措施</w:t>
            </w:r>
          </w:p>
          <w:p w14:paraId="5E72E969">
            <w:pPr>
              <w:pStyle w:val="6"/>
              <w:spacing w:before="178" w:line="359" w:lineRule="auto"/>
              <w:ind w:left="106" w:right="41" w:firstLine="485"/>
              <w:jc w:val="both"/>
            </w:pPr>
            <w:r>
              <w:rPr>
                <w:spacing w:val="1"/>
              </w:rPr>
              <w:t>项目勘探结束后及时进行临时设施占地的清理和恢复工作，所有</w:t>
            </w:r>
            <w:r>
              <w:t>垃圾、固</w:t>
            </w:r>
            <w:r>
              <w:rPr>
                <w:spacing w:val="-4"/>
              </w:rPr>
              <w:t>废按照环评要求清理，对受到施工车辆、机械破坏的其他地方给予及时</w:t>
            </w:r>
            <w:r>
              <w:rPr>
                <w:spacing w:val="-5"/>
              </w:rPr>
              <w:t>的修整，</w:t>
            </w:r>
            <w:r>
              <w:rPr>
                <w:spacing w:val="-1"/>
              </w:rPr>
              <w:t>将所有临时占地进行清理和平整。</w:t>
            </w:r>
          </w:p>
          <w:p w14:paraId="52C277C3">
            <w:pPr>
              <w:pStyle w:val="6"/>
              <w:spacing w:line="360" w:lineRule="auto"/>
              <w:ind w:left="109" w:right="102" w:firstLine="482"/>
            </w:pPr>
            <w:r>
              <w:rPr>
                <w:spacing w:val="-3"/>
              </w:rPr>
              <w:t>项目所在区域由于油田勘探工作的干扰将出现自发的退化演替，一般要</w:t>
            </w:r>
            <w:r>
              <w:rPr>
                <w:rFonts w:ascii="Times New Roman" w:hAnsi="Times New Roman" w:eastAsia="Times New Roman" w:cs="Times New Roman"/>
                <w:spacing w:val="-3"/>
              </w:rPr>
              <w:t>3~4</w:t>
            </w:r>
            <w:r>
              <w:rPr>
                <w:spacing w:val="-1"/>
              </w:rPr>
              <w:t>年以后才可恢复到勘探前的情况，应采取以下生态保护与恢复措施：</w:t>
            </w:r>
          </w:p>
          <w:p w14:paraId="6F845D4B">
            <w:pPr>
              <w:pStyle w:val="6"/>
              <w:spacing w:line="219" w:lineRule="auto"/>
              <w:ind w:left="597"/>
              <w:outlineLvl w:val="0"/>
            </w:pPr>
            <w:r>
              <w:rPr>
                <w:rFonts w:ascii="Times New Roman" w:hAnsi="Times New Roman" w:eastAsia="Times New Roman" w:cs="Times New Roman"/>
                <w:spacing w:val="-4"/>
              </w:rPr>
              <w:t>1</w:t>
            </w:r>
            <w:r>
              <w:rPr>
                <w:rFonts w:ascii="Times New Roman" w:hAnsi="Times New Roman" w:eastAsia="Times New Roman" w:cs="Times New Roman"/>
                <w:spacing w:val="-18"/>
              </w:rPr>
              <w:t xml:space="preserve"> </w:t>
            </w:r>
            <w:r>
              <w:rPr>
                <w:spacing w:val="-4"/>
              </w:rPr>
              <w:t>、土地利用现有格局的保护和恢复措施</w:t>
            </w:r>
          </w:p>
          <w:p w14:paraId="61F6FFBB">
            <w:pPr>
              <w:pStyle w:val="6"/>
              <w:spacing w:before="181" w:line="219" w:lineRule="auto"/>
              <w:ind w:left="479"/>
            </w:pPr>
            <w:r>
              <w:rPr>
                <w:spacing w:val="-2"/>
              </w:rPr>
              <w:t>（</w:t>
            </w:r>
            <w:r>
              <w:rPr>
                <w:rFonts w:ascii="Times New Roman" w:hAnsi="Times New Roman" w:eastAsia="Times New Roman" w:cs="Times New Roman"/>
                <w:spacing w:val="-2"/>
              </w:rPr>
              <w:t>1</w:t>
            </w:r>
            <w:r>
              <w:rPr>
                <w:spacing w:val="-2"/>
              </w:rPr>
              <w:t>）严格控制施工占用土地</w:t>
            </w:r>
          </w:p>
          <w:p w14:paraId="3E978AA3">
            <w:pPr>
              <w:pStyle w:val="6"/>
              <w:spacing w:before="183" w:line="219" w:lineRule="auto"/>
              <w:ind w:left="607"/>
            </w:pPr>
            <w:r>
              <w:rPr>
                <w:rFonts w:ascii="Times New Roman" w:hAnsi="Times New Roman" w:eastAsia="Times New Roman" w:cs="Times New Roman"/>
                <w:spacing w:val="-2"/>
              </w:rPr>
              <w:t>1</w:t>
            </w:r>
            <w:r>
              <w:rPr>
                <w:spacing w:val="-2"/>
              </w:rPr>
              <w:t>）对临时占地合理规划，严格控制占地面积。</w:t>
            </w:r>
          </w:p>
          <w:p w14:paraId="45B18D7D">
            <w:pPr>
              <w:pStyle w:val="6"/>
              <w:spacing w:before="182" w:line="359" w:lineRule="auto"/>
              <w:ind w:left="107" w:right="84" w:firstLine="476"/>
            </w:pPr>
            <w:r>
              <w:rPr>
                <w:rFonts w:ascii="Times New Roman" w:hAnsi="Times New Roman" w:eastAsia="Times New Roman" w:cs="Times New Roman"/>
                <w:spacing w:val="-2"/>
              </w:rPr>
              <w:t>2</w:t>
            </w:r>
            <w:r>
              <w:rPr>
                <w:spacing w:val="-2"/>
              </w:rPr>
              <w:t>）按设计标准规定，严格控制施工作业区面积，不得超过作业标准规定，</w:t>
            </w:r>
            <w:r>
              <w:rPr>
                <w:spacing w:val="1"/>
              </w:rPr>
              <w:t>对施工区域面积控制在设计标准范围内，以减少土壤扰动和地表植被破坏，减</w:t>
            </w:r>
            <w:r>
              <w:rPr>
                <w:spacing w:val="-1"/>
              </w:rPr>
              <w:t>少裸地和土方暴露面积。</w:t>
            </w:r>
          </w:p>
          <w:p w14:paraId="01694F90">
            <w:pPr>
              <w:pStyle w:val="6"/>
              <w:spacing w:before="1" w:line="218" w:lineRule="auto"/>
              <w:ind w:left="588"/>
            </w:pPr>
            <w:r>
              <w:rPr>
                <w:rFonts w:ascii="Times New Roman" w:hAnsi="Times New Roman" w:eastAsia="Times New Roman" w:cs="Times New Roman"/>
                <w:spacing w:val="-3"/>
              </w:rPr>
              <w:t>3</w:t>
            </w:r>
            <w:r>
              <w:rPr>
                <w:spacing w:val="-3"/>
              </w:rPr>
              <w:t>）一切施工作业尽量利用原有乡村道路，沿已有车辙行驶。杜绝车辆乱碾</w:t>
            </w:r>
          </w:p>
        </w:tc>
      </w:tr>
    </w:tbl>
    <w:p w14:paraId="6F5E3E52">
      <w:pPr>
        <w:spacing w:line="202" w:lineRule="exact"/>
        <w:rPr>
          <w:rFonts w:ascii="Arial"/>
          <w:sz w:val="17"/>
        </w:rPr>
      </w:pPr>
    </w:p>
    <w:p w14:paraId="16AB0FFE">
      <w:pPr>
        <w:spacing w:line="202" w:lineRule="exact"/>
        <w:rPr>
          <w:rFonts w:ascii="Arial" w:hAnsi="Arial" w:eastAsia="Arial" w:cs="Arial"/>
          <w:sz w:val="17"/>
          <w:szCs w:val="17"/>
        </w:rPr>
        <w:sectPr>
          <w:footerReference r:id="rId101" w:type="default"/>
          <w:pgSz w:w="11906" w:h="16839"/>
          <w:pgMar w:top="400" w:right="1410" w:bottom="1240" w:left="1579" w:header="0" w:footer="1078" w:gutter="0"/>
          <w:cols w:space="720" w:num="1"/>
        </w:sectPr>
      </w:pPr>
    </w:p>
    <w:p w14:paraId="446965C8">
      <w:pPr>
        <w:spacing w:before="56"/>
      </w:pPr>
    </w:p>
    <w:p w14:paraId="07B7CB89">
      <w:pPr>
        <w:spacing w:before="56"/>
      </w:pPr>
    </w:p>
    <w:p w14:paraId="5C094FB2">
      <w:pPr>
        <w:spacing w:before="55"/>
      </w:pPr>
    </w:p>
    <w:p w14:paraId="5CBC45D8">
      <w:pPr>
        <w:spacing w:before="55"/>
      </w:pPr>
    </w:p>
    <w:tbl>
      <w:tblPr>
        <w:tblStyle w:val="5"/>
        <w:tblW w:w="890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86"/>
        <w:gridCol w:w="8415"/>
      </w:tblGrid>
      <w:tr w14:paraId="5736B5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486" w:type="dxa"/>
            <w:tcBorders>
              <w:right w:val="single" w:color="000000" w:sz="2" w:space="0"/>
            </w:tcBorders>
            <w:vAlign w:val="top"/>
          </w:tcPr>
          <w:p w14:paraId="16CF5D51">
            <w:pPr>
              <w:rPr>
                <w:rFonts w:ascii="Arial"/>
                <w:sz w:val="21"/>
              </w:rPr>
            </w:pPr>
          </w:p>
        </w:tc>
        <w:tc>
          <w:tcPr>
            <w:tcW w:w="8415" w:type="dxa"/>
            <w:tcBorders>
              <w:left w:val="single" w:color="000000" w:sz="2" w:space="0"/>
            </w:tcBorders>
            <w:vAlign w:val="top"/>
          </w:tcPr>
          <w:p w14:paraId="503DA307">
            <w:pPr>
              <w:pStyle w:val="6"/>
              <w:spacing w:before="40" w:line="219" w:lineRule="auto"/>
              <w:ind w:left="109"/>
            </w:pPr>
            <w:r>
              <w:rPr>
                <w:spacing w:val="-1"/>
              </w:rPr>
              <w:t>乱压的情况发生，不随意开设便道。</w:t>
            </w:r>
          </w:p>
          <w:p w14:paraId="3C299D30">
            <w:pPr>
              <w:pStyle w:val="6"/>
              <w:spacing w:before="183" w:line="359" w:lineRule="auto"/>
              <w:ind w:left="128" w:right="102" w:firstLine="454"/>
            </w:pPr>
            <w:r>
              <w:rPr>
                <w:rFonts w:ascii="Times New Roman" w:hAnsi="Times New Roman" w:eastAsia="Times New Roman" w:cs="Times New Roman"/>
                <w:spacing w:val="-3"/>
              </w:rPr>
              <w:t>4</w:t>
            </w:r>
            <w:r>
              <w:rPr>
                <w:spacing w:val="-3"/>
              </w:rPr>
              <w:t>）现场施工作业机械应严格管理，划定活动范围，不得在道路、井场以外</w:t>
            </w:r>
            <w:r>
              <w:rPr>
                <w:spacing w:val="-1"/>
              </w:rPr>
              <w:t>的地方行驶和作业，保持征地区域以外的植</w:t>
            </w:r>
            <w:r>
              <w:rPr>
                <w:spacing w:val="-2"/>
              </w:rPr>
              <w:t>被不被破坏。</w:t>
            </w:r>
          </w:p>
          <w:p w14:paraId="27584A90">
            <w:pPr>
              <w:pStyle w:val="6"/>
              <w:spacing w:line="219" w:lineRule="auto"/>
              <w:ind w:left="599"/>
            </w:pPr>
            <w:r>
              <w:rPr>
                <w:spacing w:val="-2"/>
              </w:rPr>
              <w:t>（</w:t>
            </w:r>
            <w:r>
              <w:rPr>
                <w:rFonts w:ascii="Times New Roman" w:hAnsi="Times New Roman" w:eastAsia="Times New Roman" w:cs="Times New Roman"/>
                <w:spacing w:val="-2"/>
              </w:rPr>
              <w:t>2</w:t>
            </w:r>
            <w:r>
              <w:rPr>
                <w:spacing w:val="-2"/>
              </w:rPr>
              <w:t>）恢复土地利用原有格局</w:t>
            </w:r>
          </w:p>
          <w:p w14:paraId="26AF5E02">
            <w:pPr>
              <w:pStyle w:val="6"/>
              <w:spacing w:before="178" w:line="360" w:lineRule="auto"/>
              <w:ind w:left="108" w:right="102" w:firstLine="479"/>
            </w:pPr>
            <w:r>
              <w:rPr>
                <w:spacing w:val="1"/>
              </w:rPr>
              <w:t>施工结束后，应恢复地貌原状。勘探施工前必须做到对表层土壤剥离并集中堆放，表土堆放区上铺密目网；勘探施工结束后对临时占地翻耕，并将</w:t>
            </w:r>
            <w:r>
              <w:t>剥离</w:t>
            </w:r>
            <w:r>
              <w:rPr>
                <w:spacing w:val="1"/>
              </w:rPr>
              <w:t>的比较肥沃的表层土壤铺在最上层，尽可能降低对土壤养分的影响，最快</w:t>
            </w:r>
            <w:r>
              <w:t>使土</w:t>
            </w:r>
            <w:r>
              <w:rPr>
                <w:spacing w:val="-1"/>
              </w:rPr>
              <w:t>壤得以恢复，同时减少水土流失。</w:t>
            </w:r>
          </w:p>
          <w:p w14:paraId="663E1389">
            <w:pPr>
              <w:pStyle w:val="6"/>
              <w:spacing w:line="219" w:lineRule="auto"/>
              <w:ind w:left="574"/>
              <w:outlineLvl w:val="0"/>
            </w:pPr>
            <w:r>
              <w:rPr>
                <w:rFonts w:ascii="Times New Roman" w:hAnsi="Times New Roman" w:eastAsia="Times New Roman" w:cs="Times New Roman"/>
                <w:spacing w:val="-3"/>
              </w:rPr>
              <w:t>2</w:t>
            </w:r>
            <w:r>
              <w:rPr>
                <w:rFonts w:ascii="Times New Roman" w:hAnsi="Times New Roman" w:eastAsia="Times New Roman" w:cs="Times New Roman"/>
                <w:spacing w:val="-34"/>
              </w:rPr>
              <w:t xml:space="preserve"> </w:t>
            </w:r>
            <w:r>
              <w:rPr>
                <w:spacing w:val="-3"/>
              </w:rPr>
              <w:t>、植被保护及恢复措施</w:t>
            </w:r>
          </w:p>
          <w:p w14:paraId="735C4B04">
            <w:pPr>
              <w:pStyle w:val="6"/>
              <w:spacing w:before="181" w:line="359" w:lineRule="auto"/>
              <w:ind w:left="107" w:right="102" w:firstLine="481"/>
              <w:jc w:val="both"/>
            </w:pPr>
            <w:r>
              <w:rPr>
                <w:spacing w:val="1"/>
              </w:rPr>
              <w:t>植物保护的一般原则为：施工前对除表土堆存区外的其余井场临时用地进行表土剥离和堆存，施工结束后及时清理、松土、覆盖收集的耕作土，复耕或</w:t>
            </w:r>
            <w:r>
              <w:t>选择当地适宜植物及时恢复绿化，尽量选择当地的乡</w:t>
            </w:r>
            <w:r>
              <w:rPr>
                <w:spacing w:val="-1"/>
              </w:rPr>
              <w:t>土植物进行恢复绿化。</w:t>
            </w:r>
          </w:p>
          <w:p w14:paraId="10580892">
            <w:pPr>
              <w:pStyle w:val="6"/>
              <w:spacing w:line="359" w:lineRule="auto"/>
              <w:ind w:left="107" w:right="102" w:firstLine="480"/>
            </w:pPr>
            <w:r>
              <w:rPr>
                <w:spacing w:val="1"/>
              </w:rPr>
              <w:t>针对工程区域内植物资源分布的特点，对不同的保护对象提出如下保护措</w:t>
            </w:r>
            <w:r>
              <w:rPr>
                <w:spacing w:val="-5"/>
              </w:rPr>
              <w:t>施：</w:t>
            </w:r>
          </w:p>
          <w:p w14:paraId="4FB37E06">
            <w:pPr>
              <w:pStyle w:val="6"/>
              <w:spacing w:before="3" w:line="358" w:lineRule="auto"/>
              <w:ind w:left="107" w:right="102" w:firstLine="492"/>
            </w:pPr>
            <w:r>
              <w:rPr>
                <w:spacing w:val="-3"/>
              </w:rPr>
              <w:t>（</w:t>
            </w:r>
            <w:r>
              <w:rPr>
                <w:rFonts w:ascii="Times New Roman" w:hAnsi="Times New Roman" w:eastAsia="Times New Roman" w:cs="Times New Roman"/>
                <w:spacing w:val="-3"/>
              </w:rPr>
              <w:t>1</w:t>
            </w:r>
            <w:r>
              <w:rPr>
                <w:spacing w:val="-3"/>
              </w:rPr>
              <w:t>）施工作业场内的临时建筑尽可能采用成品或简易拼装方式，尽量减轻</w:t>
            </w:r>
            <w:r>
              <w:rPr>
                <w:spacing w:val="1"/>
              </w:rPr>
              <w:t>对土壤及植被的破坏。尽量减少施工人员及施工机械对作业场外地的破坏；严</w:t>
            </w:r>
            <w:r>
              <w:t>格规定施工车辆的行驶便道，防止施工车辆在有</w:t>
            </w:r>
            <w:r>
              <w:rPr>
                <w:spacing w:val="-1"/>
              </w:rPr>
              <w:t>植被的地段任意行驶。</w:t>
            </w:r>
          </w:p>
          <w:p w14:paraId="2DBD215F">
            <w:pPr>
              <w:pStyle w:val="6"/>
              <w:spacing w:line="359" w:lineRule="auto"/>
              <w:ind w:left="111" w:right="102" w:firstLine="488"/>
            </w:pPr>
            <w:r>
              <w:rPr>
                <w:spacing w:val="-3"/>
              </w:rPr>
              <w:t>（</w:t>
            </w:r>
            <w:r>
              <w:rPr>
                <w:rFonts w:ascii="Times New Roman" w:hAnsi="Times New Roman" w:eastAsia="Times New Roman" w:cs="Times New Roman"/>
                <w:spacing w:val="-3"/>
              </w:rPr>
              <w:t>2</w:t>
            </w:r>
            <w:r>
              <w:rPr>
                <w:spacing w:val="-3"/>
              </w:rPr>
              <w:t>）施工作业区域不得随意扩大范围和破坏周围，工程结束后，立即对施</w:t>
            </w:r>
            <w:r>
              <w:rPr>
                <w:spacing w:val="-2"/>
              </w:rPr>
              <w:t>工井场进行恢复</w:t>
            </w:r>
          </w:p>
          <w:p w14:paraId="6BEEEA6B">
            <w:pPr>
              <w:pStyle w:val="6"/>
              <w:spacing w:before="1" w:line="219" w:lineRule="auto"/>
              <w:ind w:left="590"/>
              <w:outlineLvl w:val="0"/>
            </w:pPr>
            <w:r>
              <w:rPr>
                <w:spacing w:val="-1"/>
              </w:rPr>
              <w:t>（</w:t>
            </w:r>
            <w:r>
              <w:rPr>
                <w:rFonts w:ascii="Times New Roman" w:hAnsi="Times New Roman" w:eastAsia="Times New Roman" w:cs="Times New Roman"/>
                <w:spacing w:val="-1"/>
              </w:rPr>
              <w:t>3</w:t>
            </w:r>
            <w:r>
              <w:rPr>
                <w:spacing w:val="-1"/>
              </w:rPr>
              <w:t>）加强施工人员的环保意识，不随意破坏农田。</w:t>
            </w:r>
          </w:p>
          <w:p w14:paraId="34672466">
            <w:pPr>
              <w:pStyle w:val="6"/>
              <w:spacing w:before="183" w:line="220" w:lineRule="auto"/>
              <w:ind w:left="579"/>
              <w:outlineLvl w:val="0"/>
            </w:pPr>
            <w:r>
              <w:rPr>
                <w:rFonts w:ascii="Times New Roman" w:hAnsi="Times New Roman" w:eastAsia="Times New Roman" w:cs="Times New Roman"/>
                <w:spacing w:val="-4"/>
              </w:rPr>
              <w:t>3</w:t>
            </w:r>
            <w:r>
              <w:rPr>
                <w:rFonts w:ascii="Times New Roman" w:hAnsi="Times New Roman" w:eastAsia="Times New Roman" w:cs="Times New Roman"/>
                <w:spacing w:val="-31"/>
              </w:rPr>
              <w:t xml:space="preserve"> </w:t>
            </w:r>
            <w:r>
              <w:rPr>
                <w:spacing w:val="-4"/>
              </w:rPr>
              <w:t>、野生动物保护措施</w:t>
            </w:r>
          </w:p>
          <w:p w14:paraId="49625F46">
            <w:pPr>
              <w:pStyle w:val="6"/>
              <w:spacing w:before="181" w:line="359" w:lineRule="auto"/>
              <w:ind w:left="109" w:right="41" w:firstLine="478"/>
              <w:jc w:val="both"/>
            </w:pPr>
            <w:r>
              <w:rPr>
                <w:spacing w:val="1"/>
              </w:rPr>
              <w:t>施工单位应对施工人员开展增强野生动物保护意识的宣传工作，杜绝施工</w:t>
            </w:r>
            <w:r>
              <w:rPr>
                <w:spacing w:val="-4"/>
              </w:rPr>
              <w:t>人员猎捕施工作业区附近的蛇类、鸟类等现象。建议在主要施工</w:t>
            </w:r>
            <w:r>
              <w:rPr>
                <w:spacing w:val="-5"/>
              </w:rPr>
              <w:t>场地设置警牌，</w:t>
            </w:r>
            <w:r>
              <w:rPr>
                <w:spacing w:val="-1"/>
              </w:rPr>
              <w:t>提醒施工人员保护野生动物。</w:t>
            </w:r>
          </w:p>
          <w:p w14:paraId="54735F41">
            <w:pPr>
              <w:pStyle w:val="6"/>
              <w:spacing w:line="218" w:lineRule="auto"/>
              <w:ind w:left="582"/>
            </w:pPr>
            <w:r>
              <w:rPr>
                <w:rFonts w:ascii="Times New Roman" w:hAnsi="Times New Roman" w:eastAsia="Times New Roman" w:cs="Times New Roman"/>
                <w:spacing w:val="-3"/>
              </w:rPr>
              <w:t>4</w:t>
            </w:r>
            <w:r>
              <w:rPr>
                <w:rFonts w:ascii="Times New Roman" w:hAnsi="Times New Roman" w:eastAsia="Times New Roman" w:cs="Times New Roman"/>
                <w:spacing w:val="-26"/>
              </w:rPr>
              <w:t xml:space="preserve"> </w:t>
            </w:r>
            <w:r>
              <w:rPr>
                <w:spacing w:val="-3"/>
              </w:rPr>
              <w:t>、基本农田保护和恢复措施</w:t>
            </w:r>
          </w:p>
          <w:p w14:paraId="6BBDC66F">
            <w:pPr>
              <w:pStyle w:val="6"/>
              <w:spacing w:before="183" w:line="359" w:lineRule="auto"/>
              <w:ind w:left="110" w:right="102" w:firstLine="489"/>
            </w:pPr>
            <w:r>
              <w:rPr>
                <w:spacing w:val="-3"/>
              </w:rPr>
              <w:t>（</w:t>
            </w:r>
            <w:r>
              <w:rPr>
                <w:rFonts w:ascii="Times New Roman" w:hAnsi="Times New Roman" w:eastAsia="Times New Roman" w:cs="Times New Roman"/>
                <w:spacing w:val="-3"/>
              </w:rPr>
              <w:t>1</w:t>
            </w:r>
            <w:r>
              <w:rPr>
                <w:spacing w:val="-3"/>
              </w:rPr>
              <w:t>）根据《基本农田保护条例》，非农业建设经批准占用基本农田的，按</w:t>
            </w:r>
            <w:r>
              <w:t>照保持耕地面积动态平衡，应</w:t>
            </w:r>
            <w:r>
              <w:rPr>
                <w:rFonts w:ascii="Times New Roman" w:hAnsi="Times New Roman" w:eastAsia="Times New Roman" w:cs="Times New Roman"/>
              </w:rPr>
              <w:t>&lt;</w:t>
            </w:r>
            <w:r>
              <w:t>占多少、垦多少</w:t>
            </w:r>
            <w:r>
              <w:rPr>
                <w:rFonts w:ascii="Times New Roman" w:hAnsi="Times New Roman" w:eastAsia="Times New Roman" w:cs="Times New Roman"/>
              </w:rPr>
              <w:t>”</w:t>
            </w:r>
            <w:r>
              <w:rPr>
                <w:rFonts w:ascii="Times New Roman" w:hAnsi="Times New Roman" w:eastAsia="Times New Roman" w:cs="Times New Roman"/>
                <w:spacing w:val="-29"/>
              </w:rPr>
              <w:t xml:space="preserve"> </w:t>
            </w:r>
            <w:r>
              <w:t>，没有条件开垦或</w:t>
            </w:r>
            <w:r>
              <w:rPr>
                <w:spacing w:val="-1"/>
              </w:rPr>
              <w:t>开垦耕地不符合要求的应按规定缴纳耕地开垦费，专款用于开垦新耕地。</w:t>
            </w:r>
          </w:p>
          <w:p w14:paraId="1E4A4A2D">
            <w:pPr>
              <w:pStyle w:val="6"/>
              <w:spacing w:before="1" w:line="218" w:lineRule="auto"/>
              <w:ind w:left="599"/>
            </w:pPr>
            <w:r>
              <w:rPr>
                <w:spacing w:val="-2"/>
              </w:rPr>
              <w:t>（</w:t>
            </w:r>
            <w:r>
              <w:rPr>
                <w:rFonts w:ascii="Times New Roman" w:hAnsi="Times New Roman" w:eastAsia="Times New Roman" w:cs="Times New Roman"/>
                <w:spacing w:val="-2"/>
              </w:rPr>
              <w:t>2</w:t>
            </w:r>
            <w:r>
              <w:rPr>
                <w:spacing w:val="-2"/>
              </w:rPr>
              <w:t>）项目临时用地无法避让基本农田，按照有关土地管理办法的要求，已</w:t>
            </w:r>
          </w:p>
        </w:tc>
      </w:tr>
    </w:tbl>
    <w:p w14:paraId="1375C121">
      <w:pPr>
        <w:rPr>
          <w:rFonts w:ascii="Arial"/>
          <w:sz w:val="21"/>
        </w:rPr>
      </w:pPr>
    </w:p>
    <w:p w14:paraId="7027B1E9">
      <w:pPr>
        <w:rPr>
          <w:rFonts w:ascii="Arial" w:hAnsi="Arial" w:eastAsia="Arial" w:cs="Arial"/>
          <w:sz w:val="21"/>
          <w:szCs w:val="21"/>
        </w:rPr>
        <w:sectPr>
          <w:footerReference r:id="rId102" w:type="default"/>
          <w:pgSz w:w="11906" w:h="16839"/>
          <w:pgMar w:top="400" w:right="1410" w:bottom="1240" w:left="1579" w:header="0" w:footer="1078" w:gutter="0"/>
          <w:cols w:space="720" w:num="1"/>
        </w:sectPr>
      </w:pPr>
    </w:p>
    <w:p w14:paraId="54DBE509">
      <w:pPr>
        <w:spacing w:before="56"/>
      </w:pPr>
    </w:p>
    <w:p w14:paraId="0BF3EC84">
      <w:pPr>
        <w:spacing w:before="56"/>
      </w:pPr>
    </w:p>
    <w:p w14:paraId="4CF85DEF">
      <w:pPr>
        <w:spacing w:before="55"/>
      </w:pPr>
    </w:p>
    <w:p w14:paraId="3928EDD4">
      <w:pPr>
        <w:spacing w:before="55"/>
      </w:pPr>
    </w:p>
    <w:tbl>
      <w:tblPr>
        <w:tblStyle w:val="5"/>
        <w:tblW w:w="890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86"/>
        <w:gridCol w:w="8415"/>
      </w:tblGrid>
      <w:tr w14:paraId="5034D7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486" w:type="dxa"/>
            <w:tcBorders>
              <w:right w:val="single" w:color="000000" w:sz="2" w:space="0"/>
            </w:tcBorders>
            <w:vAlign w:val="top"/>
          </w:tcPr>
          <w:p w14:paraId="27F6E2E1">
            <w:pPr>
              <w:rPr>
                <w:rFonts w:ascii="Arial"/>
                <w:sz w:val="21"/>
              </w:rPr>
            </w:pPr>
          </w:p>
        </w:tc>
        <w:tc>
          <w:tcPr>
            <w:tcW w:w="8415" w:type="dxa"/>
            <w:tcBorders>
              <w:left w:val="single" w:color="000000" w:sz="2" w:space="0"/>
            </w:tcBorders>
            <w:vAlign w:val="top"/>
          </w:tcPr>
          <w:p w14:paraId="4443A04F">
            <w:pPr>
              <w:pStyle w:val="6"/>
              <w:spacing w:before="40" w:line="359" w:lineRule="auto"/>
              <w:ind w:left="121" w:right="102" w:hanging="11"/>
            </w:pPr>
            <w:r>
              <w:rPr>
                <w:spacing w:val="1"/>
              </w:rPr>
              <w:t>编制土地复垦方案，复垦方案阐明了临时用地占用基本农田的必要性</w:t>
            </w:r>
            <w:r>
              <w:t>，明确了</w:t>
            </w:r>
            <w:r>
              <w:rPr>
                <w:spacing w:val="-1"/>
              </w:rPr>
              <w:t>临时用地恢复为基本农田的保障措施和复垦期</w:t>
            </w:r>
            <w:r>
              <w:rPr>
                <w:spacing w:val="-2"/>
              </w:rPr>
              <w:t>限。</w:t>
            </w:r>
          </w:p>
          <w:p w14:paraId="5547483E">
            <w:pPr>
              <w:pStyle w:val="6"/>
              <w:spacing w:line="219" w:lineRule="auto"/>
              <w:ind w:left="599"/>
            </w:pPr>
            <w:r>
              <w:rPr>
                <w:spacing w:val="-1"/>
              </w:rPr>
              <w:t>（</w:t>
            </w:r>
            <w:r>
              <w:rPr>
                <w:rFonts w:ascii="Times New Roman" w:hAnsi="Times New Roman" w:eastAsia="Times New Roman" w:cs="Times New Roman"/>
                <w:spacing w:val="-1"/>
              </w:rPr>
              <w:t>3</w:t>
            </w:r>
            <w:r>
              <w:rPr>
                <w:spacing w:val="-1"/>
              </w:rPr>
              <w:t>）生态恢复基金做到专款专用，不得挪作他用。</w:t>
            </w:r>
          </w:p>
          <w:p w14:paraId="183FD3C1">
            <w:pPr>
              <w:pStyle w:val="6"/>
              <w:spacing w:before="183" w:line="359" w:lineRule="auto"/>
              <w:ind w:left="107" w:right="22" w:firstLine="492"/>
            </w:pPr>
            <w:r>
              <w:rPr>
                <w:spacing w:val="-1"/>
              </w:rPr>
              <w:t>（</w:t>
            </w:r>
            <w:r>
              <w:rPr>
                <w:rFonts w:ascii="Times New Roman" w:hAnsi="Times New Roman" w:eastAsia="Times New Roman" w:cs="Times New Roman"/>
                <w:spacing w:val="-1"/>
              </w:rPr>
              <w:t>4</w:t>
            </w:r>
            <w:r>
              <w:rPr>
                <w:spacing w:val="-1"/>
              </w:rPr>
              <w:t>）项目临时占用的耕地大部分是基本农田，应根据当地农业活动特点，</w:t>
            </w:r>
            <w:r>
              <w:rPr>
                <w:spacing w:val="-4"/>
              </w:rPr>
              <w:t>选择适当的施工季节，尽量避开农作物生长期和收获期，以减少农业当季损失。</w:t>
            </w:r>
            <w:r>
              <w:rPr>
                <w:spacing w:val="1"/>
              </w:rPr>
              <w:t>对于临时占地除在施工中采取措施减少基本农田破坏外，在施工结束后，应做好基本农田的恢复工作。除补偿因临时占地对农田产量的直接损失外，还应考虑施工结束后因土壤结构破坏对农作物产量的间接损失以及土壤恢复的补偿费</w:t>
            </w:r>
            <w:r>
              <w:rPr>
                <w:spacing w:val="-5"/>
              </w:rPr>
              <w:t>等。</w:t>
            </w:r>
          </w:p>
          <w:p w14:paraId="67F31B94">
            <w:pPr>
              <w:pStyle w:val="6"/>
              <w:spacing w:before="1" w:line="359" w:lineRule="auto"/>
              <w:ind w:left="107" w:right="102" w:firstLine="492"/>
            </w:pPr>
            <w:r>
              <w:rPr>
                <w:spacing w:val="-4"/>
              </w:rPr>
              <w:t>（</w:t>
            </w:r>
            <w:r>
              <w:rPr>
                <w:rFonts w:ascii="Times New Roman" w:hAnsi="Times New Roman" w:eastAsia="Times New Roman" w:cs="Times New Roman"/>
                <w:spacing w:val="-4"/>
              </w:rPr>
              <w:t>5</w:t>
            </w:r>
            <w:r>
              <w:rPr>
                <w:spacing w:val="-4"/>
              </w:rPr>
              <w:t>）严格按照“表土剥离、表土堆放、表土回覆</w:t>
            </w:r>
            <w:r>
              <w:rPr>
                <w:spacing w:val="-87"/>
              </w:rPr>
              <w:t xml:space="preserve"> </w:t>
            </w:r>
            <w:r>
              <w:rPr>
                <w:spacing w:val="-4"/>
              </w:rPr>
              <w:t>”要求。农作物根系主要</w:t>
            </w:r>
            <w:r>
              <w:rPr>
                <w:spacing w:val="2"/>
              </w:rPr>
              <w:t>集中在表土层中，因此耕地的表土层至关重要，项目施工前剥离约</w:t>
            </w:r>
            <w:r>
              <w:rPr>
                <w:spacing w:val="-47"/>
              </w:rPr>
              <w:t xml:space="preserve"> </w:t>
            </w:r>
            <w:r>
              <w:rPr>
                <w:rFonts w:ascii="Times New Roman" w:hAnsi="Times New Roman" w:eastAsia="Times New Roman" w:cs="Times New Roman"/>
                <w:spacing w:val="2"/>
              </w:rPr>
              <w:t>30</w:t>
            </w:r>
            <w:r>
              <w:rPr>
                <w:rFonts w:ascii="Times New Roman" w:hAnsi="Times New Roman" w:eastAsia="Times New Roman" w:cs="Times New Roman"/>
              </w:rPr>
              <w:t>cm</w:t>
            </w:r>
            <w:r>
              <w:rPr>
                <w:rFonts w:ascii="Times New Roman" w:hAnsi="Times New Roman" w:eastAsia="Times New Roman" w:cs="Times New Roman"/>
                <w:spacing w:val="19"/>
              </w:rPr>
              <w:t xml:space="preserve"> </w:t>
            </w:r>
            <w:r>
              <w:rPr>
                <w:spacing w:val="2"/>
              </w:rPr>
              <w:t>厚的</w:t>
            </w:r>
            <w:r>
              <w:rPr>
                <w:spacing w:val="1"/>
              </w:rPr>
              <w:t>表层土并集中堆存在井场表土堆存区。为了保持土壤结构，避免土壤板结，避免大风季节和雨季对堆存表土的侵蚀，利用密目网遮盖。施工结束后按要求进</w:t>
            </w:r>
            <w:r>
              <w:rPr>
                <w:spacing w:val="-1"/>
              </w:rPr>
              <w:t>行表土回覆，开展土地复垦工作。</w:t>
            </w:r>
          </w:p>
          <w:p w14:paraId="63CFF86A">
            <w:pPr>
              <w:pStyle w:val="6"/>
              <w:spacing w:before="5" w:line="358" w:lineRule="auto"/>
              <w:ind w:left="108" w:right="102" w:firstLine="480"/>
              <w:jc w:val="both"/>
            </w:pPr>
            <w:r>
              <w:rPr>
                <w:spacing w:val="1"/>
              </w:rPr>
              <w:t>土地复垦的工程技术措施是通过一定的工程措施进行整地的过程，并通过复垦工程建设增加土地的再生产功能，恢复其生产力，保护土地资源。根</w:t>
            </w:r>
            <w:r>
              <w:t>据土</w:t>
            </w:r>
            <w:r>
              <w:rPr>
                <w:spacing w:val="1"/>
              </w:rPr>
              <w:t>地损毁情况及复垦措施，临时用地中的设备区、生活区、施工活动区损毁</w:t>
            </w:r>
            <w:r>
              <w:t>类型</w:t>
            </w:r>
            <w:r>
              <w:rPr>
                <w:spacing w:val="1"/>
              </w:rPr>
              <w:t>一致、复垦前后的地类一致，因此作为一个复垦单元进行工程设计，其中</w:t>
            </w:r>
            <w:r>
              <w:t>表土</w:t>
            </w:r>
            <w:r>
              <w:rPr>
                <w:spacing w:val="-1"/>
              </w:rPr>
              <w:t>堆放区不再设计表土剥离工程。</w:t>
            </w:r>
          </w:p>
          <w:p w14:paraId="6B5419CC">
            <w:pPr>
              <w:pStyle w:val="6"/>
              <w:spacing w:line="220" w:lineRule="auto"/>
              <w:ind w:left="587"/>
            </w:pPr>
            <w:r>
              <w:rPr>
                <w:rFonts w:ascii="Times New Roman" w:hAnsi="Times New Roman" w:eastAsia="Times New Roman" w:cs="Times New Roman"/>
                <w:spacing w:val="-2"/>
              </w:rPr>
              <w:t xml:space="preserve">a </w:t>
            </w:r>
            <w:r>
              <w:rPr>
                <w:spacing w:val="-2"/>
              </w:rPr>
              <w:t>表土剥离工程</w:t>
            </w:r>
          </w:p>
          <w:p w14:paraId="0B76A09F">
            <w:pPr>
              <w:pStyle w:val="6"/>
              <w:spacing w:before="182" w:line="359" w:lineRule="auto"/>
              <w:ind w:left="107" w:right="41" w:firstLine="484"/>
            </w:pPr>
            <w:r>
              <w:rPr>
                <w:spacing w:val="1"/>
              </w:rPr>
              <w:t>项目区内各损毁单元压占前地类为农田，复垦后为农田。项目施</w:t>
            </w:r>
            <w:r>
              <w:t>工前对临</w:t>
            </w:r>
            <w:r>
              <w:rPr>
                <w:spacing w:val="-7"/>
              </w:rPr>
              <w:t>时用地范围内表层耕作土进行剥离，剥离厚度</w:t>
            </w:r>
            <w:r>
              <w:rPr>
                <w:spacing w:val="-50"/>
              </w:rPr>
              <w:t xml:space="preserve"> </w:t>
            </w:r>
            <w:r>
              <w:rPr>
                <w:rFonts w:ascii="Times New Roman" w:hAnsi="Times New Roman" w:eastAsia="Times New Roman" w:cs="Times New Roman"/>
                <w:spacing w:val="-7"/>
              </w:rPr>
              <w:t>30cm</w:t>
            </w:r>
            <w:r>
              <w:rPr>
                <w:spacing w:val="-7"/>
              </w:rPr>
              <w:t>，表土堆</w:t>
            </w:r>
            <w:r>
              <w:rPr>
                <w:spacing w:val="-8"/>
              </w:rPr>
              <w:t>放至项目区内空地，</w:t>
            </w:r>
            <w:r>
              <w:rPr>
                <w:spacing w:val="1"/>
              </w:rPr>
              <w:t>采用推土机进行堆放，用于施工结束后复垦覆土。为保持表土养分及防止水土</w:t>
            </w:r>
            <w:r>
              <w:t>流失，对临时土堆采取保护措施，在土堆裸露面</w:t>
            </w:r>
            <w:r>
              <w:rPr>
                <w:spacing w:val="-1"/>
              </w:rPr>
              <w:t>压实后用密目网遮盖。</w:t>
            </w:r>
          </w:p>
          <w:p w14:paraId="136245AD">
            <w:pPr>
              <w:pStyle w:val="6"/>
              <w:spacing w:before="1" w:line="218" w:lineRule="auto"/>
              <w:ind w:left="578"/>
            </w:pPr>
            <w:r>
              <w:rPr>
                <w:rFonts w:ascii="Times New Roman" w:hAnsi="Times New Roman" w:eastAsia="Times New Roman" w:cs="Times New Roman"/>
              </w:rPr>
              <w:t xml:space="preserve">b </w:t>
            </w:r>
            <w:r>
              <w:t>翻耕工程</w:t>
            </w:r>
          </w:p>
          <w:p w14:paraId="551E7F70">
            <w:pPr>
              <w:pStyle w:val="6"/>
              <w:spacing w:before="182" w:line="359" w:lineRule="auto"/>
              <w:ind w:left="107" w:right="22" w:firstLine="480"/>
            </w:pPr>
            <w:r>
              <w:rPr>
                <w:spacing w:val="-7"/>
              </w:rPr>
              <w:t>地表附属物拆除后，利用农业机械对项目区统一进行翻耕，翻耕深</w:t>
            </w:r>
            <w:r>
              <w:rPr>
                <w:spacing w:val="-8"/>
              </w:rPr>
              <w:t>度</w:t>
            </w:r>
            <w:r>
              <w:rPr>
                <w:spacing w:val="-50"/>
              </w:rPr>
              <w:t xml:space="preserve"> </w:t>
            </w:r>
            <w:r>
              <w:rPr>
                <w:rFonts w:ascii="Times New Roman" w:hAnsi="Times New Roman" w:eastAsia="Times New Roman" w:cs="Times New Roman"/>
                <w:spacing w:val="-8"/>
              </w:rPr>
              <w:t>30cm</w:t>
            </w:r>
            <w:r>
              <w:rPr>
                <w:spacing w:val="-8"/>
              </w:rPr>
              <w:t>。</w:t>
            </w:r>
            <w:r>
              <w:rPr>
                <w:spacing w:val="-1"/>
              </w:rPr>
              <w:t>采取深翻深耕措施使原有土壤不板结，提高抗旱防涝能力。</w:t>
            </w:r>
          </w:p>
          <w:p w14:paraId="226964F6">
            <w:pPr>
              <w:pStyle w:val="6"/>
              <w:spacing w:line="220" w:lineRule="auto"/>
              <w:ind w:left="587"/>
            </w:pPr>
            <w:r>
              <w:rPr>
                <w:rFonts w:ascii="Times New Roman" w:hAnsi="Times New Roman" w:eastAsia="Times New Roman" w:cs="Times New Roman"/>
                <w:spacing w:val="-2"/>
              </w:rPr>
              <w:t xml:space="preserve">c </w:t>
            </w:r>
            <w:r>
              <w:rPr>
                <w:spacing w:val="-2"/>
              </w:rPr>
              <w:t>表土覆盖工程</w:t>
            </w:r>
          </w:p>
          <w:p w14:paraId="463FA835">
            <w:pPr>
              <w:pStyle w:val="6"/>
              <w:spacing w:before="181" w:line="219" w:lineRule="auto"/>
              <w:ind w:left="589"/>
            </w:pPr>
            <w:r>
              <w:rPr>
                <w:spacing w:val="1"/>
              </w:rPr>
              <w:t>土地经翻耕平整后进行表土覆盖，覆土土源来自项目区临时占地剥离耕地</w:t>
            </w:r>
          </w:p>
        </w:tc>
      </w:tr>
    </w:tbl>
    <w:p w14:paraId="4838E903">
      <w:pPr>
        <w:rPr>
          <w:rFonts w:ascii="Arial"/>
          <w:sz w:val="21"/>
        </w:rPr>
      </w:pPr>
    </w:p>
    <w:p w14:paraId="508B6EEC">
      <w:pPr>
        <w:rPr>
          <w:rFonts w:ascii="Arial" w:hAnsi="Arial" w:eastAsia="Arial" w:cs="Arial"/>
          <w:sz w:val="21"/>
          <w:szCs w:val="21"/>
        </w:rPr>
        <w:sectPr>
          <w:footerReference r:id="rId103" w:type="default"/>
          <w:pgSz w:w="11906" w:h="16839"/>
          <w:pgMar w:top="400" w:right="1410" w:bottom="1240" w:left="1579" w:header="0" w:footer="1078" w:gutter="0"/>
          <w:cols w:space="720" w:num="1"/>
        </w:sectPr>
      </w:pPr>
    </w:p>
    <w:p w14:paraId="6FFFC03B">
      <w:pPr>
        <w:spacing w:before="56"/>
      </w:pPr>
    </w:p>
    <w:p w14:paraId="23E56B77">
      <w:pPr>
        <w:spacing w:before="56"/>
      </w:pPr>
    </w:p>
    <w:p w14:paraId="78C73288">
      <w:pPr>
        <w:spacing w:before="55"/>
      </w:pPr>
    </w:p>
    <w:p w14:paraId="074B1380">
      <w:pPr>
        <w:spacing w:before="55"/>
      </w:pPr>
    </w:p>
    <w:tbl>
      <w:tblPr>
        <w:tblStyle w:val="5"/>
        <w:tblW w:w="890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86"/>
        <w:gridCol w:w="8415"/>
      </w:tblGrid>
      <w:tr w14:paraId="0DD27D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486" w:type="dxa"/>
            <w:tcBorders>
              <w:right w:val="single" w:color="000000" w:sz="2" w:space="0"/>
            </w:tcBorders>
            <w:vAlign w:val="top"/>
          </w:tcPr>
          <w:p w14:paraId="16D6F3D2">
            <w:pPr>
              <w:rPr>
                <w:rFonts w:ascii="Arial"/>
                <w:sz w:val="21"/>
              </w:rPr>
            </w:pPr>
          </w:p>
        </w:tc>
        <w:tc>
          <w:tcPr>
            <w:tcW w:w="8415" w:type="dxa"/>
            <w:tcBorders>
              <w:left w:val="single" w:color="000000" w:sz="2" w:space="0"/>
            </w:tcBorders>
            <w:vAlign w:val="top"/>
          </w:tcPr>
          <w:p w14:paraId="261AC773">
            <w:pPr>
              <w:pStyle w:val="6"/>
              <w:spacing w:before="40" w:line="219" w:lineRule="auto"/>
              <w:ind w:left="128"/>
            </w:pPr>
            <w:r>
              <w:rPr>
                <w:spacing w:val="-3"/>
              </w:rPr>
              <w:t>的表层土，覆土厚度为</w:t>
            </w:r>
            <w:r>
              <w:rPr>
                <w:spacing w:val="-34"/>
              </w:rPr>
              <w:t xml:space="preserve"> </w:t>
            </w:r>
            <w:r>
              <w:rPr>
                <w:rFonts w:ascii="Times New Roman" w:hAnsi="Times New Roman" w:eastAsia="Times New Roman" w:cs="Times New Roman"/>
                <w:spacing w:val="-3"/>
              </w:rPr>
              <w:t>30cm</w:t>
            </w:r>
            <w:r>
              <w:rPr>
                <w:rFonts w:ascii="Times New Roman" w:hAnsi="Times New Roman" w:eastAsia="Times New Roman" w:cs="Times New Roman"/>
                <w:spacing w:val="-31"/>
              </w:rPr>
              <w:t xml:space="preserve"> </w:t>
            </w:r>
            <w:r>
              <w:rPr>
                <w:spacing w:val="-3"/>
              </w:rPr>
              <w:t>，保证覆土平整后田面高差应小于</w:t>
            </w:r>
            <w:r>
              <w:rPr>
                <w:spacing w:val="-48"/>
              </w:rPr>
              <w:t xml:space="preserve"> </w:t>
            </w:r>
            <w:r>
              <w:rPr>
                <w:rFonts w:ascii="Times New Roman" w:hAnsi="Times New Roman" w:eastAsia="Times New Roman" w:cs="Times New Roman"/>
                <w:spacing w:val="-3"/>
              </w:rPr>
              <w:t>5cm</w:t>
            </w:r>
            <w:r>
              <w:rPr>
                <w:spacing w:val="-3"/>
              </w:rPr>
              <w:t>。</w:t>
            </w:r>
          </w:p>
          <w:p w14:paraId="22B8A2DD">
            <w:pPr>
              <w:pStyle w:val="6"/>
              <w:spacing w:before="183" w:line="219" w:lineRule="auto"/>
              <w:ind w:left="586"/>
            </w:pPr>
            <w:r>
              <w:rPr>
                <w:rFonts w:ascii="Times New Roman" w:hAnsi="Times New Roman" w:eastAsia="Times New Roman" w:cs="Times New Roman"/>
                <w:spacing w:val="-1"/>
              </w:rPr>
              <w:t xml:space="preserve">d </w:t>
            </w:r>
            <w:r>
              <w:rPr>
                <w:spacing w:val="-1"/>
              </w:rPr>
              <w:t>灌溉与排水工程</w:t>
            </w:r>
          </w:p>
          <w:p w14:paraId="339B2506">
            <w:pPr>
              <w:pStyle w:val="6"/>
              <w:spacing w:before="181" w:line="359" w:lineRule="auto"/>
              <w:ind w:left="107" w:right="102" w:firstLine="510"/>
            </w:pPr>
            <w:r>
              <w:t>由于施工前需对表层土剥离，会对田间灌溉沟渠造成破坏，按照标准进行</w:t>
            </w:r>
            <w:r>
              <w:rPr>
                <w:spacing w:val="1"/>
              </w:rPr>
              <w:t>补偿并开挖新的灌溉沟渠，与周边沟渠联通，便于农民耕种，以满足农作物灌</w:t>
            </w:r>
            <w:r>
              <w:rPr>
                <w:spacing w:val="-3"/>
              </w:rPr>
              <w:t>溉要求。沟渠设计深</w:t>
            </w:r>
            <w:r>
              <w:rPr>
                <w:spacing w:val="-48"/>
              </w:rPr>
              <w:t xml:space="preserve"> </w:t>
            </w:r>
            <w:r>
              <w:rPr>
                <w:rFonts w:ascii="Times New Roman" w:hAnsi="Times New Roman" w:eastAsia="Times New Roman" w:cs="Times New Roman"/>
                <w:spacing w:val="-3"/>
              </w:rPr>
              <w:t>0.3m</w:t>
            </w:r>
            <w:r>
              <w:rPr>
                <w:rFonts w:ascii="Times New Roman" w:hAnsi="Times New Roman" w:eastAsia="Times New Roman" w:cs="Times New Roman"/>
                <w:spacing w:val="-33"/>
              </w:rPr>
              <w:t xml:space="preserve"> </w:t>
            </w:r>
            <w:r>
              <w:rPr>
                <w:spacing w:val="-3"/>
              </w:rPr>
              <w:t>，宽</w:t>
            </w:r>
            <w:r>
              <w:rPr>
                <w:spacing w:val="-51"/>
              </w:rPr>
              <w:t xml:space="preserve"> </w:t>
            </w:r>
            <w:r>
              <w:rPr>
                <w:rFonts w:ascii="Times New Roman" w:hAnsi="Times New Roman" w:eastAsia="Times New Roman" w:cs="Times New Roman"/>
                <w:spacing w:val="-3"/>
              </w:rPr>
              <w:t>0.6m</w:t>
            </w:r>
            <w:r>
              <w:rPr>
                <w:spacing w:val="-3"/>
              </w:rPr>
              <w:t>。</w:t>
            </w:r>
          </w:p>
          <w:p w14:paraId="5C890566">
            <w:pPr>
              <w:pStyle w:val="6"/>
              <w:spacing w:line="218" w:lineRule="auto"/>
              <w:ind w:left="587"/>
            </w:pPr>
            <w:r>
              <w:rPr>
                <w:rFonts w:ascii="Times New Roman" w:hAnsi="Times New Roman" w:eastAsia="Times New Roman" w:cs="Times New Roman"/>
                <w:spacing w:val="-6"/>
              </w:rPr>
              <w:t>e</w:t>
            </w:r>
            <w:r>
              <w:rPr>
                <w:rFonts w:ascii="Times New Roman" w:hAnsi="Times New Roman" w:eastAsia="Times New Roman" w:cs="Times New Roman"/>
                <w:spacing w:val="7"/>
              </w:rPr>
              <w:t xml:space="preserve"> </w:t>
            </w:r>
            <w:r>
              <w:rPr>
                <w:spacing w:val="-6"/>
              </w:rPr>
              <w:t>施肥</w:t>
            </w:r>
          </w:p>
          <w:p w14:paraId="16E815AD">
            <w:pPr>
              <w:pStyle w:val="6"/>
              <w:spacing w:before="183" w:line="359" w:lineRule="auto"/>
              <w:ind w:left="109" w:right="41" w:firstLine="480"/>
            </w:pPr>
            <w:r>
              <w:rPr>
                <w:spacing w:val="-5"/>
              </w:rPr>
              <w:t>覆土后对临时占地增施商品有机肥，以提高土壤肥力，满足作物生长需求，</w:t>
            </w:r>
            <w:r>
              <w:t>项目所施商品有机肥的含量指标标准参考《有机肥使用标</w:t>
            </w:r>
            <w:r>
              <w:rPr>
                <w:spacing w:val="-1"/>
              </w:rPr>
              <w:t>准》（</w:t>
            </w:r>
            <w:r>
              <w:rPr>
                <w:rFonts w:ascii="Times New Roman" w:hAnsi="Times New Roman" w:eastAsia="Times New Roman" w:cs="Times New Roman"/>
                <w:spacing w:val="-1"/>
              </w:rPr>
              <w:t>NY525-2021</w:t>
            </w:r>
            <w:r>
              <w:rPr>
                <w:spacing w:val="-1"/>
              </w:rPr>
              <w:t>）规定的有机肥含量标准。</w:t>
            </w:r>
          </w:p>
          <w:p w14:paraId="3FC13914">
            <w:pPr>
              <w:pStyle w:val="6"/>
              <w:spacing w:before="1" w:line="218" w:lineRule="auto"/>
              <w:ind w:left="588"/>
            </w:pPr>
            <w:r>
              <w:rPr>
                <w:rFonts w:ascii="Times New Roman" w:hAnsi="Times New Roman" w:eastAsia="Times New Roman" w:cs="Times New Roman"/>
              </w:rPr>
              <w:t>f</w:t>
            </w:r>
            <w:r>
              <w:rPr>
                <w:rFonts w:ascii="Times New Roman" w:hAnsi="Times New Roman" w:eastAsia="Times New Roman" w:cs="Times New Roman"/>
                <w:spacing w:val="-12"/>
              </w:rPr>
              <w:t xml:space="preserve"> </w:t>
            </w:r>
            <w:r>
              <w:t>二次翻耕</w:t>
            </w:r>
          </w:p>
          <w:p w14:paraId="1CCC545D">
            <w:pPr>
              <w:pStyle w:val="6"/>
              <w:spacing w:before="182" w:line="359" w:lineRule="auto"/>
              <w:ind w:left="109" w:right="22" w:firstLine="478"/>
            </w:pPr>
            <w:r>
              <w:rPr>
                <w:spacing w:val="1"/>
              </w:rPr>
              <w:t>施肥后利用农业机械进行深翻疏松，将回覆的表土与施用的有机肥充分均</w:t>
            </w:r>
            <w:r>
              <w:rPr>
                <w:spacing w:val="-4"/>
              </w:rPr>
              <w:t>匀的混合在一起，整体均衡改善土地质量，以达到改善土壤质量和结构的目的，</w:t>
            </w:r>
            <w:r>
              <w:rPr>
                <w:spacing w:val="-7"/>
              </w:rPr>
              <w:t>土地翻耕深度</w:t>
            </w:r>
            <w:r>
              <w:rPr>
                <w:spacing w:val="-43"/>
              </w:rPr>
              <w:t xml:space="preserve"> </w:t>
            </w:r>
            <w:r>
              <w:rPr>
                <w:rFonts w:ascii="Times New Roman" w:hAnsi="Times New Roman" w:eastAsia="Times New Roman" w:cs="Times New Roman"/>
                <w:spacing w:val="-7"/>
              </w:rPr>
              <w:t>30cm</w:t>
            </w:r>
            <w:r>
              <w:rPr>
                <w:spacing w:val="-7"/>
              </w:rPr>
              <w:t>。选择适当的季节撒播绿肥草种后交还当地农民，进行复耕。</w:t>
            </w:r>
          </w:p>
          <w:p w14:paraId="58DE1B69">
            <w:pPr>
              <w:pStyle w:val="6"/>
              <w:spacing w:before="1" w:line="212" w:lineRule="auto"/>
              <w:ind w:left="586"/>
            </w:pPr>
            <w:r>
              <w:rPr>
                <w:rFonts w:ascii="Times New Roman" w:hAnsi="Times New Roman" w:eastAsia="Times New Roman" w:cs="Times New Roman"/>
                <w:spacing w:val="-5"/>
              </w:rPr>
              <w:t>g</w:t>
            </w:r>
            <w:r>
              <w:rPr>
                <w:rFonts w:ascii="Times New Roman" w:hAnsi="Times New Roman" w:eastAsia="Times New Roman" w:cs="Times New Roman"/>
                <w:spacing w:val="16"/>
                <w:w w:val="101"/>
              </w:rPr>
              <w:t xml:space="preserve"> </w:t>
            </w:r>
            <w:r>
              <w:rPr>
                <w:spacing w:val="-5"/>
              </w:rPr>
              <w:t>管护工程</w:t>
            </w:r>
          </w:p>
          <w:p w14:paraId="67BEA8F9">
            <w:pPr>
              <w:pStyle w:val="6"/>
              <w:spacing w:before="191" w:line="359" w:lineRule="auto"/>
              <w:ind w:left="108" w:right="102" w:firstLine="479"/>
              <w:jc w:val="both"/>
            </w:pPr>
            <w:r>
              <w:rPr>
                <w:spacing w:val="1"/>
              </w:rPr>
              <w:t>对复垦完毕的土地，由于是在破坏的土地上进行人工干预形成的可利用土地，因此其土地条件、生态环境等特性比较脆弱，</w:t>
            </w:r>
            <w:r>
              <w:t>因此复垦后的耕地需要</w:t>
            </w:r>
            <w:r>
              <w:rPr>
                <w:spacing w:val="-50"/>
              </w:rPr>
              <w:t xml:space="preserve"> </w:t>
            </w:r>
            <w:r>
              <w:rPr>
                <w:rFonts w:ascii="Times New Roman" w:hAnsi="Times New Roman" w:eastAsia="Times New Roman" w:cs="Times New Roman"/>
              </w:rPr>
              <w:t xml:space="preserve">3 </w:t>
            </w:r>
            <w:r>
              <w:t>年</w:t>
            </w:r>
            <w:r>
              <w:rPr>
                <w:spacing w:val="-1"/>
              </w:rPr>
              <w:t>的管护期来防止复垦土地的生态系统退化。</w:t>
            </w:r>
          </w:p>
          <w:p w14:paraId="193F5AAD">
            <w:pPr>
              <w:pStyle w:val="6"/>
              <w:spacing w:line="220" w:lineRule="auto"/>
              <w:ind w:left="590"/>
              <w:outlineLvl w:val="0"/>
            </w:pPr>
            <w:r>
              <w:rPr>
                <w:spacing w:val="-3"/>
              </w:rPr>
              <w:t>（</w:t>
            </w:r>
            <w:r>
              <w:rPr>
                <w:rFonts w:ascii="Times New Roman" w:hAnsi="Times New Roman" w:eastAsia="Times New Roman" w:cs="Times New Roman"/>
                <w:spacing w:val="-3"/>
              </w:rPr>
              <w:t>6</w:t>
            </w:r>
            <w:r>
              <w:rPr>
                <w:spacing w:val="-3"/>
              </w:rPr>
              <w:t>）为了保证复垦工作的有效性，施工单位对复垦工程进行定期和不定期</w:t>
            </w:r>
          </w:p>
          <w:p w14:paraId="59CADAE4">
            <w:pPr>
              <w:pStyle w:val="6"/>
              <w:spacing w:before="182" w:line="359" w:lineRule="auto"/>
              <w:ind w:left="113" w:right="102" w:firstLine="14"/>
            </w:pPr>
            <w:r>
              <w:t>的监督检查，建立严格的监管制度，发现管护工作不到位和措施不落实的，要</w:t>
            </w:r>
            <w:r>
              <w:rPr>
                <w:spacing w:val="-2"/>
              </w:rPr>
              <w:t>督促整改，确保复垦效果。</w:t>
            </w:r>
          </w:p>
          <w:p w14:paraId="3DBE4D2D">
            <w:pPr>
              <w:pStyle w:val="6"/>
              <w:spacing w:line="359" w:lineRule="auto"/>
              <w:ind w:left="110" w:right="161" w:firstLine="480"/>
            </w:pPr>
            <w:r>
              <w:rPr>
                <w:spacing w:val="-1"/>
              </w:rPr>
              <w:t>综上所述，在施工结束后，严格按照临时用地土地复垦方案开复垦工作，可以确保临时用地恢复为基本农田，措施可行。</w:t>
            </w:r>
          </w:p>
          <w:p w14:paraId="634C3FE1">
            <w:pPr>
              <w:pStyle w:val="6"/>
              <w:spacing w:before="1" w:line="219" w:lineRule="auto"/>
              <w:ind w:left="590"/>
            </w:pPr>
            <w:r>
              <w:rPr>
                <w:rFonts w:ascii="Times New Roman" w:hAnsi="Times New Roman" w:eastAsia="Times New Roman" w:cs="Times New Roman"/>
                <w:spacing w:val="-4"/>
              </w:rPr>
              <w:t>5</w:t>
            </w:r>
            <w:r>
              <w:rPr>
                <w:rFonts w:ascii="Times New Roman" w:hAnsi="Times New Roman" w:eastAsia="Times New Roman" w:cs="Times New Roman"/>
                <w:spacing w:val="-33"/>
              </w:rPr>
              <w:t xml:space="preserve"> </w:t>
            </w:r>
            <w:r>
              <w:rPr>
                <w:spacing w:val="-4"/>
              </w:rPr>
              <w:t>、水土流失防治措施</w:t>
            </w:r>
          </w:p>
          <w:p w14:paraId="28612368">
            <w:pPr>
              <w:pStyle w:val="6"/>
              <w:spacing w:before="183" w:line="358" w:lineRule="auto"/>
              <w:ind w:left="108" w:right="84" w:firstLine="491"/>
            </w:pPr>
            <w:r>
              <w:rPr>
                <w:spacing w:val="-3"/>
              </w:rPr>
              <w:t>（</w:t>
            </w:r>
            <w:r>
              <w:rPr>
                <w:rFonts w:ascii="Times New Roman" w:hAnsi="Times New Roman" w:eastAsia="Times New Roman" w:cs="Times New Roman"/>
                <w:spacing w:val="-3"/>
              </w:rPr>
              <w:t>1</w:t>
            </w:r>
            <w:r>
              <w:rPr>
                <w:spacing w:val="-3"/>
              </w:rPr>
              <w:t>）合理安排施工流程，缩短施工时间；严格控制和合理规划占地范围，</w:t>
            </w:r>
            <w:r>
              <w:rPr>
                <w:spacing w:val="-2"/>
              </w:rPr>
              <w:t>减少对地表的扰动。</w:t>
            </w:r>
          </w:p>
          <w:p w14:paraId="53FEC735">
            <w:pPr>
              <w:pStyle w:val="6"/>
              <w:spacing w:line="359" w:lineRule="auto"/>
              <w:ind w:left="107" w:right="102" w:firstLine="492"/>
            </w:pPr>
            <w:r>
              <w:rPr>
                <w:spacing w:val="-3"/>
              </w:rPr>
              <w:t>（</w:t>
            </w:r>
            <w:r>
              <w:rPr>
                <w:rFonts w:ascii="Times New Roman" w:hAnsi="Times New Roman" w:eastAsia="Times New Roman" w:cs="Times New Roman"/>
                <w:spacing w:val="-3"/>
              </w:rPr>
              <w:t>2</w:t>
            </w:r>
            <w:r>
              <w:rPr>
                <w:spacing w:val="-3"/>
              </w:rPr>
              <w:t>）施工前对表层土进行剥离并集中堆放于井场内的表土堆存区，表土堆</w:t>
            </w:r>
            <w:r>
              <w:rPr>
                <w:spacing w:val="-1"/>
              </w:rPr>
              <w:t>存区采用密目网遮盖；大风季节应停止表土剥离等相关工作。</w:t>
            </w:r>
          </w:p>
          <w:p w14:paraId="392F427C">
            <w:pPr>
              <w:pStyle w:val="6"/>
              <w:spacing w:before="2" w:line="342" w:lineRule="auto"/>
              <w:ind w:left="129" w:right="102" w:firstLine="469"/>
            </w:pPr>
            <w:r>
              <w:rPr>
                <w:spacing w:val="-3"/>
              </w:rPr>
              <w:t>（</w:t>
            </w:r>
            <w:r>
              <w:rPr>
                <w:rFonts w:ascii="Times New Roman" w:hAnsi="Times New Roman" w:eastAsia="Times New Roman" w:cs="Times New Roman"/>
                <w:spacing w:val="-3"/>
              </w:rPr>
              <w:t>3</w:t>
            </w:r>
            <w:r>
              <w:rPr>
                <w:spacing w:val="-3"/>
              </w:rPr>
              <w:t>）施工井场及道路采取压实方式处理并定期洒水抑尘，定期检查井场周</w:t>
            </w:r>
            <w:r>
              <w:rPr>
                <w:spacing w:val="-4"/>
              </w:rPr>
              <w:t>围水土流失情况。</w:t>
            </w:r>
          </w:p>
        </w:tc>
      </w:tr>
    </w:tbl>
    <w:p w14:paraId="4B81995A">
      <w:pPr>
        <w:rPr>
          <w:rFonts w:ascii="Arial"/>
          <w:sz w:val="21"/>
        </w:rPr>
      </w:pPr>
    </w:p>
    <w:p w14:paraId="2969F6AD">
      <w:pPr>
        <w:rPr>
          <w:rFonts w:ascii="Arial" w:hAnsi="Arial" w:eastAsia="Arial" w:cs="Arial"/>
          <w:sz w:val="21"/>
          <w:szCs w:val="21"/>
        </w:rPr>
        <w:sectPr>
          <w:footerReference r:id="rId104" w:type="default"/>
          <w:pgSz w:w="11906" w:h="16839"/>
          <w:pgMar w:top="400" w:right="1410" w:bottom="1240" w:left="1579" w:header="0" w:footer="1078" w:gutter="0"/>
          <w:cols w:space="720" w:num="1"/>
        </w:sectPr>
      </w:pPr>
    </w:p>
    <w:p w14:paraId="764B3C2B">
      <w:pPr>
        <w:spacing w:before="56"/>
      </w:pPr>
    </w:p>
    <w:p w14:paraId="48A73E0E">
      <w:pPr>
        <w:spacing w:before="56"/>
      </w:pPr>
    </w:p>
    <w:p w14:paraId="4B419A48">
      <w:pPr>
        <w:spacing w:before="55"/>
      </w:pPr>
    </w:p>
    <w:p w14:paraId="09C3199B">
      <w:pPr>
        <w:spacing w:before="55"/>
      </w:pPr>
    </w:p>
    <w:tbl>
      <w:tblPr>
        <w:tblStyle w:val="5"/>
        <w:tblW w:w="890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86"/>
        <w:gridCol w:w="8415"/>
      </w:tblGrid>
      <w:tr w14:paraId="37DB8A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495" w:hRule="atLeast"/>
        </w:trPr>
        <w:tc>
          <w:tcPr>
            <w:tcW w:w="486" w:type="dxa"/>
            <w:tcBorders>
              <w:right w:val="single" w:color="000000" w:sz="2" w:space="0"/>
            </w:tcBorders>
            <w:vAlign w:val="top"/>
          </w:tcPr>
          <w:p w14:paraId="753D17AE">
            <w:pPr>
              <w:rPr>
                <w:rFonts w:ascii="Arial"/>
                <w:sz w:val="21"/>
              </w:rPr>
            </w:pPr>
          </w:p>
        </w:tc>
        <w:tc>
          <w:tcPr>
            <w:tcW w:w="8415" w:type="dxa"/>
            <w:tcBorders>
              <w:left w:val="single" w:color="000000" w:sz="2" w:space="0"/>
            </w:tcBorders>
            <w:vAlign w:val="top"/>
          </w:tcPr>
          <w:p w14:paraId="202AFCED">
            <w:pPr>
              <w:pStyle w:val="6"/>
              <w:spacing w:before="40" w:line="359" w:lineRule="auto"/>
              <w:ind w:left="114" w:right="102" w:firstLine="485"/>
            </w:pPr>
            <w:r>
              <w:rPr>
                <w:spacing w:val="-3"/>
              </w:rPr>
              <w:t>（</w:t>
            </w:r>
            <w:r>
              <w:rPr>
                <w:rFonts w:ascii="Times New Roman" w:hAnsi="Times New Roman" w:eastAsia="Times New Roman" w:cs="Times New Roman"/>
                <w:spacing w:val="-3"/>
              </w:rPr>
              <w:t>4</w:t>
            </w:r>
            <w:r>
              <w:rPr>
                <w:spacing w:val="-3"/>
              </w:rPr>
              <w:t>）施工结束后按照复垦方案，对临时用地进行清理平整，及时恢复地貌</w:t>
            </w:r>
            <w:r>
              <w:rPr>
                <w:spacing w:val="-6"/>
              </w:rPr>
              <w:t>原状。</w:t>
            </w:r>
          </w:p>
          <w:p w14:paraId="613293B9">
            <w:pPr>
              <w:pStyle w:val="6"/>
              <w:spacing w:line="359" w:lineRule="auto"/>
              <w:ind w:left="109" w:right="102" w:firstLine="473"/>
              <w:outlineLvl w:val="0"/>
            </w:pPr>
            <w:r>
              <w:rPr>
                <w:spacing w:val="1"/>
              </w:rPr>
              <w:t>项目采取合理、有效的防治措施，可减少施工期水土流失量，对水土流失</w:t>
            </w:r>
            <w:r>
              <w:rPr>
                <w:spacing w:val="-1"/>
              </w:rPr>
              <w:t>重点治理区产生的影响较小。</w:t>
            </w:r>
          </w:p>
          <w:p w14:paraId="3B08C62F">
            <w:pPr>
              <w:pStyle w:val="6"/>
              <w:spacing w:line="220" w:lineRule="auto"/>
              <w:ind w:left="579"/>
              <w:outlineLvl w:val="0"/>
            </w:pPr>
            <w:r>
              <w:rPr>
                <w:rFonts w:ascii="Times New Roman" w:hAnsi="Times New Roman" w:eastAsia="Times New Roman" w:cs="Times New Roman"/>
                <w:spacing w:val="-5"/>
              </w:rPr>
              <w:t>6</w:t>
            </w:r>
            <w:r>
              <w:rPr>
                <w:rFonts w:ascii="Times New Roman" w:hAnsi="Times New Roman" w:eastAsia="Times New Roman" w:cs="Times New Roman"/>
                <w:spacing w:val="-32"/>
              </w:rPr>
              <w:t xml:space="preserve"> </w:t>
            </w:r>
            <w:r>
              <w:rPr>
                <w:spacing w:val="-5"/>
              </w:rPr>
              <w:t>、生态恢复计划</w:t>
            </w:r>
          </w:p>
          <w:p w14:paraId="19D84488">
            <w:pPr>
              <w:pStyle w:val="6"/>
              <w:spacing w:before="182" w:line="357" w:lineRule="auto"/>
              <w:ind w:left="108" w:right="41" w:firstLine="483"/>
              <w:jc w:val="both"/>
            </w:pPr>
            <w:r>
              <w:rPr>
                <w:spacing w:val="1"/>
              </w:rPr>
              <w:t>项目为临时用地，生物损失补偿措施为货币补偿和及时复垦。土</w:t>
            </w:r>
            <w:r>
              <w:t>地复垦对</w:t>
            </w:r>
            <w:r>
              <w:rPr>
                <w:spacing w:val="-4"/>
              </w:rPr>
              <w:t>象为施工破坏的土地，若永久封井，则土地复垦面积为</w:t>
            </w:r>
            <w:r>
              <w:rPr>
                <w:spacing w:val="-32"/>
              </w:rPr>
              <w:t xml:space="preserve"> </w:t>
            </w:r>
            <w:r>
              <w:rPr>
                <w:rFonts w:ascii="Times New Roman" w:hAnsi="Times New Roman" w:eastAsia="Times New Roman" w:cs="Times New Roman"/>
                <w:spacing w:val="-5"/>
              </w:rPr>
              <w:t>13293m</w:t>
            </w:r>
            <w:r>
              <w:rPr>
                <w:rFonts w:ascii="Times New Roman" w:hAnsi="Times New Roman" w:eastAsia="Times New Roman" w:cs="Times New Roman"/>
                <w:spacing w:val="-5"/>
                <w:position w:val="7"/>
                <w:sz w:val="15"/>
                <w:szCs w:val="15"/>
              </w:rPr>
              <w:t>2</w:t>
            </w:r>
            <w:r>
              <w:rPr>
                <w:rFonts w:ascii="Times New Roman" w:hAnsi="Times New Roman" w:eastAsia="Times New Roman" w:cs="Times New Roman"/>
                <w:spacing w:val="-7"/>
                <w:position w:val="7"/>
                <w:sz w:val="15"/>
                <w:szCs w:val="15"/>
              </w:rPr>
              <w:t xml:space="preserve"> </w:t>
            </w:r>
            <w:r>
              <w:rPr>
                <w:spacing w:val="-5"/>
              </w:rPr>
              <w:t>，若转产能井，</w:t>
            </w:r>
            <w:r>
              <w:rPr>
                <w:spacing w:val="1"/>
              </w:rPr>
              <w:t>则保留试油井场（井场面积约</w:t>
            </w:r>
            <w:r>
              <w:rPr>
                <w:spacing w:val="-47"/>
              </w:rPr>
              <w:t xml:space="preserve"> </w:t>
            </w:r>
            <w:r>
              <w:rPr>
                <w:rFonts w:ascii="Times New Roman" w:hAnsi="Times New Roman" w:eastAsia="Times New Roman" w:cs="Times New Roman"/>
                <w:spacing w:val="1"/>
              </w:rPr>
              <w:t>3500m</w:t>
            </w:r>
            <w:r>
              <w:rPr>
                <w:rFonts w:ascii="Times New Roman" w:hAnsi="Times New Roman" w:eastAsia="Times New Roman" w:cs="Times New Roman"/>
                <w:spacing w:val="1"/>
                <w:position w:val="1"/>
                <w:sz w:val="15"/>
                <w:szCs w:val="15"/>
              </w:rPr>
              <w:t>2</w:t>
            </w:r>
            <w:r>
              <w:rPr>
                <w:spacing w:val="10"/>
                <w:position w:val="1"/>
              </w:rPr>
              <w:t>）</w:t>
            </w:r>
            <w:r>
              <w:rPr>
                <w:spacing w:val="10"/>
              </w:rPr>
              <w:t>，</w:t>
            </w:r>
            <w:r>
              <w:rPr>
                <w:spacing w:val="1"/>
              </w:rPr>
              <w:t>土地复垦面积为</w:t>
            </w:r>
            <w:r>
              <w:rPr>
                <w:spacing w:val="-48"/>
              </w:rPr>
              <w:t xml:space="preserve"> </w:t>
            </w:r>
            <w:r>
              <w:rPr>
                <w:rFonts w:ascii="Times New Roman" w:hAnsi="Times New Roman" w:eastAsia="Times New Roman" w:cs="Times New Roman"/>
              </w:rPr>
              <w:t>9793m</w:t>
            </w:r>
            <w:r>
              <w:rPr>
                <w:rFonts w:ascii="Times New Roman" w:hAnsi="Times New Roman" w:eastAsia="Times New Roman" w:cs="Times New Roman"/>
                <w:position w:val="8"/>
                <w:sz w:val="15"/>
                <w:szCs w:val="15"/>
              </w:rPr>
              <w:t xml:space="preserve">2 </w:t>
            </w:r>
            <w:r>
              <w:t>。生态恢复</w:t>
            </w:r>
            <w:r>
              <w:rPr>
                <w:spacing w:val="-2"/>
              </w:rPr>
              <w:t>计划见下表。</w:t>
            </w:r>
          </w:p>
          <w:p w14:paraId="27CEB76D">
            <w:pPr>
              <w:spacing w:line="212" w:lineRule="auto"/>
              <w:ind w:left="2792"/>
              <w:rPr>
                <w:rFonts w:ascii="黑体" w:hAnsi="黑体" w:eastAsia="黑体" w:cs="黑体"/>
                <w:sz w:val="24"/>
                <w:szCs w:val="24"/>
              </w:rPr>
            </w:pPr>
            <w:r>
              <w:rPr>
                <w:rFonts w:ascii="黑体" w:hAnsi="黑体" w:eastAsia="黑体" w:cs="黑体"/>
                <w:spacing w:val="-3"/>
                <w:sz w:val="24"/>
                <w:szCs w:val="24"/>
              </w:rPr>
              <w:t>表</w:t>
            </w:r>
            <w:r>
              <w:rPr>
                <w:rFonts w:ascii="Times New Roman" w:hAnsi="Times New Roman" w:eastAsia="Times New Roman" w:cs="Times New Roman"/>
                <w:spacing w:val="-3"/>
                <w:sz w:val="24"/>
                <w:szCs w:val="24"/>
              </w:rPr>
              <w:t>5-</w:t>
            </w:r>
            <w:r>
              <w:rPr>
                <w:rFonts w:ascii="Times New Roman" w:hAnsi="Times New Roman" w:eastAsia="Times New Roman" w:cs="Times New Roman"/>
                <w:spacing w:val="-24"/>
                <w:sz w:val="24"/>
                <w:szCs w:val="24"/>
              </w:rPr>
              <w:t xml:space="preserve"> </w:t>
            </w:r>
            <w:r>
              <w:rPr>
                <w:rFonts w:ascii="Times New Roman" w:hAnsi="Times New Roman" w:eastAsia="Times New Roman" w:cs="Times New Roman"/>
                <w:spacing w:val="-3"/>
                <w:sz w:val="24"/>
                <w:szCs w:val="24"/>
              </w:rPr>
              <w:t xml:space="preserve">1  </w:t>
            </w:r>
            <w:r>
              <w:rPr>
                <w:rFonts w:ascii="黑体" w:hAnsi="黑体" w:eastAsia="黑体" w:cs="黑体"/>
                <w:spacing w:val="-3"/>
                <w:sz w:val="24"/>
                <w:szCs w:val="24"/>
              </w:rPr>
              <w:t>项目生态恢复计划一览表</w:t>
            </w:r>
          </w:p>
          <w:tbl>
            <w:tblPr>
              <w:tblStyle w:val="5"/>
              <w:tblW w:w="8204" w:type="dxa"/>
              <w:tblInd w:w="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3"/>
              <w:gridCol w:w="2326"/>
              <w:gridCol w:w="1295"/>
              <w:gridCol w:w="1349"/>
              <w:gridCol w:w="2141"/>
            </w:tblGrid>
            <w:tr w14:paraId="577147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93" w:type="dxa"/>
                  <w:tcBorders>
                    <w:top w:val="single" w:color="000000" w:sz="10" w:space="0"/>
                    <w:left w:val="nil"/>
                  </w:tcBorders>
                  <w:vAlign w:val="top"/>
                </w:tcPr>
                <w:p w14:paraId="4F2ECB07">
                  <w:pPr>
                    <w:pStyle w:val="6"/>
                    <w:spacing w:before="68" w:line="228" w:lineRule="auto"/>
                    <w:ind w:left="130"/>
                    <w:rPr>
                      <w:sz w:val="20"/>
                      <w:szCs w:val="20"/>
                    </w:rPr>
                  </w:pPr>
                  <w:r>
                    <w:rPr>
                      <w:spacing w:val="7"/>
                      <w:sz w:val="20"/>
                      <w:szCs w:val="20"/>
                    </w:rPr>
                    <w:t>环境现状</w:t>
                  </w:r>
                </w:p>
              </w:tc>
              <w:tc>
                <w:tcPr>
                  <w:tcW w:w="2326" w:type="dxa"/>
                  <w:tcBorders>
                    <w:top w:val="single" w:color="000000" w:sz="10" w:space="0"/>
                  </w:tcBorders>
                  <w:vAlign w:val="top"/>
                </w:tcPr>
                <w:p w14:paraId="4A2ADAF8">
                  <w:pPr>
                    <w:pStyle w:val="6"/>
                    <w:spacing w:before="69" w:line="228" w:lineRule="auto"/>
                    <w:ind w:left="748"/>
                    <w:rPr>
                      <w:sz w:val="20"/>
                      <w:szCs w:val="20"/>
                    </w:rPr>
                  </w:pPr>
                  <w:r>
                    <w:rPr>
                      <w:spacing w:val="6"/>
                      <w:sz w:val="20"/>
                      <w:szCs w:val="20"/>
                    </w:rPr>
                    <w:t>生态措施</w:t>
                  </w:r>
                </w:p>
              </w:tc>
              <w:tc>
                <w:tcPr>
                  <w:tcW w:w="1295" w:type="dxa"/>
                  <w:tcBorders>
                    <w:top w:val="single" w:color="000000" w:sz="10" w:space="0"/>
                  </w:tcBorders>
                  <w:vAlign w:val="top"/>
                </w:tcPr>
                <w:p w14:paraId="2827D654">
                  <w:pPr>
                    <w:pStyle w:val="6"/>
                    <w:spacing w:before="69" w:line="228" w:lineRule="auto"/>
                    <w:ind w:left="231"/>
                    <w:rPr>
                      <w:sz w:val="20"/>
                      <w:szCs w:val="20"/>
                    </w:rPr>
                  </w:pPr>
                  <w:r>
                    <w:rPr>
                      <w:spacing w:val="6"/>
                      <w:sz w:val="20"/>
                      <w:szCs w:val="20"/>
                    </w:rPr>
                    <w:t>恢复物种</w:t>
                  </w:r>
                </w:p>
              </w:tc>
              <w:tc>
                <w:tcPr>
                  <w:tcW w:w="1349" w:type="dxa"/>
                  <w:tcBorders>
                    <w:top w:val="single" w:color="000000" w:sz="10" w:space="0"/>
                  </w:tcBorders>
                  <w:vAlign w:val="top"/>
                </w:tcPr>
                <w:p w14:paraId="0BD7B956">
                  <w:pPr>
                    <w:pStyle w:val="6"/>
                    <w:spacing w:before="69" w:line="228" w:lineRule="auto"/>
                    <w:ind w:left="259"/>
                    <w:rPr>
                      <w:sz w:val="20"/>
                      <w:szCs w:val="20"/>
                    </w:rPr>
                  </w:pPr>
                  <w:r>
                    <w:rPr>
                      <w:spacing w:val="6"/>
                      <w:sz w:val="20"/>
                      <w:szCs w:val="20"/>
                    </w:rPr>
                    <w:t>恢复效果</w:t>
                  </w:r>
                </w:p>
              </w:tc>
              <w:tc>
                <w:tcPr>
                  <w:tcW w:w="2141" w:type="dxa"/>
                  <w:tcBorders>
                    <w:top w:val="single" w:color="000000" w:sz="10" w:space="0"/>
                    <w:right w:val="nil"/>
                  </w:tcBorders>
                  <w:vAlign w:val="top"/>
                </w:tcPr>
                <w:p w14:paraId="220981E6">
                  <w:pPr>
                    <w:pStyle w:val="6"/>
                    <w:spacing w:before="69" w:line="228" w:lineRule="auto"/>
                    <w:ind w:left="655"/>
                    <w:rPr>
                      <w:sz w:val="20"/>
                      <w:szCs w:val="20"/>
                    </w:rPr>
                  </w:pPr>
                  <w:r>
                    <w:rPr>
                      <w:spacing w:val="6"/>
                      <w:sz w:val="20"/>
                      <w:szCs w:val="20"/>
                    </w:rPr>
                    <w:t>恢复时间</w:t>
                  </w:r>
                </w:p>
              </w:tc>
            </w:tr>
            <w:tr w14:paraId="7B0041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1093" w:type="dxa"/>
                  <w:tcBorders>
                    <w:left w:val="nil"/>
                  </w:tcBorders>
                  <w:vAlign w:val="top"/>
                </w:tcPr>
                <w:p w14:paraId="763311EF">
                  <w:pPr>
                    <w:pStyle w:val="6"/>
                    <w:spacing w:before="171" w:line="228" w:lineRule="auto"/>
                    <w:ind w:left="239"/>
                    <w:rPr>
                      <w:sz w:val="20"/>
                      <w:szCs w:val="20"/>
                    </w:rPr>
                  </w:pPr>
                  <w:r>
                    <w:rPr>
                      <w:spacing w:val="6"/>
                      <w:sz w:val="20"/>
                      <w:szCs w:val="20"/>
                    </w:rPr>
                    <w:t>水浇地</w:t>
                  </w:r>
                </w:p>
              </w:tc>
              <w:tc>
                <w:tcPr>
                  <w:tcW w:w="2326" w:type="dxa"/>
                  <w:vAlign w:val="top"/>
                </w:tcPr>
                <w:p w14:paraId="7CC9D703">
                  <w:pPr>
                    <w:pStyle w:val="6"/>
                    <w:spacing w:before="34" w:line="227" w:lineRule="auto"/>
                    <w:ind w:left="12"/>
                    <w:rPr>
                      <w:sz w:val="20"/>
                      <w:szCs w:val="20"/>
                    </w:rPr>
                  </w:pPr>
                  <w:r>
                    <w:rPr>
                      <w:spacing w:val="9"/>
                      <w:sz w:val="20"/>
                      <w:szCs w:val="20"/>
                    </w:rPr>
                    <w:t>覆土、平整、恢复为待耕</w:t>
                  </w:r>
                </w:p>
                <w:p w14:paraId="0B36744A">
                  <w:pPr>
                    <w:pStyle w:val="6"/>
                    <w:spacing w:before="27" w:line="205" w:lineRule="auto"/>
                    <w:ind w:left="852"/>
                    <w:rPr>
                      <w:sz w:val="20"/>
                      <w:szCs w:val="20"/>
                    </w:rPr>
                  </w:pPr>
                  <w:r>
                    <w:rPr>
                      <w:spacing w:val="6"/>
                      <w:sz w:val="20"/>
                      <w:szCs w:val="20"/>
                    </w:rPr>
                    <w:t>种状态</w:t>
                  </w:r>
                </w:p>
              </w:tc>
              <w:tc>
                <w:tcPr>
                  <w:tcW w:w="1295" w:type="dxa"/>
                  <w:vAlign w:val="top"/>
                </w:tcPr>
                <w:p w14:paraId="72893312">
                  <w:pPr>
                    <w:pStyle w:val="6"/>
                    <w:spacing w:before="171" w:line="228" w:lineRule="auto"/>
                    <w:ind w:left="137"/>
                    <w:rPr>
                      <w:sz w:val="20"/>
                      <w:szCs w:val="20"/>
                    </w:rPr>
                  </w:pPr>
                  <w:r>
                    <w:rPr>
                      <w:spacing w:val="5"/>
                      <w:sz w:val="20"/>
                      <w:szCs w:val="20"/>
                    </w:rPr>
                    <w:t>当季农作物</w:t>
                  </w:r>
                </w:p>
              </w:tc>
              <w:tc>
                <w:tcPr>
                  <w:tcW w:w="1349" w:type="dxa"/>
                  <w:vMerge w:val="restart"/>
                  <w:tcBorders>
                    <w:bottom w:val="nil"/>
                  </w:tcBorders>
                  <w:vAlign w:val="top"/>
                </w:tcPr>
                <w:p w14:paraId="638EDA41">
                  <w:pPr>
                    <w:pStyle w:val="6"/>
                    <w:spacing w:before="52" w:line="251" w:lineRule="auto"/>
                    <w:ind w:left="11" w:right="79"/>
                    <w:jc w:val="both"/>
                    <w:rPr>
                      <w:sz w:val="20"/>
                      <w:szCs w:val="20"/>
                    </w:rPr>
                  </w:pPr>
                  <w:r>
                    <w:rPr>
                      <w:spacing w:val="7"/>
                      <w:sz w:val="20"/>
                      <w:szCs w:val="20"/>
                    </w:rPr>
                    <w:t>恢复临时占地</w:t>
                  </w:r>
                  <w:r>
                    <w:rPr>
                      <w:spacing w:val="8"/>
                      <w:sz w:val="20"/>
                      <w:szCs w:val="20"/>
                    </w:rPr>
                    <w:t>原生态功能，土地复垦率</w:t>
                  </w:r>
                </w:p>
                <w:p w14:paraId="1D800850">
                  <w:pPr>
                    <w:spacing w:before="20" w:line="195" w:lineRule="auto"/>
                    <w:ind w:left="2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w:t>
                  </w:r>
                </w:p>
              </w:tc>
              <w:tc>
                <w:tcPr>
                  <w:tcW w:w="2141" w:type="dxa"/>
                  <w:vMerge w:val="restart"/>
                  <w:tcBorders>
                    <w:bottom w:val="nil"/>
                    <w:right w:val="nil"/>
                  </w:tcBorders>
                  <w:vAlign w:val="top"/>
                </w:tcPr>
                <w:p w14:paraId="11F32438">
                  <w:pPr>
                    <w:pStyle w:val="6"/>
                    <w:spacing w:before="34" w:line="228" w:lineRule="auto"/>
                    <w:ind w:left="232"/>
                    <w:rPr>
                      <w:sz w:val="20"/>
                      <w:szCs w:val="20"/>
                    </w:rPr>
                  </w:pPr>
                  <w:r>
                    <w:rPr>
                      <w:spacing w:val="8"/>
                      <w:sz w:val="20"/>
                      <w:szCs w:val="20"/>
                    </w:rPr>
                    <w:t>勘探结束后及时复</w:t>
                  </w:r>
                </w:p>
                <w:p w14:paraId="1C688533">
                  <w:pPr>
                    <w:pStyle w:val="6"/>
                    <w:spacing w:before="26" w:line="228" w:lineRule="auto"/>
                    <w:ind w:left="126"/>
                    <w:rPr>
                      <w:sz w:val="20"/>
                      <w:szCs w:val="20"/>
                    </w:rPr>
                  </w:pPr>
                  <w:r>
                    <w:rPr>
                      <w:spacing w:val="9"/>
                      <w:sz w:val="20"/>
                      <w:szCs w:val="20"/>
                    </w:rPr>
                    <w:t>垦，在临时用地使用</w:t>
                  </w:r>
                </w:p>
                <w:p w14:paraId="7436C2A3">
                  <w:pPr>
                    <w:pStyle w:val="6"/>
                    <w:spacing w:before="24" w:line="228" w:lineRule="auto"/>
                    <w:ind w:left="130"/>
                    <w:rPr>
                      <w:sz w:val="20"/>
                      <w:szCs w:val="20"/>
                    </w:rPr>
                  </w:pPr>
                  <w:r>
                    <w:rPr>
                      <w:spacing w:val="5"/>
                      <w:sz w:val="20"/>
                      <w:szCs w:val="20"/>
                    </w:rPr>
                    <w:t>期满后</w:t>
                  </w:r>
                  <w:r>
                    <w:rPr>
                      <w:spacing w:val="-23"/>
                      <w:sz w:val="20"/>
                      <w:szCs w:val="20"/>
                    </w:rPr>
                    <w:t xml:space="preserve"> </w:t>
                  </w:r>
                  <w:r>
                    <w:rPr>
                      <w:rFonts w:ascii="Times New Roman" w:hAnsi="Times New Roman" w:eastAsia="Times New Roman" w:cs="Times New Roman"/>
                      <w:spacing w:val="5"/>
                      <w:sz w:val="20"/>
                      <w:szCs w:val="20"/>
                    </w:rPr>
                    <w:t xml:space="preserve">1 </w:t>
                  </w:r>
                  <w:r>
                    <w:rPr>
                      <w:spacing w:val="5"/>
                      <w:sz w:val="20"/>
                      <w:szCs w:val="20"/>
                    </w:rPr>
                    <w:t>年内完成复</w:t>
                  </w:r>
                </w:p>
                <w:p w14:paraId="1517888C">
                  <w:pPr>
                    <w:pStyle w:val="6"/>
                    <w:spacing w:before="26" w:line="216" w:lineRule="auto"/>
                    <w:ind w:left="441"/>
                    <w:rPr>
                      <w:sz w:val="20"/>
                      <w:szCs w:val="20"/>
                    </w:rPr>
                  </w:pPr>
                  <w:r>
                    <w:rPr>
                      <w:spacing w:val="8"/>
                      <w:sz w:val="20"/>
                      <w:szCs w:val="20"/>
                    </w:rPr>
                    <w:t>垦并申请验收</w:t>
                  </w:r>
                </w:p>
              </w:tc>
            </w:tr>
            <w:tr w14:paraId="4BD384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atLeast"/>
              </w:trPr>
              <w:tc>
                <w:tcPr>
                  <w:tcW w:w="1093" w:type="dxa"/>
                  <w:tcBorders>
                    <w:left w:val="nil"/>
                    <w:bottom w:val="single" w:color="000000" w:sz="10" w:space="0"/>
                  </w:tcBorders>
                  <w:vAlign w:val="top"/>
                </w:tcPr>
                <w:p w14:paraId="40FF74B9">
                  <w:pPr>
                    <w:pStyle w:val="6"/>
                    <w:spacing w:before="173" w:line="228" w:lineRule="auto"/>
                    <w:ind w:left="342"/>
                    <w:rPr>
                      <w:sz w:val="20"/>
                      <w:szCs w:val="20"/>
                    </w:rPr>
                  </w:pPr>
                  <w:r>
                    <w:rPr>
                      <w:spacing w:val="4"/>
                      <w:sz w:val="20"/>
                      <w:szCs w:val="20"/>
                    </w:rPr>
                    <w:t>沟渠</w:t>
                  </w:r>
                </w:p>
              </w:tc>
              <w:tc>
                <w:tcPr>
                  <w:tcW w:w="2326" w:type="dxa"/>
                  <w:tcBorders>
                    <w:bottom w:val="single" w:color="000000" w:sz="10" w:space="0"/>
                  </w:tcBorders>
                  <w:vAlign w:val="top"/>
                </w:tcPr>
                <w:p w14:paraId="2BEFD15B">
                  <w:pPr>
                    <w:pStyle w:val="6"/>
                    <w:spacing w:before="173" w:line="228" w:lineRule="auto"/>
                    <w:ind w:left="11"/>
                    <w:rPr>
                      <w:sz w:val="20"/>
                      <w:szCs w:val="20"/>
                    </w:rPr>
                  </w:pPr>
                  <w:r>
                    <w:rPr>
                      <w:spacing w:val="9"/>
                      <w:sz w:val="20"/>
                      <w:szCs w:val="20"/>
                    </w:rPr>
                    <w:t>边坡绿化，种植乡土物种</w:t>
                  </w:r>
                </w:p>
              </w:tc>
              <w:tc>
                <w:tcPr>
                  <w:tcW w:w="1295" w:type="dxa"/>
                  <w:tcBorders>
                    <w:bottom w:val="single" w:color="000000" w:sz="10" w:space="0"/>
                  </w:tcBorders>
                  <w:vAlign w:val="top"/>
                </w:tcPr>
                <w:p w14:paraId="33CBB67A">
                  <w:pPr>
                    <w:pStyle w:val="6"/>
                    <w:spacing w:before="173" w:line="228" w:lineRule="auto"/>
                    <w:ind w:left="20"/>
                    <w:rPr>
                      <w:sz w:val="20"/>
                      <w:szCs w:val="20"/>
                    </w:rPr>
                  </w:pPr>
                  <w:r>
                    <w:rPr>
                      <w:spacing w:val="7"/>
                      <w:sz w:val="20"/>
                      <w:szCs w:val="20"/>
                    </w:rPr>
                    <w:t>恢复原有功能</w:t>
                  </w:r>
                </w:p>
              </w:tc>
              <w:tc>
                <w:tcPr>
                  <w:tcW w:w="1349" w:type="dxa"/>
                  <w:vMerge w:val="continue"/>
                  <w:tcBorders>
                    <w:top w:val="nil"/>
                    <w:bottom w:val="single" w:color="000000" w:sz="10" w:space="0"/>
                  </w:tcBorders>
                  <w:vAlign w:val="top"/>
                </w:tcPr>
                <w:p w14:paraId="66D1C964">
                  <w:pPr>
                    <w:rPr>
                      <w:rFonts w:ascii="Arial"/>
                      <w:sz w:val="21"/>
                    </w:rPr>
                  </w:pPr>
                </w:p>
              </w:tc>
              <w:tc>
                <w:tcPr>
                  <w:tcW w:w="2141" w:type="dxa"/>
                  <w:vMerge w:val="continue"/>
                  <w:tcBorders>
                    <w:top w:val="nil"/>
                    <w:bottom w:val="single" w:color="000000" w:sz="10" w:space="0"/>
                    <w:right w:val="nil"/>
                  </w:tcBorders>
                  <w:vAlign w:val="top"/>
                </w:tcPr>
                <w:p w14:paraId="5E9ECD7C">
                  <w:pPr>
                    <w:rPr>
                      <w:rFonts w:ascii="Arial"/>
                      <w:sz w:val="21"/>
                    </w:rPr>
                  </w:pPr>
                </w:p>
              </w:tc>
            </w:tr>
          </w:tbl>
          <w:p w14:paraId="724A9E1B">
            <w:pPr>
              <w:pStyle w:val="6"/>
              <w:spacing w:before="34" w:line="220" w:lineRule="auto"/>
              <w:ind w:left="587"/>
            </w:pPr>
            <w:r>
              <w:rPr>
                <w:b/>
                <w:bCs/>
                <w:spacing w:val="-3"/>
              </w:rPr>
              <w:t>七、事故风险分析</w:t>
            </w:r>
          </w:p>
          <w:p w14:paraId="0C6D279D">
            <w:pPr>
              <w:pStyle w:val="6"/>
              <w:spacing w:before="182" w:line="220" w:lineRule="auto"/>
              <w:ind w:left="607"/>
            </w:pPr>
            <w:r>
              <w:rPr>
                <w:rFonts w:ascii="Times New Roman" w:hAnsi="Times New Roman" w:eastAsia="Times New Roman" w:cs="Times New Roman"/>
                <w:spacing w:val="-5"/>
              </w:rPr>
              <w:t>1</w:t>
            </w:r>
            <w:r>
              <w:rPr>
                <w:rFonts w:ascii="Times New Roman" w:hAnsi="Times New Roman" w:eastAsia="Times New Roman" w:cs="Times New Roman"/>
                <w:spacing w:val="-30"/>
              </w:rPr>
              <w:t xml:space="preserve"> </w:t>
            </w:r>
            <w:r>
              <w:rPr>
                <w:spacing w:val="-5"/>
              </w:rPr>
              <w:t>、大气环境风险防范措施</w:t>
            </w:r>
          </w:p>
          <w:p w14:paraId="5C68750D">
            <w:pPr>
              <w:pStyle w:val="6"/>
              <w:spacing w:before="182" w:line="220" w:lineRule="auto"/>
              <w:ind w:left="599"/>
            </w:pPr>
            <w:r>
              <w:rPr>
                <w:spacing w:val="-2"/>
              </w:rPr>
              <w:t>（</w:t>
            </w:r>
            <w:r>
              <w:rPr>
                <w:rFonts w:ascii="Times New Roman" w:hAnsi="Times New Roman" w:eastAsia="Times New Roman" w:cs="Times New Roman"/>
                <w:spacing w:val="-2"/>
              </w:rPr>
              <w:t>1</w:t>
            </w:r>
            <w:r>
              <w:rPr>
                <w:spacing w:val="-2"/>
              </w:rPr>
              <w:t>）钻探工程井控措施</w:t>
            </w:r>
          </w:p>
          <w:p w14:paraId="14986142">
            <w:pPr>
              <w:pStyle w:val="6"/>
              <w:spacing w:before="179" w:line="359" w:lineRule="auto"/>
              <w:ind w:left="108" w:right="22" w:firstLine="479"/>
            </w:pPr>
            <w:r>
              <w:rPr>
                <w:spacing w:val="17"/>
              </w:rPr>
              <w:t>施工过程中严格按照《石油天然气工业健康、安全与环</w:t>
            </w:r>
            <w:r>
              <w:rPr>
                <w:spacing w:val="16"/>
              </w:rPr>
              <w:t>境管理体系》</w:t>
            </w:r>
            <w:r>
              <w:t xml:space="preserve"> </w:t>
            </w:r>
            <w:r>
              <w:rPr>
                <w:spacing w:val="9"/>
              </w:rPr>
              <w:t>（</w:t>
            </w:r>
            <w:r>
              <w:rPr>
                <w:rFonts w:ascii="Times New Roman" w:hAnsi="Times New Roman" w:eastAsia="Times New Roman" w:cs="Times New Roman"/>
              </w:rPr>
              <w:t>SY</w:t>
            </w:r>
            <w:r>
              <w:rPr>
                <w:rFonts w:ascii="Times New Roman" w:hAnsi="Times New Roman" w:eastAsia="Times New Roman" w:cs="Times New Roman"/>
                <w:spacing w:val="9"/>
              </w:rPr>
              <w:t>/T6276-2014</w:t>
            </w:r>
            <w:r>
              <w:rPr>
                <w:spacing w:val="9"/>
              </w:rPr>
              <w:t>）</w:t>
            </w:r>
            <w:r>
              <w:rPr>
                <w:spacing w:val="-62"/>
              </w:rPr>
              <w:t xml:space="preserve"> </w:t>
            </w:r>
            <w:r>
              <w:rPr>
                <w:spacing w:val="9"/>
              </w:rPr>
              <w:t>、《石油天然气钻井作业健康、安全</w:t>
            </w:r>
            <w:r>
              <w:rPr>
                <w:spacing w:val="8"/>
              </w:rPr>
              <w:t>与环境管理导则》</w:t>
            </w:r>
            <w:r>
              <w:t xml:space="preserve"> </w:t>
            </w:r>
            <w:r>
              <w:rPr>
                <w:spacing w:val="-1"/>
              </w:rPr>
              <w:t>（</w:t>
            </w:r>
            <w:r>
              <w:rPr>
                <w:rFonts w:ascii="Times New Roman" w:hAnsi="Times New Roman" w:eastAsia="Times New Roman" w:cs="Times New Roman"/>
                <w:spacing w:val="-1"/>
              </w:rPr>
              <w:t>Q/SY1053-2010</w:t>
            </w:r>
            <w:r>
              <w:rPr>
                <w:spacing w:val="-1"/>
              </w:rPr>
              <w:t>）、《石油天然气钻井井控技术规范》（</w:t>
            </w:r>
            <w:r>
              <w:rPr>
                <w:rFonts w:ascii="Times New Roman" w:hAnsi="Times New Roman" w:eastAsia="Times New Roman" w:cs="Times New Roman"/>
                <w:spacing w:val="-1"/>
              </w:rPr>
              <w:t>GB/</w:t>
            </w:r>
            <w:r>
              <w:rPr>
                <w:rFonts w:ascii="Times New Roman" w:hAnsi="Times New Roman" w:eastAsia="Times New Roman" w:cs="Times New Roman"/>
                <w:spacing w:val="-2"/>
              </w:rPr>
              <w:t>T31033-2014</w:t>
            </w:r>
            <w:r>
              <w:rPr>
                <w:spacing w:val="-2"/>
              </w:rPr>
              <w:t>）、</w:t>
            </w:r>
            <w:r>
              <w:t xml:space="preserve"> </w:t>
            </w:r>
            <w:r>
              <w:rPr>
                <w:spacing w:val="-8"/>
              </w:rPr>
              <w:t>《硫化氢环境钻井场所作业安全规范》（</w:t>
            </w:r>
            <w:r>
              <w:rPr>
                <w:rFonts w:ascii="Times New Roman" w:hAnsi="Times New Roman" w:eastAsia="Times New Roman" w:cs="Times New Roman"/>
                <w:spacing w:val="-8"/>
              </w:rPr>
              <w:t>SY/T5087-2017</w:t>
            </w:r>
            <w:r>
              <w:rPr>
                <w:spacing w:val="-8"/>
              </w:rPr>
              <w:t>）等行业相关规范和《钻</w:t>
            </w:r>
            <w:r>
              <w:rPr>
                <w:spacing w:val="-1"/>
              </w:rPr>
              <w:t>井设计》的要求进行工程控制，在工艺设备硬件上防止井喷事故。</w:t>
            </w:r>
          </w:p>
          <w:p w14:paraId="058D19FF">
            <w:pPr>
              <w:pStyle w:val="6"/>
              <w:spacing w:before="1" w:line="219" w:lineRule="auto"/>
              <w:ind w:left="590"/>
            </w:pPr>
            <w:r>
              <w:rPr>
                <w:spacing w:val="-2"/>
              </w:rPr>
              <w:t>主要有以下几方面：</w:t>
            </w:r>
          </w:p>
          <w:p w14:paraId="367F1146">
            <w:pPr>
              <w:pStyle w:val="6"/>
              <w:spacing w:before="182" w:line="220" w:lineRule="auto"/>
              <w:ind w:left="607"/>
            </w:pPr>
            <w:r>
              <w:rPr>
                <w:rFonts w:ascii="Times New Roman" w:hAnsi="Times New Roman" w:eastAsia="Times New Roman" w:cs="Times New Roman"/>
                <w:spacing w:val="-3"/>
              </w:rPr>
              <w:t>1</w:t>
            </w:r>
            <w:r>
              <w:rPr>
                <w:spacing w:val="-3"/>
              </w:rPr>
              <w:t>）井喷风险井控防范措施</w:t>
            </w:r>
          </w:p>
          <w:p w14:paraId="56F545A8">
            <w:pPr>
              <w:pStyle w:val="6"/>
              <w:spacing w:before="182" w:line="219" w:lineRule="auto"/>
              <w:ind w:left="589"/>
            </w:pPr>
            <w:r>
              <w:rPr>
                <w:spacing w:val="-1"/>
              </w:rPr>
              <w:t>利用防喷装置控制井口压力来预防井喷。</w:t>
            </w:r>
          </w:p>
          <w:p w14:paraId="5CED7AC4">
            <w:pPr>
              <w:pStyle w:val="6"/>
              <w:spacing w:before="181" w:line="359" w:lineRule="auto"/>
              <w:ind w:left="110" w:right="102" w:firstLine="493"/>
            </w:pPr>
            <w:r>
              <w:t>当出现井涌现象时，可临时关闭防喷器，争取时间循环钻井泥浆，消除气</w:t>
            </w:r>
            <w:r>
              <w:rPr>
                <w:spacing w:val="-1"/>
              </w:rPr>
              <w:t>侵，或调配高密度钻井泥浆压井，预防井喷。</w:t>
            </w:r>
          </w:p>
          <w:p w14:paraId="4BF77357">
            <w:pPr>
              <w:pStyle w:val="6"/>
              <w:spacing w:before="1" w:line="348" w:lineRule="auto"/>
              <w:ind w:left="114" w:right="102" w:firstLine="488"/>
              <w:jc w:val="both"/>
            </w:pPr>
            <w:r>
              <w:t>当用高密度钻井泥浆压井仍然不能阻止井喷时，需要继续关闭防喷气器，</w:t>
            </w:r>
            <w:r>
              <w:rPr>
                <w:spacing w:val="1"/>
              </w:rPr>
              <w:t>同时打开和防喷器相连的排液管，外排油气，以降低井口承</w:t>
            </w:r>
            <w:r>
              <w:t>受压力，进一步用</w:t>
            </w:r>
            <w:r>
              <w:rPr>
                <w:spacing w:val="-1"/>
              </w:rPr>
              <w:t>高密度钻井泥浆压井，此时可以防止井喷失控。</w:t>
            </w:r>
          </w:p>
        </w:tc>
      </w:tr>
    </w:tbl>
    <w:p w14:paraId="2B204421">
      <w:pPr>
        <w:rPr>
          <w:rFonts w:ascii="Arial"/>
          <w:sz w:val="21"/>
        </w:rPr>
      </w:pPr>
    </w:p>
    <w:p w14:paraId="399BBDB9">
      <w:pPr>
        <w:rPr>
          <w:rFonts w:ascii="Arial" w:hAnsi="Arial" w:eastAsia="Arial" w:cs="Arial"/>
          <w:sz w:val="21"/>
          <w:szCs w:val="21"/>
        </w:rPr>
        <w:sectPr>
          <w:footerReference r:id="rId105" w:type="default"/>
          <w:pgSz w:w="11906" w:h="16839"/>
          <w:pgMar w:top="400" w:right="1410" w:bottom="1240" w:left="1579" w:header="0" w:footer="1078" w:gutter="0"/>
          <w:cols w:space="720" w:num="1"/>
        </w:sectPr>
      </w:pPr>
    </w:p>
    <w:p w14:paraId="2A272E7B">
      <w:pPr>
        <w:spacing w:before="56"/>
      </w:pPr>
    </w:p>
    <w:p w14:paraId="7BC473D7">
      <w:pPr>
        <w:spacing w:before="56"/>
      </w:pPr>
    </w:p>
    <w:p w14:paraId="5B284445">
      <w:pPr>
        <w:spacing w:before="55"/>
      </w:pPr>
    </w:p>
    <w:p w14:paraId="3CC56B01">
      <w:pPr>
        <w:spacing w:before="55"/>
      </w:pPr>
    </w:p>
    <w:tbl>
      <w:tblPr>
        <w:tblStyle w:val="5"/>
        <w:tblW w:w="890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86"/>
        <w:gridCol w:w="8415"/>
      </w:tblGrid>
      <w:tr w14:paraId="44DDDA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486" w:type="dxa"/>
            <w:tcBorders>
              <w:right w:val="single" w:color="000000" w:sz="2" w:space="0"/>
            </w:tcBorders>
            <w:vAlign w:val="top"/>
          </w:tcPr>
          <w:p w14:paraId="17808CB4">
            <w:pPr>
              <w:rPr>
                <w:rFonts w:ascii="Arial"/>
                <w:sz w:val="21"/>
              </w:rPr>
            </w:pPr>
          </w:p>
        </w:tc>
        <w:tc>
          <w:tcPr>
            <w:tcW w:w="8415" w:type="dxa"/>
            <w:tcBorders>
              <w:left w:val="single" w:color="000000" w:sz="2" w:space="0"/>
            </w:tcBorders>
            <w:vAlign w:val="top"/>
          </w:tcPr>
          <w:p w14:paraId="479DC2D1">
            <w:pPr>
              <w:pStyle w:val="6"/>
              <w:spacing w:before="40" w:line="359" w:lineRule="auto"/>
              <w:ind w:left="112" w:right="102" w:firstLine="476"/>
            </w:pPr>
            <w:r>
              <w:rPr>
                <w:spacing w:val="-2"/>
              </w:rPr>
              <w:t>根据《钻前工程及井场布置技术要求》（</w:t>
            </w:r>
            <w:r>
              <w:rPr>
                <w:rFonts w:ascii="Times New Roman" w:hAnsi="Times New Roman" w:eastAsia="Times New Roman" w:cs="Times New Roman"/>
                <w:spacing w:val="-2"/>
              </w:rPr>
              <w:t>SY/T5466-20</w:t>
            </w:r>
            <w:r>
              <w:rPr>
                <w:rFonts w:ascii="Times New Roman" w:hAnsi="Times New Roman" w:eastAsia="Times New Roman" w:cs="Times New Roman"/>
                <w:spacing w:val="-3"/>
              </w:rPr>
              <w:t>13</w:t>
            </w:r>
            <w:r>
              <w:rPr>
                <w:spacing w:val="-3"/>
              </w:rPr>
              <w:t>）进行井场布置及</w:t>
            </w:r>
            <w:r>
              <w:rPr>
                <w:spacing w:val="-2"/>
              </w:rPr>
              <w:t>设置放喷池（即应急池）。</w:t>
            </w:r>
          </w:p>
          <w:p w14:paraId="43924BF7">
            <w:pPr>
              <w:pStyle w:val="6"/>
              <w:spacing w:line="220" w:lineRule="auto"/>
              <w:ind w:left="584"/>
            </w:pPr>
            <w:r>
              <w:rPr>
                <w:rFonts w:ascii="Times New Roman" w:hAnsi="Times New Roman" w:eastAsia="Times New Roman" w:cs="Times New Roman"/>
                <w:spacing w:val="-1"/>
              </w:rPr>
              <w:t>2</w:t>
            </w:r>
            <w:r>
              <w:rPr>
                <w:spacing w:val="-1"/>
              </w:rPr>
              <w:t>）固井作业井喷防范措施</w:t>
            </w:r>
          </w:p>
          <w:p w14:paraId="4274088E">
            <w:pPr>
              <w:pStyle w:val="6"/>
              <w:spacing w:before="182" w:line="359" w:lineRule="auto"/>
              <w:ind w:left="108" w:right="41" w:firstLine="480"/>
            </w:pPr>
            <w:r>
              <w:rPr>
                <w:spacing w:val="-4"/>
              </w:rPr>
              <w:t>通井期间应处理好钻井泥浆性能，符合固井</w:t>
            </w:r>
            <w:r>
              <w:rPr>
                <w:spacing w:val="-5"/>
              </w:rPr>
              <w:t>设计要求，坚持平衡压力固井，</w:t>
            </w:r>
            <w:r>
              <w:rPr>
                <w:spacing w:val="-1"/>
              </w:rPr>
              <w:t>确保钻井泥浆和水泥浆液柱压力压稳油、水层。</w:t>
            </w:r>
          </w:p>
          <w:p w14:paraId="341292A6">
            <w:pPr>
              <w:pStyle w:val="6"/>
              <w:spacing w:line="359" w:lineRule="auto"/>
              <w:ind w:left="108" w:right="102" w:firstLine="487"/>
            </w:pPr>
            <w:r>
              <w:rPr>
                <w:spacing w:val="1"/>
              </w:rPr>
              <w:t>下套管前检查好井控系统，更换半封防喷器芯子，与套管</w:t>
            </w:r>
            <w:r>
              <w:t>尺寸一致，并按</w:t>
            </w:r>
            <w:r>
              <w:rPr>
                <w:spacing w:val="-1"/>
              </w:rPr>
              <w:t>井控规定试压合格；下尾管作业前准备好防喷单根。</w:t>
            </w:r>
          </w:p>
          <w:p w14:paraId="3CA5D175">
            <w:pPr>
              <w:pStyle w:val="6"/>
              <w:spacing w:before="2" w:line="358" w:lineRule="auto"/>
              <w:ind w:left="107" w:right="102" w:firstLine="488"/>
              <w:jc w:val="both"/>
            </w:pPr>
            <w:r>
              <w:rPr>
                <w:spacing w:val="1"/>
              </w:rPr>
              <w:t>下套管前，应换装与套管尺寸相同的半封闸板。固井全过</w:t>
            </w:r>
            <w:r>
              <w:t>程应保持井内压</w:t>
            </w:r>
            <w:r>
              <w:rPr>
                <w:spacing w:val="1"/>
              </w:rPr>
              <w:t>力平衡，防止固井作业中因井漏、候凝期间因水泥浆失重造成井内压力平衡被</w:t>
            </w:r>
            <w:r>
              <w:rPr>
                <w:spacing w:val="-1"/>
              </w:rPr>
              <w:t>破坏而导致的井喷。</w:t>
            </w:r>
          </w:p>
          <w:p w14:paraId="6B4BE995">
            <w:pPr>
              <w:pStyle w:val="6"/>
              <w:spacing w:before="2" w:line="359" w:lineRule="auto"/>
              <w:ind w:left="109" w:right="102" w:firstLine="486"/>
            </w:pPr>
            <w:r>
              <w:rPr>
                <w:spacing w:val="1"/>
              </w:rPr>
              <w:t>下套管过程中，应专人负责观察钻井泥浆出口、钻井泥浆</w:t>
            </w:r>
            <w:r>
              <w:t>循环罐液面变化</w:t>
            </w:r>
            <w:r>
              <w:rPr>
                <w:spacing w:val="-1"/>
              </w:rPr>
              <w:t>情况，如有异常，要及时按程序汇报与处理。</w:t>
            </w:r>
          </w:p>
          <w:p w14:paraId="55EE71EC">
            <w:pPr>
              <w:pStyle w:val="6"/>
              <w:spacing w:line="359" w:lineRule="auto"/>
              <w:ind w:left="106" w:right="102" w:firstLine="480"/>
              <w:jc w:val="both"/>
            </w:pPr>
            <w:r>
              <w:rPr>
                <w:spacing w:val="1"/>
              </w:rPr>
              <w:t>在确定国内固井水泥生产厂家后，对生产厂家的制造工艺和质量控制进行审核，确定制造商的水泥的批次规模和产量，对合格批次水泥从制造到使用点进行全程跟踪。另外，对多产层等关键的井段采用进口水泥，确保更稳定的质</w:t>
            </w:r>
            <w:r>
              <w:rPr>
                <w:spacing w:val="-1"/>
              </w:rPr>
              <w:t>量和可预测的性能。</w:t>
            </w:r>
          </w:p>
          <w:p w14:paraId="40197FFC">
            <w:pPr>
              <w:pStyle w:val="6"/>
              <w:spacing w:line="359" w:lineRule="auto"/>
              <w:ind w:left="108" w:right="102" w:firstLine="480"/>
            </w:pPr>
            <w:r>
              <w:rPr>
                <w:spacing w:val="1"/>
              </w:rPr>
              <w:t>尾管悬挂器与尾管顶部封隔器结合使用，以确保尾管的固井质量和防止产</w:t>
            </w:r>
            <w:r>
              <w:rPr>
                <w:spacing w:val="-2"/>
              </w:rPr>
              <w:t>层气体上窜。</w:t>
            </w:r>
          </w:p>
          <w:p w14:paraId="7FE06128">
            <w:pPr>
              <w:pStyle w:val="6"/>
              <w:spacing w:line="220" w:lineRule="auto"/>
              <w:ind w:left="588"/>
            </w:pPr>
            <w:r>
              <w:rPr>
                <w:rFonts w:ascii="Times New Roman" w:hAnsi="Times New Roman" w:eastAsia="Times New Roman" w:cs="Times New Roman"/>
                <w:spacing w:val="-1"/>
              </w:rPr>
              <w:t>3</w:t>
            </w:r>
            <w:r>
              <w:rPr>
                <w:spacing w:val="-1"/>
              </w:rPr>
              <w:t>）测井过程井喷风险防范</w:t>
            </w:r>
          </w:p>
          <w:p w14:paraId="570A7CE7">
            <w:pPr>
              <w:pStyle w:val="6"/>
              <w:spacing w:before="180" w:line="219" w:lineRule="auto"/>
              <w:ind w:left="589"/>
            </w:pPr>
            <w:r>
              <w:rPr>
                <w:spacing w:val="-1"/>
              </w:rPr>
              <w:t>测井作业人员充分了解钻井防喷器顶部法兰连接规范。</w:t>
            </w:r>
          </w:p>
          <w:p w14:paraId="210F3C54">
            <w:pPr>
              <w:pStyle w:val="6"/>
              <w:spacing w:before="183" w:line="359" w:lineRule="auto"/>
              <w:ind w:left="111" w:right="102" w:firstLine="505"/>
            </w:pPr>
            <w:r>
              <w:t>电缆防喷管底部法兰与钻井防喷器顶部法兰连接密封可靠；防喷管中应配</w:t>
            </w:r>
            <w:r>
              <w:rPr>
                <w:spacing w:val="-1"/>
              </w:rPr>
              <w:t>备测井仪器的防落装置；电缆防喷装置满足井口控压要求并试压。</w:t>
            </w:r>
          </w:p>
          <w:p w14:paraId="7D0ED092">
            <w:pPr>
              <w:pStyle w:val="6"/>
              <w:spacing w:before="3" w:line="358" w:lineRule="auto"/>
              <w:ind w:left="109" w:right="41" w:firstLine="507"/>
            </w:pPr>
            <w:r>
              <w:rPr>
                <w:spacing w:val="-5"/>
              </w:rPr>
              <w:t>电测时发生溢流应尽快起出井内电缆；如果条件不允许</w:t>
            </w:r>
            <w:r>
              <w:rPr>
                <w:spacing w:val="-6"/>
              </w:rPr>
              <w:t>，则立即剪断电缆，</w:t>
            </w:r>
            <w:r>
              <w:rPr>
                <w:spacing w:val="2"/>
              </w:rPr>
              <w:t>按空井溢流关井操作程序关井，不允许用关闭环形防喷器的方法继续</w:t>
            </w:r>
            <w:r>
              <w:rPr>
                <w:spacing w:val="1"/>
              </w:rPr>
              <w:t>起电缆。</w:t>
            </w:r>
            <w:r>
              <w:rPr>
                <w:spacing w:val="-1"/>
              </w:rPr>
              <w:t>若是钻具传输测井，则剪断电缆按起下钻中发生溢流进行处理。</w:t>
            </w:r>
          </w:p>
          <w:p w14:paraId="7C862256">
            <w:pPr>
              <w:pStyle w:val="6"/>
              <w:spacing w:before="1" w:line="217" w:lineRule="auto"/>
              <w:ind w:left="582"/>
            </w:pPr>
            <w:r>
              <w:rPr>
                <w:rFonts w:ascii="Times New Roman" w:hAnsi="Times New Roman" w:eastAsia="Times New Roman" w:cs="Times New Roman"/>
                <w:spacing w:val="-1"/>
              </w:rPr>
              <w:t>4</w:t>
            </w:r>
            <w:r>
              <w:rPr>
                <w:spacing w:val="-1"/>
              </w:rPr>
              <w:t>）防火、防爆措施</w:t>
            </w:r>
          </w:p>
          <w:p w14:paraId="41DF5B83">
            <w:pPr>
              <w:pStyle w:val="6"/>
              <w:spacing w:before="185" w:line="359" w:lineRule="auto"/>
              <w:ind w:left="109" w:right="102" w:firstLine="480"/>
            </w:pPr>
            <w:r>
              <w:rPr>
                <w:spacing w:val="1"/>
              </w:rPr>
              <w:t>严格动火作业管理，实施完善的动火作业许可制度。彻底清除动火区域及</w:t>
            </w:r>
            <w:r>
              <w:rPr>
                <w:spacing w:val="-1"/>
              </w:rPr>
              <w:t>周边的可燃物，配备合格的灭火器材并由专人监护。</w:t>
            </w:r>
          </w:p>
          <w:p w14:paraId="47F343A7">
            <w:pPr>
              <w:pStyle w:val="6"/>
              <w:spacing w:before="2" w:line="217" w:lineRule="auto"/>
              <w:ind w:left="588"/>
            </w:pPr>
            <w:r>
              <w:rPr>
                <w:spacing w:val="1"/>
              </w:rPr>
              <w:t>柴油罐、发电房等摆放按《石油天然气钻井、开发、储运防火防爆安全生</w:t>
            </w:r>
          </w:p>
        </w:tc>
      </w:tr>
    </w:tbl>
    <w:p w14:paraId="4A24BD0F">
      <w:pPr>
        <w:rPr>
          <w:rFonts w:ascii="Arial"/>
          <w:sz w:val="21"/>
        </w:rPr>
      </w:pPr>
    </w:p>
    <w:p w14:paraId="1343BFD5">
      <w:pPr>
        <w:rPr>
          <w:rFonts w:ascii="Arial" w:hAnsi="Arial" w:eastAsia="Arial" w:cs="Arial"/>
          <w:sz w:val="21"/>
          <w:szCs w:val="21"/>
        </w:rPr>
        <w:sectPr>
          <w:footerReference r:id="rId106" w:type="default"/>
          <w:pgSz w:w="11906" w:h="16839"/>
          <w:pgMar w:top="400" w:right="1410" w:bottom="1240" w:left="1579" w:header="0" w:footer="1078" w:gutter="0"/>
          <w:cols w:space="720" w:num="1"/>
        </w:sectPr>
      </w:pPr>
    </w:p>
    <w:p w14:paraId="47837563">
      <w:pPr>
        <w:spacing w:before="56"/>
      </w:pPr>
    </w:p>
    <w:p w14:paraId="064E3CCD">
      <w:pPr>
        <w:spacing w:before="56"/>
      </w:pPr>
    </w:p>
    <w:p w14:paraId="50487CC2">
      <w:pPr>
        <w:spacing w:before="55"/>
      </w:pPr>
    </w:p>
    <w:p w14:paraId="254B18F4">
      <w:pPr>
        <w:spacing w:before="55"/>
      </w:pPr>
    </w:p>
    <w:tbl>
      <w:tblPr>
        <w:tblStyle w:val="5"/>
        <w:tblW w:w="890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86"/>
        <w:gridCol w:w="8415"/>
      </w:tblGrid>
      <w:tr w14:paraId="3EFE3D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486" w:type="dxa"/>
            <w:tcBorders>
              <w:right w:val="single" w:color="000000" w:sz="2" w:space="0"/>
            </w:tcBorders>
            <w:vAlign w:val="top"/>
          </w:tcPr>
          <w:p w14:paraId="09D359F7">
            <w:pPr>
              <w:rPr>
                <w:rFonts w:ascii="Arial"/>
                <w:sz w:val="21"/>
              </w:rPr>
            </w:pPr>
          </w:p>
        </w:tc>
        <w:tc>
          <w:tcPr>
            <w:tcW w:w="8415" w:type="dxa"/>
            <w:tcBorders>
              <w:left w:val="single" w:color="000000" w:sz="2" w:space="0"/>
            </w:tcBorders>
            <w:vAlign w:val="top"/>
          </w:tcPr>
          <w:p w14:paraId="6F94B936">
            <w:pPr>
              <w:pStyle w:val="6"/>
              <w:spacing w:before="40" w:line="359" w:lineRule="auto"/>
              <w:ind w:left="107" w:right="102"/>
            </w:pPr>
            <w:r>
              <w:rPr>
                <w:spacing w:val="-2"/>
              </w:rPr>
              <w:t>产技术规程》（</w:t>
            </w:r>
            <w:r>
              <w:rPr>
                <w:rFonts w:ascii="Times New Roman" w:hAnsi="Times New Roman" w:eastAsia="Times New Roman" w:cs="Times New Roman"/>
                <w:spacing w:val="-2"/>
              </w:rPr>
              <w:t>SY/T5225-2019</w:t>
            </w:r>
            <w:r>
              <w:rPr>
                <w:spacing w:val="-2"/>
              </w:rPr>
              <w:t>）中的相应规定执行。井场电器设</w:t>
            </w:r>
            <w:r>
              <w:rPr>
                <w:spacing w:val="-3"/>
              </w:rPr>
              <w:t>备、照明器具</w:t>
            </w:r>
            <w:r>
              <w:rPr>
                <w:spacing w:val="1"/>
              </w:rPr>
              <w:t>及输电线路的安装应符合技术规程中的相应规定。柴油机排气管应无破漏和积炭，并有冷却灭火装置。定期检查和维护所有设备（尤其是柴油机、发电机、</w:t>
            </w:r>
            <w:r>
              <w:rPr>
                <w:spacing w:val="-1"/>
              </w:rPr>
              <w:t>钻井泥浆泵、液压系统</w:t>
            </w:r>
            <w:r>
              <w:rPr>
                <w:spacing w:val="12"/>
              </w:rPr>
              <w:t>），</w:t>
            </w:r>
            <w:r>
              <w:rPr>
                <w:spacing w:val="-1"/>
              </w:rPr>
              <w:t>防止油料泄漏、电气短路、过热或机械摩擦火</w:t>
            </w:r>
            <w:r>
              <w:rPr>
                <w:spacing w:val="-2"/>
              </w:rPr>
              <w:t>花。</w:t>
            </w:r>
          </w:p>
          <w:p w14:paraId="2FE5197B">
            <w:pPr>
              <w:pStyle w:val="6"/>
              <w:spacing w:before="1" w:line="359" w:lineRule="auto"/>
              <w:ind w:left="107" w:right="22" w:firstLine="480"/>
              <w:jc w:val="both"/>
            </w:pPr>
            <w:r>
              <w:rPr>
                <w:spacing w:val="1"/>
              </w:rPr>
              <w:t>在关键区域（井口、钻台、钻井泥浆循环罐区、发电房、司钻房、油罐区等）安装可靠的可燃气体探测器、有毒气体探测器等。探测器信号应接入中央</w:t>
            </w:r>
            <w:r>
              <w:rPr>
                <w:spacing w:val="-4"/>
              </w:rPr>
              <w:t>控制室（司钻房）并设置声光报警。定期测试和维护探测系统，确保其有效性。</w:t>
            </w:r>
          </w:p>
          <w:p w14:paraId="04643100">
            <w:pPr>
              <w:pStyle w:val="6"/>
              <w:spacing w:line="359" w:lineRule="auto"/>
              <w:ind w:left="107" w:right="102" w:firstLine="480"/>
              <w:jc w:val="both"/>
            </w:pPr>
            <w:r>
              <w:rPr>
                <w:spacing w:val="1"/>
              </w:rPr>
              <w:t>健全应急预案，制定详细、针对性强、可操作的火灾专项应急预案和现场应急处置方案。涵盖不同类型火灾（井口、设备、生活区、油罐等）的处置流程。明确应急组织架构、职责分工、报警程序、疏散路线、集合点、关键应急操作。在关键位置（井口、钻台、钻井泥浆循环罐区、发电房、生活区、油罐区等）配备足够数量和合适类型的灭火器，并定期检查维护。现场人员必须接</w:t>
            </w:r>
            <w:r>
              <w:t>受消防安全意识、火灾风险识别、灭火器使用、应急疏</w:t>
            </w:r>
            <w:r>
              <w:rPr>
                <w:spacing w:val="-1"/>
              </w:rPr>
              <w:t>散、报警程序等培训。</w:t>
            </w:r>
          </w:p>
          <w:p w14:paraId="4B0A4BE0">
            <w:pPr>
              <w:pStyle w:val="6"/>
              <w:spacing w:before="1" w:line="359" w:lineRule="auto"/>
              <w:ind w:left="108" w:right="102" w:firstLine="479"/>
              <w:jc w:val="both"/>
            </w:pPr>
            <w:r>
              <w:rPr>
                <w:spacing w:val="1"/>
              </w:rPr>
              <w:t>任何人发现火情立即大声报警并启动应急程序。首要任务是确保所有人员安全、快速撤离到安全集合点，清点人数，确认是否有人员受困。非必要</w:t>
            </w:r>
            <w:r>
              <w:t>人员</w:t>
            </w:r>
            <w:r>
              <w:rPr>
                <w:spacing w:val="1"/>
              </w:rPr>
              <w:t>远离火场。在确保自身安全的前提下，受过培训的人员使用就近灭火器材</w:t>
            </w:r>
            <w:r>
              <w:t>尝试</w:t>
            </w:r>
            <w:r>
              <w:rPr>
                <w:spacing w:val="1"/>
              </w:rPr>
              <w:t>扑灭初期小火。若火势无法控制，立即撤退。在安全评估可行的前提下，</w:t>
            </w:r>
            <w:r>
              <w:t>迅速</w:t>
            </w:r>
            <w:r>
              <w:rPr>
                <w:spacing w:val="-1"/>
              </w:rPr>
              <w:t>执行关井程序，切断燃料源是控制火势的根本。</w:t>
            </w:r>
          </w:p>
          <w:p w14:paraId="6FFB44A2">
            <w:pPr>
              <w:pStyle w:val="6"/>
              <w:spacing w:before="3" w:line="358" w:lineRule="auto"/>
              <w:ind w:left="107" w:right="22" w:firstLine="485"/>
              <w:jc w:val="both"/>
            </w:pPr>
            <w:r>
              <w:rPr>
                <w:spacing w:val="2"/>
              </w:rPr>
              <w:t>消防队到达后，在统一指挥下进行专业灭火（冷却、灭火、控制</w:t>
            </w:r>
            <w:r>
              <w:rPr>
                <w:spacing w:val="1"/>
              </w:rPr>
              <w:t>蔓延）。</w:t>
            </w:r>
            <w:r>
              <w:rPr>
                <w:spacing w:val="-4"/>
              </w:rPr>
              <w:t>对于井喷大火，通常需要专业井控公司和消防公司采用特殊技术（如水枪冷却、</w:t>
            </w:r>
            <w:r>
              <w:rPr>
                <w:spacing w:val="-1"/>
              </w:rPr>
              <w:t>清障、切割、重新引火、压井等）。</w:t>
            </w:r>
          </w:p>
          <w:p w14:paraId="67D8C5A7">
            <w:pPr>
              <w:pStyle w:val="6"/>
              <w:spacing w:line="220" w:lineRule="auto"/>
              <w:ind w:left="590"/>
            </w:pPr>
            <w:r>
              <w:rPr>
                <w:rFonts w:ascii="Times New Roman" w:hAnsi="Times New Roman" w:eastAsia="Times New Roman" w:cs="Times New Roman"/>
                <w:spacing w:val="-2"/>
              </w:rPr>
              <w:t>5</w:t>
            </w:r>
            <w:r>
              <w:rPr>
                <w:spacing w:val="-2"/>
              </w:rPr>
              <w:t>）防</w:t>
            </w:r>
            <w:r>
              <w:rPr>
                <w:spacing w:val="-53"/>
              </w:rPr>
              <w:t xml:space="preserve"> </w:t>
            </w:r>
            <w:r>
              <w:rPr>
                <w:rFonts w:ascii="Times New Roman" w:hAnsi="Times New Roman" w:eastAsia="Times New Roman" w:cs="Times New Roman"/>
                <w:spacing w:val="-2"/>
              </w:rPr>
              <w:t>H</w:t>
            </w:r>
            <w:r>
              <w:rPr>
                <w:rFonts w:ascii="Times New Roman" w:hAnsi="Times New Roman" w:eastAsia="Times New Roman" w:cs="Times New Roman"/>
                <w:spacing w:val="-2"/>
                <w:position w:val="-1"/>
                <w:sz w:val="15"/>
                <w:szCs w:val="15"/>
              </w:rPr>
              <w:t>2</w:t>
            </w:r>
            <w:r>
              <w:rPr>
                <w:rFonts w:ascii="Times New Roman" w:hAnsi="Times New Roman" w:eastAsia="Times New Roman" w:cs="Times New Roman"/>
                <w:spacing w:val="-2"/>
              </w:rPr>
              <w:t xml:space="preserve">S </w:t>
            </w:r>
            <w:r>
              <w:rPr>
                <w:spacing w:val="-2"/>
              </w:rPr>
              <w:t>措施</w:t>
            </w:r>
          </w:p>
          <w:p w14:paraId="7ABDF95B">
            <w:pPr>
              <w:pStyle w:val="6"/>
              <w:spacing w:before="184" w:line="354" w:lineRule="auto"/>
              <w:ind w:left="108" w:right="22" w:firstLine="491"/>
            </w:pPr>
            <w:r>
              <w:t>虽然本工程所在区域所钻井相同层位未发现</w:t>
            </w:r>
            <w:r>
              <w:rPr>
                <w:spacing w:val="-56"/>
              </w:rPr>
              <w:t xml:space="preserve"> </w:t>
            </w:r>
            <w:r>
              <w:rPr>
                <w:rFonts w:ascii="Times New Roman" w:hAnsi="Times New Roman" w:eastAsia="Times New Roman" w:cs="Times New Roman"/>
              </w:rPr>
              <w:t>H</w:t>
            </w:r>
            <w:r>
              <w:rPr>
                <w:rFonts w:ascii="Times New Roman" w:hAnsi="Times New Roman" w:eastAsia="Times New Roman" w:cs="Times New Roman"/>
                <w:position w:val="-1"/>
                <w:sz w:val="15"/>
                <w:szCs w:val="15"/>
              </w:rPr>
              <w:t>2</w:t>
            </w:r>
            <w:r>
              <w:rPr>
                <w:rFonts w:ascii="Times New Roman" w:hAnsi="Times New Roman" w:eastAsia="Times New Roman" w:cs="Times New Roman"/>
              </w:rPr>
              <w:t xml:space="preserve">S </w:t>
            </w:r>
            <w:r>
              <w:t>等有毒有害气</w:t>
            </w:r>
            <w:r>
              <w:rPr>
                <w:spacing w:val="-1"/>
              </w:rPr>
              <w:t>体，但考虑</w:t>
            </w:r>
            <w:r>
              <w:t>到本工程所穿地层</w:t>
            </w:r>
            <w:r>
              <w:rPr>
                <w:spacing w:val="-49"/>
              </w:rPr>
              <w:t xml:space="preserve"> </w:t>
            </w:r>
            <w:r>
              <w:rPr>
                <w:rFonts w:ascii="Times New Roman" w:hAnsi="Times New Roman" w:eastAsia="Times New Roman" w:cs="Times New Roman"/>
              </w:rPr>
              <w:t>H</w:t>
            </w:r>
            <w:r>
              <w:rPr>
                <w:rFonts w:ascii="Times New Roman" w:hAnsi="Times New Roman" w:eastAsia="Times New Roman" w:cs="Times New Roman"/>
                <w:position w:val="-1"/>
                <w:sz w:val="15"/>
                <w:szCs w:val="15"/>
              </w:rPr>
              <w:t>2</w:t>
            </w:r>
            <w:r>
              <w:rPr>
                <w:rFonts w:ascii="Times New Roman" w:hAnsi="Times New Roman" w:eastAsia="Times New Roman" w:cs="Times New Roman"/>
              </w:rPr>
              <w:t xml:space="preserve">S </w:t>
            </w:r>
            <w:r>
              <w:t>含量的不确定性，项目仍参照执行《硫化氢环境钻井场</w:t>
            </w:r>
            <w:r>
              <w:rPr>
                <w:spacing w:val="-6"/>
              </w:rPr>
              <w:t>所作业安全规范》（</w:t>
            </w:r>
            <w:r>
              <w:rPr>
                <w:rFonts w:ascii="Times New Roman" w:hAnsi="Times New Roman" w:eastAsia="Times New Roman" w:cs="Times New Roman"/>
                <w:spacing w:val="-6"/>
              </w:rPr>
              <w:t>SY/T5087-2017</w:t>
            </w:r>
            <w:r>
              <w:rPr>
                <w:spacing w:val="-6"/>
              </w:rPr>
              <w:t>）行业规范中规定的防</w:t>
            </w:r>
            <w:r>
              <w:rPr>
                <w:spacing w:val="-56"/>
              </w:rPr>
              <w:t xml:space="preserve"> </w:t>
            </w:r>
            <w:r>
              <w:rPr>
                <w:rFonts w:ascii="Times New Roman" w:hAnsi="Times New Roman" w:eastAsia="Times New Roman" w:cs="Times New Roman"/>
                <w:spacing w:val="-6"/>
              </w:rPr>
              <w:t>H</w:t>
            </w:r>
            <w:r>
              <w:rPr>
                <w:rFonts w:ascii="Times New Roman" w:hAnsi="Times New Roman" w:eastAsia="Times New Roman" w:cs="Times New Roman"/>
                <w:spacing w:val="-6"/>
                <w:position w:val="-1"/>
                <w:sz w:val="15"/>
                <w:szCs w:val="15"/>
              </w:rPr>
              <w:t>2</w:t>
            </w:r>
            <w:r>
              <w:rPr>
                <w:rFonts w:ascii="Times New Roman" w:hAnsi="Times New Roman" w:eastAsia="Times New Roman" w:cs="Times New Roman"/>
                <w:spacing w:val="-6"/>
              </w:rPr>
              <w:t>S</w:t>
            </w:r>
            <w:r>
              <w:rPr>
                <w:rFonts w:ascii="Times New Roman" w:hAnsi="Times New Roman" w:eastAsia="Times New Roman" w:cs="Times New Roman"/>
                <w:spacing w:val="-7"/>
              </w:rPr>
              <w:t xml:space="preserve"> </w:t>
            </w:r>
            <w:r>
              <w:rPr>
                <w:spacing w:val="-7"/>
              </w:rPr>
              <w:t>措施：在井架上、</w:t>
            </w:r>
            <w:r>
              <w:rPr>
                <w:spacing w:val="1"/>
              </w:rPr>
              <w:t>井场盛行风入口处等地应设置风向标，一旦发生紧急情况，作业人员可向</w:t>
            </w:r>
            <w:r>
              <w:t>上风</w:t>
            </w:r>
            <w:r>
              <w:rPr>
                <w:spacing w:val="1"/>
              </w:rPr>
              <w:t>方向疏散。钻台上下、振动筛、循环罐等气体易聚积的场所设置固定式气</w:t>
            </w:r>
            <w:r>
              <w:t>体报</w:t>
            </w:r>
            <w:r>
              <w:rPr>
                <w:spacing w:val="1"/>
              </w:rPr>
              <w:t>警装置，并按规定配备便携式有毒有害气体检测仪和防护器具，做到人人</w:t>
            </w:r>
            <w:r>
              <w:t>会使</w:t>
            </w:r>
            <w:r>
              <w:rPr>
                <w:spacing w:val="1"/>
              </w:rPr>
              <w:t>用、会维护、会检查，同时安装防爆排风扇以驱散工作场所弥漫的有害、</w:t>
            </w:r>
            <w:r>
              <w:t>可燃</w:t>
            </w:r>
          </w:p>
        </w:tc>
      </w:tr>
    </w:tbl>
    <w:p w14:paraId="466C6DCF">
      <w:pPr>
        <w:rPr>
          <w:rFonts w:ascii="Arial"/>
          <w:sz w:val="21"/>
        </w:rPr>
      </w:pPr>
    </w:p>
    <w:p w14:paraId="7CE43C9F">
      <w:pPr>
        <w:rPr>
          <w:rFonts w:ascii="Arial" w:hAnsi="Arial" w:eastAsia="Arial" w:cs="Arial"/>
          <w:sz w:val="21"/>
          <w:szCs w:val="21"/>
        </w:rPr>
        <w:sectPr>
          <w:footerReference r:id="rId107" w:type="default"/>
          <w:pgSz w:w="11906" w:h="16839"/>
          <w:pgMar w:top="400" w:right="1410" w:bottom="1240" w:left="1579" w:header="0" w:footer="1078" w:gutter="0"/>
          <w:cols w:space="720" w:num="1"/>
        </w:sectPr>
      </w:pPr>
    </w:p>
    <w:p w14:paraId="50465572">
      <w:pPr>
        <w:spacing w:before="56"/>
      </w:pPr>
    </w:p>
    <w:p w14:paraId="39B7B3E9">
      <w:pPr>
        <w:spacing w:before="56"/>
      </w:pPr>
    </w:p>
    <w:p w14:paraId="0CADA5DB">
      <w:pPr>
        <w:spacing w:before="55"/>
      </w:pPr>
    </w:p>
    <w:p w14:paraId="17A4B15B">
      <w:pPr>
        <w:spacing w:before="55"/>
      </w:pPr>
    </w:p>
    <w:tbl>
      <w:tblPr>
        <w:tblStyle w:val="5"/>
        <w:tblW w:w="890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86"/>
        <w:gridCol w:w="8415"/>
      </w:tblGrid>
      <w:tr w14:paraId="113406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486" w:type="dxa"/>
            <w:tcBorders>
              <w:right w:val="single" w:color="000000" w:sz="2" w:space="0"/>
            </w:tcBorders>
            <w:vAlign w:val="top"/>
          </w:tcPr>
          <w:p w14:paraId="66687F08">
            <w:pPr>
              <w:rPr>
                <w:rFonts w:ascii="Arial"/>
                <w:sz w:val="21"/>
              </w:rPr>
            </w:pPr>
          </w:p>
        </w:tc>
        <w:tc>
          <w:tcPr>
            <w:tcW w:w="8415" w:type="dxa"/>
            <w:tcBorders>
              <w:left w:val="single" w:color="000000" w:sz="2" w:space="0"/>
            </w:tcBorders>
            <w:vAlign w:val="top"/>
          </w:tcPr>
          <w:p w14:paraId="4A8F85D5">
            <w:pPr>
              <w:pStyle w:val="6"/>
              <w:spacing w:before="39" w:line="221" w:lineRule="auto"/>
              <w:ind w:left="109"/>
            </w:pPr>
            <w:r>
              <w:rPr>
                <w:spacing w:val="-4"/>
              </w:rPr>
              <w:t>气体。</w:t>
            </w:r>
          </w:p>
          <w:p w14:paraId="2550F49F">
            <w:pPr>
              <w:pStyle w:val="6"/>
              <w:spacing w:before="181" w:line="220" w:lineRule="auto"/>
              <w:ind w:left="599"/>
            </w:pPr>
            <w:r>
              <w:rPr>
                <w:spacing w:val="-2"/>
              </w:rPr>
              <w:t>（</w:t>
            </w:r>
            <w:r>
              <w:rPr>
                <w:rFonts w:ascii="Times New Roman" w:hAnsi="Times New Roman" w:eastAsia="Times New Roman" w:cs="Times New Roman"/>
                <w:spacing w:val="-2"/>
              </w:rPr>
              <w:t>2</w:t>
            </w:r>
            <w:r>
              <w:rPr>
                <w:spacing w:val="-2"/>
              </w:rPr>
              <w:t>）原油泄漏事故防治措施</w:t>
            </w:r>
          </w:p>
          <w:p w14:paraId="7BE6EEAE">
            <w:pPr>
              <w:pStyle w:val="6"/>
              <w:spacing w:before="179" w:line="359" w:lineRule="auto"/>
              <w:ind w:left="110" w:right="102" w:firstLine="481"/>
            </w:pPr>
            <w:r>
              <w:rPr>
                <w:spacing w:val="2"/>
              </w:rPr>
              <w:t>项目储液罐区设置</w:t>
            </w:r>
            <w:r>
              <w:rPr>
                <w:spacing w:val="-48"/>
              </w:rPr>
              <w:t xml:space="preserve"> </w:t>
            </w:r>
            <w:r>
              <w:rPr>
                <w:rFonts w:ascii="Times New Roman" w:hAnsi="Times New Roman" w:eastAsia="Times New Roman" w:cs="Times New Roman"/>
                <w:spacing w:val="2"/>
              </w:rPr>
              <w:t>20</w:t>
            </w:r>
            <w:r>
              <w:rPr>
                <w:rFonts w:ascii="Times New Roman" w:hAnsi="Times New Roman" w:eastAsia="Times New Roman" w:cs="Times New Roman"/>
              </w:rPr>
              <w:t>cm</w:t>
            </w:r>
            <w:r>
              <w:rPr>
                <w:rFonts w:ascii="Times New Roman" w:hAnsi="Times New Roman" w:eastAsia="Times New Roman" w:cs="Times New Roman"/>
                <w:spacing w:val="21"/>
                <w:w w:val="101"/>
              </w:rPr>
              <w:t xml:space="preserve"> </w:t>
            </w:r>
            <w:r>
              <w:rPr>
                <w:spacing w:val="2"/>
              </w:rPr>
              <w:t>高围堰，围堰内铺设防渗膜，可以有效收集储液</w:t>
            </w:r>
            <w:r>
              <w:rPr>
                <w:spacing w:val="-2"/>
              </w:rPr>
              <w:t>罐泄漏原油。</w:t>
            </w:r>
          </w:p>
          <w:p w14:paraId="1E77E028">
            <w:pPr>
              <w:pStyle w:val="6"/>
              <w:spacing w:line="219" w:lineRule="auto"/>
              <w:ind w:left="599"/>
            </w:pPr>
            <w:r>
              <w:rPr>
                <w:spacing w:val="-2"/>
              </w:rPr>
              <w:t>（</w:t>
            </w:r>
            <w:r>
              <w:rPr>
                <w:rFonts w:ascii="Times New Roman" w:hAnsi="Times New Roman" w:eastAsia="Times New Roman" w:cs="Times New Roman"/>
                <w:spacing w:val="-2"/>
              </w:rPr>
              <w:t>3</w:t>
            </w:r>
            <w:r>
              <w:rPr>
                <w:spacing w:val="-2"/>
              </w:rPr>
              <w:t>）试油过程原油输送管线防控措施</w:t>
            </w:r>
          </w:p>
          <w:p w14:paraId="2D60BBD5">
            <w:pPr>
              <w:pStyle w:val="6"/>
              <w:spacing w:before="183" w:line="359" w:lineRule="auto"/>
              <w:ind w:left="109" w:right="102" w:firstLine="484"/>
            </w:pPr>
            <w:r>
              <w:rPr>
                <w:spacing w:val="1"/>
              </w:rPr>
              <w:t>管线敷设前，应加强对管材和焊接质量的检查，严禁使用不</w:t>
            </w:r>
            <w:r>
              <w:t>合格产品。对</w:t>
            </w:r>
            <w:r>
              <w:rPr>
                <w:spacing w:val="-1"/>
              </w:rPr>
              <w:t>焊接质量严格检验，防止焊接缺陷造成泄漏事故的发生。</w:t>
            </w:r>
          </w:p>
          <w:p w14:paraId="012486AD">
            <w:pPr>
              <w:pStyle w:val="6"/>
              <w:spacing w:line="359" w:lineRule="auto"/>
              <w:ind w:left="114" w:right="102" w:firstLine="473"/>
            </w:pPr>
            <w:r>
              <w:rPr>
                <w:spacing w:val="1"/>
              </w:rPr>
              <w:t>输油管线下方铺设防油防渗膜，一旦管线泄漏可有效收集泄漏的原油，并</w:t>
            </w:r>
            <w:r>
              <w:rPr>
                <w:spacing w:val="-1"/>
              </w:rPr>
              <w:t>定期检查管道防渗膜是否完整，在发生泄漏事故时能够及时处理；</w:t>
            </w:r>
          </w:p>
          <w:p w14:paraId="2B7192C1">
            <w:pPr>
              <w:pStyle w:val="6"/>
              <w:spacing w:line="359" w:lineRule="auto"/>
              <w:ind w:left="108" w:right="102" w:firstLine="480"/>
            </w:pPr>
            <w:r>
              <w:rPr>
                <w:spacing w:val="1"/>
              </w:rPr>
              <w:t>若发生泄漏：在管道发生断裂、漏油事故时，按顺序停泵或关井。抢修队</w:t>
            </w:r>
            <w:r>
              <w:t>根据现场情况及时抢修，做好安全防范工作，把</w:t>
            </w:r>
            <w:r>
              <w:rPr>
                <w:spacing w:val="-1"/>
              </w:rPr>
              <w:t>损失控制在最小范围内。</w:t>
            </w:r>
          </w:p>
          <w:p w14:paraId="5BE25774">
            <w:pPr>
              <w:pStyle w:val="6"/>
              <w:spacing w:before="2" w:line="359" w:lineRule="auto"/>
              <w:ind w:left="107" w:right="102" w:firstLine="489"/>
              <w:jc w:val="both"/>
            </w:pPr>
            <w:r>
              <w:rPr>
                <w:spacing w:val="1"/>
              </w:rPr>
              <w:t>收泄漏原油：将防渗膜收集的泄漏原油回收，若泄漏扩</w:t>
            </w:r>
            <w:r>
              <w:t>大，防渗膜不能完</w:t>
            </w:r>
            <w:r>
              <w:rPr>
                <w:spacing w:val="1"/>
              </w:rPr>
              <w:t>全收集泄漏原油，首先限制地表污染的扩大。油受重力和地形的控制，会流向低洼地带，应尽量防止泄漏石油移动。在现场挖土安装集油装置，利用防爆型油泵或隔膜泵将泄漏的油品抽入桶内或槽车内进行收集回收，同时交通运输组调集足够数量的油罐车到达现场。造成的污染建设单位应根据《污染地块土壤</w:t>
            </w:r>
            <w:r>
              <w:rPr>
                <w:spacing w:val="-3"/>
              </w:rPr>
              <w:t>环境管理办法（试行）》（中华人民共和国环境保护部令第</w:t>
            </w:r>
            <w:r>
              <w:rPr>
                <w:spacing w:val="-57"/>
              </w:rPr>
              <w:t xml:space="preserve"> </w:t>
            </w:r>
            <w:r>
              <w:rPr>
                <w:rFonts w:ascii="Times New Roman" w:hAnsi="Times New Roman" w:eastAsia="Times New Roman" w:cs="Times New Roman"/>
                <w:spacing w:val="-3"/>
              </w:rPr>
              <w:t>42</w:t>
            </w:r>
            <w:r>
              <w:rPr>
                <w:rFonts w:ascii="Times New Roman" w:hAnsi="Times New Roman" w:eastAsia="Times New Roman" w:cs="Times New Roman"/>
                <w:spacing w:val="15"/>
                <w:w w:val="101"/>
              </w:rPr>
              <w:t xml:space="preserve"> </w:t>
            </w:r>
            <w:r>
              <w:rPr>
                <w:spacing w:val="-3"/>
              </w:rPr>
              <w:t>号）确定责任权</w:t>
            </w:r>
            <w:r>
              <w:t>属，对污染地块开展环境调查与风险评估，根据风险评</w:t>
            </w:r>
            <w:r>
              <w:rPr>
                <w:spacing w:val="-1"/>
              </w:rPr>
              <w:t>估报告开展相应工作。</w:t>
            </w:r>
          </w:p>
          <w:p w14:paraId="780855A8">
            <w:pPr>
              <w:pStyle w:val="6"/>
              <w:spacing w:line="219" w:lineRule="auto"/>
              <w:ind w:left="599"/>
            </w:pPr>
            <w:r>
              <w:rPr>
                <w:spacing w:val="-2"/>
              </w:rPr>
              <w:t>（</w:t>
            </w:r>
            <w:r>
              <w:rPr>
                <w:rFonts w:ascii="Times New Roman" w:hAnsi="Times New Roman" w:eastAsia="Times New Roman" w:cs="Times New Roman"/>
                <w:spacing w:val="-2"/>
              </w:rPr>
              <w:t>4</w:t>
            </w:r>
            <w:r>
              <w:rPr>
                <w:spacing w:val="-2"/>
              </w:rPr>
              <w:t>）柴油储罐环境风险防范措施</w:t>
            </w:r>
          </w:p>
          <w:p w14:paraId="5EF4E9CA">
            <w:pPr>
              <w:pStyle w:val="6"/>
              <w:spacing w:before="181" w:line="359" w:lineRule="auto"/>
              <w:ind w:left="112" w:right="102" w:firstLine="480"/>
            </w:pPr>
            <w:r>
              <w:rPr>
                <w:spacing w:val="2"/>
              </w:rPr>
              <w:t>泄漏防范措施：柴油罐区设置防渗膜，并设置</w:t>
            </w:r>
            <w:r>
              <w:rPr>
                <w:spacing w:val="-48"/>
              </w:rPr>
              <w:t xml:space="preserve"> </w:t>
            </w:r>
            <w:r>
              <w:rPr>
                <w:rFonts w:ascii="Times New Roman" w:hAnsi="Times New Roman" w:eastAsia="Times New Roman" w:cs="Times New Roman"/>
                <w:spacing w:val="2"/>
              </w:rPr>
              <w:t>20</w:t>
            </w:r>
            <w:r>
              <w:rPr>
                <w:rFonts w:ascii="Times New Roman" w:hAnsi="Times New Roman" w:eastAsia="Times New Roman" w:cs="Times New Roman"/>
              </w:rPr>
              <w:t>cm</w:t>
            </w:r>
            <w:r>
              <w:rPr>
                <w:rFonts w:ascii="Times New Roman" w:hAnsi="Times New Roman" w:eastAsia="Times New Roman" w:cs="Times New Roman"/>
                <w:spacing w:val="21"/>
                <w:w w:val="101"/>
              </w:rPr>
              <w:t xml:space="preserve"> </w:t>
            </w:r>
            <w:r>
              <w:rPr>
                <w:spacing w:val="2"/>
              </w:rPr>
              <w:t>高围堰，有效收集柴</w:t>
            </w:r>
            <w:r>
              <w:rPr>
                <w:spacing w:val="-2"/>
              </w:rPr>
              <w:t>油罐泄漏液体。</w:t>
            </w:r>
          </w:p>
          <w:p w14:paraId="2CA28703">
            <w:pPr>
              <w:pStyle w:val="6"/>
              <w:spacing w:line="360" w:lineRule="auto"/>
              <w:ind w:left="111" w:right="102" w:firstLine="478"/>
            </w:pPr>
            <w:r>
              <w:rPr>
                <w:spacing w:val="1"/>
              </w:rPr>
              <w:t>燃料管理：根据各种油品性能加以安全控制；采用通风等方法，去除油品</w:t>
            </w:r>
            <w:r>
              <w:rPr>
                <w:spacing w:val="-1"/>
              </w:rPr>
              <w:t>蒸汽；加强检测，将油品蒸汽控制在爆炸下限之内。</w:t>
            </w:r>
          </w:p>
          <w:p w14:paraId="77A08C12">
            <w:pPr>
              <w:pStyle w:val="6"/>
              <w:spacing w:line="358" w:lineRule="auto"/>
              <w:ind w:left="136" w:right="102" w:firstLine="453"/>
            </w:pPr>
            <w:r>
              <w:rPr>
                <w:spacing w:val="1"/>
              </w:rPr>
              <w:t>火源管理：防止摩擦、撞击等机械引火源；控制高温物体着火源，化</w:t>
            </w:r>
            <w:r>
              <w:t>学及</w:t>
            </w:r>
            <w:r>
              <w:rPr>
                <w:spacing w:val="-7"/>
              </w:rPr>
              <w:t>电器着火源。</w:t>
            </w:r>
          </w:p>
          <w:p w14:paraId="781801B6">
            <w:pPr>
              <w:pStyle w:val="6"/>
              <w:spacing w:line="359" w:lineRule="auto"/>
              <w:ind w:left="108" w:right="102" w:firstLine="479"/>
            </w:pPr>
            <w:r>
              <w:rPr>
                <w:spacing w:val="1"/>
              </w:rPr>
              <w:t>储油设备安全管理：根据国家相关规定，对设备进行分级；根据分级要求</w:t>
            </w:r>
            <w:r>
              <w:rPr>
                <w:spacing w:val="-1"/>
              </w:rPr>
              <w:t>确定检查频率并记录保存；建立完善的消防系统。</w:t>
            </w:r>
          </w:p>
          <w:p w14:paraId="44B5E1F7">
            <w:pPr>
              <w:pStyle w:val="6"/>
              <w:spacing w:before="2" w:line="217" w:lineRule="auto"/>
              <w:ind w:left="603"/>
            </w:pPr>
            <w:r>
              <w:rPr>
                <w:spacing w:val="-1"/>
              </w:rPr>
              <w:t>防爆：油罐顶设安全膜等防爆装置；防爆检测和报警系统。</w:t>
            </w:r>
          </w:p>
          <w:p w14:paraId="189EDA23">
            <w:pPr>
              <w:pStyle w:val="6"/>
              <w:spacing w:before="184" w:line="219" w:lineRule="auto"/>
              <w:ind w:left="588"/>
            </w:pPr>
            <w:r>
              <w:rPr>
                <w:spacing w:val="1"/>
              </w:rPr>
              <w:t>抗静电：油罐设备接地要良好，要设永久性接地装置，油罐内禁止安装金</w:t>
            </w:r>
          </w:p>
        </w:tc>
      </w:tr>
    </w:tbl>
    <w:p w14:paraId="71A68EA9">
      <w:pPr>
        <w:rPr>
          <w:rFonts w:ascii="Arial"/>
          <w:sz w:val="21"/>
        </w:rPr>
      </w:pPr>
    </w:p>
    <w:p w14:paraId="14A47CEC">
      <w:pPr>
        <w:rPr>
          <w:rFonts w:ascii="Arial" w:hAnsi="Arial" w:eastAsia="Arial" w:cs="Arial"/>
          <w:sz w:val="21"/>
          <w:szCs w:val="21"/>
        </w:rPr>
        <w:sectPr>
          <w:footerReference r:id="rId108" w:type="default"/>
          <w:pgSz w:w="11906" w:h="16839"/>
          <w:pgMar w:top="400" w:right="1410" w:bottom="1240" w:left="1579" w:header="0" w:footer="1078" w:gutter="0"/>
          <w:cols w:space="720" w:num="1"/>
        </w:sectPr>
      </w:pPr>
    </w:p>
    <w:p w14:paraId="5B4F7212">
      <w:pPr>
        <w:spacing w:before="56"/>
      </w:pPr>
    </w:p>
    <w:p w14:paraId="65E651ED">
      <w:pPr>
        <w:spacing w:before="56"/>
      </w:pPr>
    </w:p>
    <w:p w14:paraId="36A1D97E">
      <w:pPr>
        <w:spacing w:before="55"/>
      </w:pPr>
    </w:p>
    <w:p w14:paraId="2967B337">
      <w:pPr>
        <w:spacing w:before="55"/>
      </w:pPr>
    </w:p>
    <w:tbl>
      <w:tblPr>
        <w:tblStyle w:val="5"/>
        <w:tblW w:w="890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86"/>
        <w:gridCol w:w="8415"/>
      </w:tblGrid>
      <w:tr w14:paraId="64F0C6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486" w:type="dxa"/>
            <w:tcBorders>
              <w:right w:val="single" w:color="000000" w:sz="2" w:space="0"/>
            </w:tcBorders>
            <w:vAlign w:val="top"/>
          </w:tcPr>
          <w:p w14:paraId="3B659F1E">
            <w:pPr>
              <w:rPr>
                <w:rFonts w:ascii="Arial"/>
                <w:sz w:val="21"/>
              </w:rPr>
            </w:pPr>
          </w:p>
        </w:tc>
        <w:tc>
          <w:tcPr>
            <w:tcW w:w="8415" w:type="dxa"/>
            <w:tcBorders>
              <w:left w:val="single" w:color="000000" w:sz="2" w:space="0"/>
            </w:tcBorders>
            <w:vAlign w:val="top"/>
          </w:tcPr>
          <w:p w14:paraId="2A626873">
            <w:pPr>
              <w:pStyle w:val="6"/>
              <w:spacing w:before="39" w:line="219" w:lineRule="auto"/>
              <w:ind w:left="110"/>
            </w:pPr>
            <w:r>
              <w:rPr>
                <w:spacing w:val="-1"/>
              </w:rPr>
              <w:t>属突出物；作业人员要穿戴抗静工作服和导电性能好的工作鞋等。</w:t>
            </w:r>
          </w:p>
          <w:p w14:paraId="2AF84D07">
            <w:pPr>
              <w:pStyle w:val="6"/>
              <w:spacing w:before="182" w:line="359" w:lineRule="auto"/>
              <w:ind w:left="107" w:right="22" w:firstLine="486"/>
              <w:jc w:val="both"/>
            </w:pPr>
            <w:r>
              <w:rPr>
                <w:spacing w:val="-4"/>
              </w:rPr>
              <w:t>另外，柴油储罐设置在井场主导风向下风向</w:t>
            </w:r>
            <w:r>
              <w:rPr>
                <w:spacing w:val="-5"/>
              </w:rPr>
              <w:t>，与井口的距离不得小于</w:t>
            </w:r>
            <w:r>
              <w:rPr>
                <w:spacing w:val="-49"/>
              </w:rPr>
              <w:t xml:space="preserve"> </w:t>
            </w:r>
            <w:r>
              <w:rPr>
                <w:rFonts w:ascii="Times New Roman" w:hAnsi="Times New Roman" w:eastAsia="Times New Roman" w:cs="Times New Roman"/>
                <w:spacing w:val="-5"/>
              </w:rPr>
              <w:t>50m</w:t>
            </w:r>
            <w:r>
              <w:rPr>
                <w:spacing w:val="-5"/>
              </w:rPr>
              <w:t>。</w:t>
            </w:r>
            <w:r>
              <w:rPr>
                <w:spacing w:val="1"/>
              </w:rPr>
              <w:t>在井架上、井场路口等处设置风向标，以便发生事故时人员能迅速向上风向疏</w:t>
            </w:r>
            <w:r>
              <w:rPr>
                <w:spacing w:val="-5"/>
              </w:rPr>
              <w:t>散。</w:t>
            </w:r>
          </w:p>
          <w:p w14:paraId="44239E7D">
            <w:pPr>
              <w:pStyle w:val="6"/>
              <w:spacing w:line="219" w:lineRule="auto"/>
              <w:ind w:left="584"/>
            </w:pPr>
            <w:r>
              <w:rPr>
                <w:rFonts w:ascii="Times New Roman" w:hAnsi="Times New Roman" w:eastAsia="Times New Roman" w:cs="Times New Roman"/>
                <w:spacing w:val="-3"/>
              </w:rPr>
              <w:t>2</w:t>
            </w:r>
            <w:r>
              <w:rPr>
                <w:rFonts w:ascii="Times New Roman" w:hAnsi="Times New Roman" w:eastAsia="Times New Roman" w:cs="Times New Roman"/>
                <w:spacing w:val="-34"/>
              </w:rPr>
              <w:t xml:space="preserve"> </w:t>
            </w:r>
            <w:r>
              <w:rPr>
                <w:spacing w:val="-3"/>
              </w:rPr>
              <w:t>、地下水环境风险防范</w:t>
            </w:r>
          </w:p>
          <w:p w14:paraId="3040AD09">
            <w:pPr>
              <w:pStyle w:val="6"/>
              <w:spacing w:before="182" w:line="220" w:lineRule="auto"/>
              <w:ind w:left="599"/>
            </w:pPr>
            <w:r>
              <w:rPr>
                <w:spacing w:val="-3"/>
              </w:rPr>
              <w:t>（</w:t>
            </w:r>
            <w:r>
              <w:rPr>
                <w:rFonts w:ascii="Times New Roman" w:hAnsi="Times New Roman" w:eastAsia="Times New Roman" w:cs="Times New Roman"/>
                <w:spacing w:val="-3"/>
              </w:rPr>
              <w:t>1</w:t>
            </w:r>
            <w:r>
              <w:rPr>
                <w:spacing w:val="-3"/>
              </w:rPr>
              <w:t>）井漏防范措施</w:t>
            </w:r>
          </w:p>
          <w:p w14:paraId="25F2A554">
            <w:pPr>
              <w:pStyle w:val="6"/>
              <w:spacing w:before="180" w:line="360" w:lineRule="auto"/>
              <w:ind w:left="107" w:right="22" w:firstLine="480"/>
            </w:pPr>
            <w:r>
              <w:rPr>
                <w:spacing w:val="-4"/>
              </w:rPr>
              <w:t>在施工过程中对井漏应坚持预防为主的原则，主要包括避开复杂地质环境、</w:t>
            </w:r>
            <w:r>
              <w:t>选用和维持较低的井筒内钻井介质压力、提高地层</w:t>
            </w:r>
            <w:r>
              <w:rPr>
                <w:spacing w:val="-1"/>
              </w:rPr>
              <w:t>承压能力等防范措施：</w:t>
            </w:r>
          </w:p>
          <w:p w14:paraId="524D6C0A">
            <w:pPr>
              <w:pStyle w:val="6"/>
              <w:spacing w:line="358" w:lineRule="auto"/>
              <w:ind w:left="110" w:right="102" w:firstLine="496"/>
            </w:pPr>
            <w:r>
              <w:rPr>
                <w:rFonts w:ascii="Times New Roman" w:hAnsi="Times New Roman" w:eastAsia="Times New Roman" w:cs="Times New Roman"/>
                <w:spacing w:val="-3"/>
              </w:rPr>
              <w:t>1</w:t>
            </w:r>
            <w:r>
              <w:rPr>
                <w:spacing w:val="-3"/>
              </w:rPr>
              <w:t>）在保证钻井泥浆能携带钻屑的前提下，尽可能降低钻井</w:t>
            </w:r>
            <w:r>
              <w:rPr>
                <w:spacing w:val="-4"/>
              </w:rPr>
              <w:t>泥浆粘度，提高</w:t>
            </w:r>
            <w:r>
              <w:rPr>
                <w:spacing w:val="-1"/>
              </w:rPr>
              <w:t>泥饼质量，防止因井壁泥饼较厚起环空间隙较小，导致环空压耗增大。</w:t>
            </w:r>
          </w:p>
          <w:p w14:paraId="0C6E6862">
            <w:pPr>
              <w:pStyle w:val="6"/>
              <w:spacing w:before="3" w:line="359" w:lineRule="auto"/>
              <w:ind w:left="114" w:right="84" w:firstLine="469"/>
            </w:pPr>
            <w:r>
              <w:rPr>
                <w:rFonts w:ascii="Times New Roman" w:hAnsi="Times New Roman" w:eastAsia="Times New Roman" w:cs="Times New Roman"/>
                <w:spacing w:val="-2"/>
              </w:rPr>
              <w:t>2</w:t>
            </w:r>
            <w:r>
              <w:rPr>
                <w:spacing w:val="-2"/>
              </w:rPr>
              <w:t>）在钻井过程中，应严格按照正确的程序操作进行钻井，禁止违规操作，并及时下套管封固井身。</w:t>
            </w:r>
          </w:p>
          <w:p w14:paraId="5553D2F9">
            <w:pPr>
              <w:pStyle w:val="6"/>
              <w:spacing w:line="219" w:lineRule="auto"/>
              <w:ind w:left="599"/>
            </w:pPr>
            <w:r>
              <w:rPr>
                <w:spacing w:val="-2"/>
              </w:rPr>
              <w:t>（</w:t>
            </w:r>
            <w:r>
              <w:rPr>
                <w:rFonts w:ascii="Times New Roman" w:hAnsi="Times New Roman" w:eastAsia="Times New Roman" w:cs="Times New Roman"/>
                <w:spacing w:val="-2"/>
              </w:rPr>
              <w:t>2</w:t>
            </w:r>
            <w:r>
              <w:rPr>
                <w:spacing w:val="-2"/>
              </w:rPr>
              <w:t>）地下水防止串层措施</w:t>
            </w:r>
          </w:p>
          <w:p w14:paraId="4075DECB">
            <w:pPr>
              <w:pStyle w:val="6"/>
              <w:spacing w:before="182" w:line="359" w:lineRule="auto"/>
              <w:ind w:left="107" w:right="41" w:firstLine="499"/>
            </w:pPr>
            <w:r>
              <w:rPr>
                <w:rFonts w:ascii="Times New Roman" w:hAnsi="Times New Roman" w:eastAsia="Times New Roman" w:cs="Times New Roman"/>
                <w:spacing w:val="-8"/>
              </w:rPr>
              <w:t>1</w:t>
            </w:r>
            <w:r>
              <w:rPr>
                <w:spacing w:val="-8"/>
              </w:rPr>
              <w:t>）钻井过程中使用双层套管，表层套管和油层</w:t>
            </w:r>
            <w:r>
              <w:rPr>
                <w:spacing w:val="-9"/>
              </w:rPr>
              <w:t>套管固井水泥均返至井口处，</w:t>
            </w:r>
            <w:r>
              <w:rPr>
                <w:spacing w:val="1"/>
              </w:rPr>
              <w:t>确保安全封闭此深度内的潜水层和承压水层，同时封固地表疏松地层，为井口</w:t>
            </w:r>
            <w:r>
              <w:rPr>
                <w:spacing w:val="-1"/>
              </w:rPr>
              <w:t>控制和后续完井采用预应力固井创造条件。</w:t>
            </w:r>
          </w:p>
          <w:p w14:paraId="380AF534">
            <w:pPr>
              <w:pStyle w:val="6"/>
              <w:spacing w:line="359" w:lineRule="auto"/>
              <w:ind w:left="109" w:right="84" w:firstLine="474"/>
            </w:pPr>
            <w:r>
              <w:rPr>
                <w:rFonts w:ascii="Times New Roman" w:hAnsi="Times New Roman" w:eastAsia="Times New Roman" w:cs="Times New Roman"/>
                <w:spacing w:val="-2"/>
              </w:rPr>
              <w:t>2</w:t>
            </w:r>
            <w:r>
              <w:rPr>
                <w:spacing w:val="-2"/>
              </w:rPr>
              <w:t>）钻井过程中的固井措施，一方面加固井壁，同时也有分隔地层的作用，</w:t>
            </w:r>
            <w:r>
              <w:rPr>
                <w:spacing w:val="-1"/>
              </w:rPr>
              <w:t>使各个不相联通的地层分隔开来，保持其原有的循环运移道路。</w:t>
            </w:r>
          </w:p>
          <w:p w14:paraId="1D32E699">
            <w:pPr>
              <w:pStyle w:val="6"/>
              <w:spacing w:before="2" w:line="359" w:lineRule="auto"/>
              <w:ind w:left="107" w:right="102" w:firstLine="481"/>
            </w:pPr>
            <w:r>
              <w:rPr>
                <w:rFonts w:ascii="Times New Roman" w:hAnsi="Times New Roman" w:eastAsia="Times New Roman" w:cs="Times New Roman"/>
                <w:spacing w:val="-3"/>
              </w:rPr>
              <w:t>3</w:t>
            </w:r>
            <w:r>
              <w:rPr>
                <w:spacing w:val="-3"/>
              </w:rPr>
              <w:t>）在钻井施工过程中根据地层地质结构及含水层位的不同，采取下不同深</w:t>
            </w:r>
            <w:r>
              <w:rPr>
                <w:spacing w:val="-1"/>
              </w:rPr>
              <w:t>度的套管，一般导管下至</w:t>
            </w:r>
            <w:r>
              <w:rPr>
                <w:spacing w:val="-31"/>
              </w:rPr>
              <w:t xml:space="preserve"> </w:t>
            </w:r>
            <w:r>
              <w:rPr>
                <w:rFonts w:ascii="Times New Roman" w:hAnsi="Times New Roman" w:eastAsia="Times New Roman" w:cs="Times New Roman"/>
                <w:spacing w:val="-1"/>
              </w:rPr>
              <w:t>120m</w:t>
            </w:r>
            <w:r>
              <w:rPr>
                <w:rFonts w:ascii="Times New Roman" w:hAnsi="Times New Roman" w:eastAsia="Times New Roman" w:cs="Times New Roman"/>
                <w:spacing w:val="18"/>
              </w:rPr>
              <w:t xml:space="preserve"> </w:t>
            </w:r>
            <w:r>
              <w:rPr>
                <w:spacing w:val="-1"/>
              </w:rPr>
              <w:t>并注入水泥封</w:t>
            </w:r>
            <w:r>
              <w:rPr>
                <w:spacing w:val="-2"/>
              </w:rPr>
              <w:t>固，表层套管下至</w:t>
            </w:r>
            <w:r>
              <w:rPr>
                <w:spacing w:val="-32"/>
              </w:rPr>
              <w:t xml:space="preserve"> </w:t>
            </w:r>
            <w:r>
              <w:rPr>
                <w:rFonts w:ascii="Times New Roman" w:hAnsi="Times New Roman" w:eastAsia="Times New Roman" w:cs="Times New Roman"/>
                <w:spacing w:val="-2"/>
              </w:rPr>
              <w:t xml:space="preserve">1200m </w:t>
            </w:r>
            <w:r>
              <w:rPr>
                <w:spacing w:val="-2"/>
              </w:rPr>
              <w:t>左右并</w:t>
            </w:r>
            <w:r>
              <w:rPr>
                <w:spacing w:val="1"/>
              </w:rPr>
              <w:t>注入水泥封固，确保套管能完全封隔含水层。而且，钻井施工过程中，不只是有表层套管，还会下技术套管、生产套管，并且每层套管和井壁之间会用水泥</w:t>
            </w:r>
            <w:r>
              <w:rPr>
                <w:spacing w:val="-1"/>
              </w:rPr>
              <w:t>封固，防止地下水串层。</w:t>
            </w:r>
          </w:p>
          <w:p w14:paraId="3689B488">
            <w:pPr>
              <w:pStyle w:val="6"/>
              <w:spacing w:line="220" w:lineRule="auto"/>
              <w:ind w:left="599"/>
            </w:pPr>
            <w:r>
              <w:rPr>
                <w:spacing w:val="-3"/>
              </w:rPr>
              <w:t>（</w:t>
            </w:r>
            <w:r>
              <w:rPr>
                <w:rFonts w:ascii="Times New Roman" w:hAnsi="Times New Roman" w:eastAsia="Times New Roman" w:cs="Times New Roman"/>
                <w:spacing w:val="-3"/>
              </w:rPr>
              <w:t>3</w:t>
            </w:r>
            <w:r>
              <w:rPr>
                <w:spacing w:val="-3"/>
              </w:rPr>
              <w:t>）分区防渗措施</w:t>
            </w:r>
          </w:p>
          <w:p w14:paraId="04FC9857">
            <w:pPr>
              <w:pStyle w:val="6"/>
              <w:spacing w:before="180" w:line="359" w:lineRule="auto"/>
              <w:ind w:left="110" w:right="22" w:firstLine="477"/>
            </w:pPr>
            <w:r>
              <w:rPr>
                <w:spacing w:val="1"/>
              </w:rPr>
              <w:t>在钻井过程中应当严格按照钻井程序进行。在钻进过程中和钻井泥浆的使</w:t>
            </w:r>
            <w:r>
              <w:rPr>
                <w:spacing w:val="-4"/>
              </w:rPr>
              <w:t>用过程中做好监督管理，做好工作人员的教育培训，保证钻井泥浆的正常使用。</w:t>
            </w:r>
          </w:p>
          <w:p w14:paraId="77308233">
            <w:pPr>
              <w:pStyle w:val="6"/>
              <w:spacing w:before="3" w:line="347" w:lineRule="auto"/>
              <w:ind w:left="108" w:right="102" w:firstLine="479"/>
            </w:pPr>
            <w:r>
              <w:rPr>
                <w:spacing w:val="1"/>
              </w:rPr>
              <w:t>对钻井平台、泥浆不落地循环系统装置区、柴油罐区、原材料堆存区、撬装式危废贮存点周围的地面做好分区防渗措施，从而避免钻井泥浆泄漏、</w:t>
            </w:r>
            <w:r>
              <w:t>柴油</w:t>
            </w:r>
            <w:r>
              <w:rPr>
                <w:spacing w:val="1"/>
              </w:rPr>
              <w:t>泄漏、废润滑油泄漏带来的风险。在钻井施工时，制定出正常、异常或紧</w:t>
            </w:r>
            <w:r>
              <w:t>急状</w:t>
            </w:r>
          </w:p>
        </w:tc>
      </w:tr>
    </w:tbl>
    <w:p w14:paraId="42AAB300">
      <w:pPr>
        <w:rPr>
          <w:rFonts w:ascii="Arial"/>
          <w:sz w:val="21"/>
        </w:rPr>
      </w:pPr>
    </w:p>
    <w:p w14:paraId="43D387C7">
      <w:pPr>
        <w:rPr>
          <w:rFonts w:ascii="Arial" w:hAnsi="Arial" w:eastAsia="Arial" w:cs="Arial"/>
          <w:sz w:val="21"/>
          <w:szCs w:val="21"/>
        </w:rPr>
        <w:sectPr>
          <w:footerReference r:id="rId109" w:type="default"/>
          <w:pgSz w:w="11906" w:h="16839"/>
          <w:pgMar w:top="400" w:right="1410" w:bottom="1240" w:left="1579" w:header="0" w:footer="1078" w:gutter="0"/>
          <w:cols w:space="720" w:num="1"/>
        </w:sectPr>
      </w:pPr>
    </w:p>
    <w:p w14:paraId="62BFB054">
      <w:pPr>
        <w:spacing w:before="56"/>
      </w:pPr>
    </w:p>
    <w:p w14:paraId="620D010B">
      <w:pPr>
        <w:spacing w:before="56"/>
      </w:pPr>
    </w:p>
    <w:p w14:paraId="09765E59">
      <w:pPr>
        <w:spacing w:before="55"/>
      </w:pPr>
    </w:p>
    <w:p w14:paraId="4CCA7ECB">
      <w:pPr>
        <w:spacing w:before="55"/>
      </w:pPr>
    </w:p>
    <w:tbl>
      <w:tblPr>
        <w:tblStyle w:val="5"/>
        <w:tblW w:w="890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86"/>
        <w:gridCol w:w="8415"/>
      </w:tblGrid>
      <w:tr w14:paraId="2A1F03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486" w:type="dxa"/>
            <w:tcBorders>
              <w:right w:val="single" w:color="000000" w:sz="2" w:space="0"/>
            </w:tcBorders>
            <w:vAlign w:val="top"/>
          </w:tcPr>
          <w:p w14:paraId="1E008426">
            <w:pPr>
              <w:rPr>
                <w:rFonts w:ascii="Arial"/>
                <w:sz w:val="21"/>
              </w:rPr>
            </w:pPr>
          </w:p>
        </w:tc>
        <w:tc>
          <w:tcPr>
            <w:tcW w:w="8415" w:type="dxa"/>
            <w:tcBorders>
              <w:left w:val="single" w:color="000000" w:sz="2" w:space="0"/>
            </w:tcBorders>
            <w:vAlign w:val="top"/>
          </w:tcPr>
          <w:p w14:paraId="11B1E3F7">
            <w:pPr>
              <w:pStyle w:val="6"/>
              <w:spacing w:before="40" w:line="359" w:lineRule="auto"/>
              <w:ind w:left="126" w:right="102" w:hanging="18"/>
            </w:pPr>
            <w:r>
              <w:rPr>
                <w:spacing w:val="1"/>
              </w:rPr>
              <w:t>态下的操作手册和维修手册，并对操作、维修人员进行培训，持证上岗，</w:t>
            </w:r>
            <w:r>
              <w:t>避免</w:t>
            </w:r>
            <w:r>
              <w:rPr>
                <w:spacing w:val="-3"/>
              </w:rPr>
              <w:t>因严重操作失误而造成的事故。</w:t>
            </w:r>
          </w:p>
          <w:p w14:paraId="6B7CA650">
            <w:pPr>
              <w:pStyle w:val="6"/>
              <w:spacing w:line="219" w:lineRule="auto"/>
              <w:ind w:left="588"/>
            </w:pPr>
            <w:r>
              <w:rPr>
                <w:rFonts w:ascii="Times New Roman" w:hAnsi="Times New Roman" w:eastAsia="Times New Roman" w:cs="Times New Roman"/>
                <w:spacing w:val="-3"/>
              </w:rPr>
              <w:t>3</w:t>
            </w:r>
            <w:r>
              <w:rPr>
                <w:rFonts w:ascii="Times New Roman" w:hAnsi="Times New Roman" w:eastAsia="Times New Roman" w:cs="Times New Roman"/>
                <w:spacing w:val="-32"/>
              </w:rPr>
              <w:t xml:space="preserve"> </w:t>
            </w:r>
            <w:r>
              <w:rPr>
                <w:spacing w:val="-3"/>
              </w:rPr>
              <w:t>、地表水环境风险防范措施</w:t>
            </w:r>
          </w:p>
          <w:p w14:paraId="511DFAB7">
            <w:pPr>
              <w:pStyle w:val="6"/>
              <w:spacing w:before="182" w:line="219" w:lineRule="auto"/>
              <w:ind w:left="592"/>
            </w:pPr>
            <w:r>
              <w:rPr>
                <w:spacing w:val="-1"/>
              </w:rPr>
              <w:t>项目周围近距离无地表水敏感目标，不会对地表水体产生不利影响。</w:t>
            </w:r>
          </w:p>
          <w:p w14:paraId="4CD5B45A">
            <w:pPr>
              <w:pStyle w:val="6"/>
              <w:spacing w:before="181" w:line="220" w:lineRule="auto"/>
              <w:ind w:left="582"/>
            </w:pPr>
            <w:r>
              <w:rPr>
                <w:rFonts w:ascii="Times New Roman" w:hAnsi="Times New Roman" w:eastAsia="Times New Roman" w:cs="Times New Roman"/>
                <w:spacing w:val="-4"/>
              </w:rPr>
              <w:t>4</w:t>
            </w:r>
            <w:r>
              <w:rPr>
                <w:rFonts w:ascii="Times New Roman" w:hAnsi="Times New Roman" w:eastAsia="Times New Roman" w:cs="Times New Roman"/>
                <w:spacing w:val="-33"/>
              </w:rPr>
              <w:t xml:space="preserve"> </w:t>
            </w:r>
            <w:r>
              <w:rPr>
                <w:spacing w:val="-4"/>
              </w:rPr>
              <w:t>、其他防范措施</w:t>
            </w:r>
          </w:p>
          <w:p w14:paraId="3EEE6A61">
            <w:pPr>
              <w:pStyle w:val="6"/>
              <w:spacing w:before="181" w:line="357" w:lineRule="auto"/>
              <w:ind w:left="110" w:right="102" w:firstLine="477"/>
            </w:pPr>
            <w:r>
              <w:rPr>
                <w:spacing w:val="-1"/>
              </w:rPr>
              <w:t>在事故状态下，由可移动废水收集罐（</w:t>
            </w:r>
            <w:r>
              <w:rPr>
                <w:rFonts w:ascii="Times New Roman" w:hAnsi="Times New Roman" w:eastAsia="Times New Roman" w:cs="Times New Roman"/>
                <w:spacing w:val="-1"/>
              </w:rPr>
              <w:t>3×30m</w:t>
            </w:r>
            <w:r>
              <w:rPr>
                <w:rFonts w:ascii="Times New Roman" w:hAnsi="Times New Roman" w:eastAsia="Times New Roman" w:cs="Times New Roman"/>
                <w:spacing w:val="-1"/>
                <w:position w:val="1"/>
                <w:sz w:val="15"/>
                <w:szCs w:val="15"/>
              </w:rPr>
              <w:t>3</w:t>
            </w:r>
            <w:r>
              <w:rPr>
                <w:spacing w:val="-1"/>
                <w:position w:val="1"/>
              </w:rPr>
              <w:t>）</w:t>
            </w:r>
            <w:r>
              <w:rPr>
                <w:spacing w:val="-1"/>
              </w:rPr>
              <w:t>以及循环罐（</w:t>
            </w:r>
            <w:r>
              <w:rPr>
                <w:rFonts w:ascii="Times New Roman" w:hAnsi="Times New Roman" w:eastAsia="Times New Roman" w:cs="Times New Roman"/>
                <w:spacing w:val="-1"/>
              </w:rPr>
              <w:t>6×40m</w:t>
            </w:r>
            <w:r>
              <w:rPr>
                <w:rFonts w:ascii="Times New Roman" w:hAnsi="Times New Roman" w:eastAsia="Times New Roman" w:cs="Times New Roman"/>
                <w:spacing w:val="-2"/>
                <w:position w:val="1"/>
                <w:sz w:val="15"/>
                <w:szCs w:val="15"/>
              </w:rPr>
              <w:t>3</w:t>
            </w:r>
            <w:r>
              <w:rPr>
                <w:spacing w:val="-2"/>
                <w:position w:val="1"/>
              </w:rPr>
              <w:t>）</w:t>
            </w:r>
            <w:r>
              <w:rPr>
                <w:spacing w:val="-2"/>
              </w:rPr>
              <w:t>组</w:t>
            </w:r>
            <w:r>
              <w:rPr>
                <w:spacing w:val="1"/>
              </w:rPr>
              <w:t>成应急储存设施，以满足事故状态下收集泄漏物料、污染消防水和污</w:t>
            </w:r>
            <w:r>
              <w:t>染雨水的</w:t>
            </w:r>
            <w:r>
              <w:rPr>
                <w:spacing w:val="-4"/>
              </w:rPr>
              <w:t>需要。</w:t>
            </w:r>
          </w:p>
          <w:p w14:paraId="14FB0057">
            <w:pPr>
              <w:pStyle w:val="6"/>
              <w:spacing w:before="8" w:line="358" w:lineRule="auto"/>
              <w:ind w:left="109" w:right="102" w:firstLine="478"/>
              <w:jc w:val="both"/>
            </w:pPr>
            <w:r>
              <w:rPr>
                <w:spacing w:val="1"/>
              </w:rPr>
              <w:t>撬装式危废贮存点地面采取防渗措施，运输过程中加强环境管理，严格遵守转移联单制度。所有装满运走的容器或贮罐都应标明内盛物的类别与</w:t>
            </w:r>
            <w:r>
              <w:t>危害说</w:t>
            </w:r>
            <w:r>
              <w:rPr>
                <w:spacing w:val="1"/>
              </w:rPr>
              <w:t>明，以及数量和装进日期，设置危险废物的识别标志。危险废物运输过</w:t>
            </w:r>
            <w:r>
              <w:t>程中全</w:t>
            </w:r>
            <w:r>
              <w:rPr>
                <w:spacing w:val="1"/>
              </w:rPr>
              <w:t>部采用密闭容器储存，运输路线尽量选取不经过办公区等人员密集区，</w:t>
            </w:r>
            <w:r>
              <w:t>转运结</w:t>
            </w:r>
            <w:r>
              <w:rPr>
                <w:spacing w:val="1"/>
              </w:rPr>
              <w:t>束后及时对转运路线进行检查和清理，确保无危险废物散落或泄漏在转</w:t>
            </w:r>
            <w:r>
              <w:t>运路线</w:t>
            </w:r>
            <w:r>
              <w:rPr>
                <w:spacing w:val="1"/>
              </w:rPr>
              <w:t>上。危险废物的运输应采取危险废物转移联单制度，保证运输安全，防</w:t>
            </w:r>
            <w:r>
              <w:t>止非法转移和非法处置，保证危险废物的安全监控，防止</w:t>
            </w:r>
            <w:r>
              <w:rPr>
                <w:spacing w:val="-1"/>
              </w:rPr>
              <w:t>危险废物污染事故的发生。</w:t>
            </w:r>
          </w:p>
          <w:p w14:paraId="5BDB8525">
            <w:pPr>
              <w:pStyle w:val="6"/>
              <w:spacing w:line="220" w:lineRule="auto"/>
              <w:ind w:left="590"/>
            </w:pPr>
            <w:r>
              <w:rPr>
                <w:rFonts w:ascii="Times New Roman" w:hAnsi="Times New Roman" w:eastAsia="Times New Roman" w:cs="Times New Roman"/>
                <w:spacing w:val="-7"/>
              </w:rPr>
              <w:t>5</w:t>
            </w:r>
            <w:r>
              <w:rPr>
                <w:rFonts w:ascii="Times New Roman" w:hAnsi="Times New Roman" w:eastAsia="Times New Roman" w:cs="Times New Roman"/>
                <w:spacing w:val="-31"/>
              </w:rPr>
              <w:t xml:space="preserve"> </w:t>
            </w:r>
            <w:r>
              <w:rPr>
                <w:spacing w:val="-7"/>
              </w:rPr>
              <w:t>、分析结论</w:t>
            </w:r>
          </w:p>
          <w:p w14:paraId="04B1E34B">
            <w:pPr>
              <w:pStyle w:val="6"/>
              <w:spacing w:before="181" w:line="359" w:lineRule="auto"/>
              <w:ind w:left="108" w:right="102" w:firstLine="479"/>
            </w:pPr>
            <w:r>
              <w:rPr>
                <w:spacing w:val="1"/>
              </w:rPr>
              <w:t>勘探井建设过程环境风险事故中，影响范围较广的风险事故主要为井喷及井喷引起的火灾、爆炸等。在认真落实工程采用的安全环境措施及评价所</w:t>
            </w:r>
            <w:r>
              <w:t>提出</w:t>
            </w:r>
            <w:r>
              <w:rPr>
                <w:spacing w:val="-1"/>
              </w:rPr>
              <w:t>的措施和对策后，工程事故对周围影响处于可接受水平。</w:t>
            </w:r>
          </w:p>
          <w:p w14:paraId="36B32D33">
            <w:pPr>
              <w:pStyle w:val="6"/>
              <w:spacing w:before="1" w:line="220" w:lineRule="auto"/>
              <w:ind w:left="589"/>
            </w:pPr>
            <w:r>
              <w:rPr>
                <w:rFonts w:ascii="Times New Roman" w:hAnsi="Times New Roman" w:eastAsia="Times New Roman" w:cs="Times New Roman"/>
                <w:spacing w:val="-7"/>
              </w:rPr>
              <w:t>6</w:t>
            </w:r>
            <w:r>
              <w:rPr>
                <w:rFonts w:ascii="Times New Roman" w:hAnsi="Times New Roman" w:eastAsia="Times New Roman" w:cs="Times New Roman"/>
                <w:spacing w:val="-30"/>
              </w:rPr>
              <w:t xml:space="preserve"> </w:t>
            </w:r>
            <w:r>
              <w:rPr>
                <w:spacing w:val="-7"/>
              </w:rPr>
              <w:t>、应急计划</w:t>
            </w:r>
          </w:p>
          <w:p w14:paraId="1772E875">
            <w:pPr>
              <w:pStyle w:val="6"/>
              <w:spacing w:before="180" w:line="359" w:lineRule="auto"/>
              <w:ind w:left="108" w:right="22" w:firstLine="483"/>
            </w:pPr>
            <w:r>
              <w:rPr>
                <w:spacing w:val="1"/>
              </w:rPr>
              <w:t>油井勘探在工程施工过程中，应针对项目的特点，以及建设、运</w:t>
            </w:r>
            <w:r>
              <w:t>营过程中</w:t>
            </w:r>
            <w:r>
              <w:rPr>
                <w:spacing w:val="1"/>
              </w:rPr>
              <w:t>可能发生的事故风险，结合当地的自然条件、环境状况、地理位置，以及</w:t>
            </w:r>
            <w:r>
              <w:t>依托</w:t>
            </w:r>
            <w:r>
              <w:rPr>
                <w:spacing w:val="-4"/>
              </w:rPr>
              <w:t>条件，制定相应的事故现场处置应急方案，特别是对于环境保护目标等敏感区，确保在突发事故发生后，能及时采取应急处理措施，减少风险事故造成的损失。</w:t>
            </w:r>
            <w:r>
              <w:rPr>
                <w:spacing w:val="-1"/>
              </w:rPr>
              <w:t>应急预案应包括以下主要内容：</w:t>
            </w:r>
          </w:p>
          <w:p w14:paraId="7293EC90">
            <w:pPr>
              <w:pStyle w:val="6"/>
              <w:spacing w:line="220" w:lineRule="auto"/>
              <w:ind w:left="599"/>
            </w:pPr>
            <w:r>
              <w:rPr>
                <w:spacing w:val="-5"/>
              </w:rPr>
              <w:t>（</w:t>
            </w:r>
            <w:r>
              <w:rPr>
                <w:rFonts w:ascii="Times New Roman" w:hAnsi="Times New Roman" w:eastAsia="Times New Roman" w:cs="Times New Roman"/>
                <w:spacing w:val="-5"/>
              </w:rPr>
              <w:t>1</w:t>
            </w:r>
            <w:r>
              <w:rPr>
                <w:spacing w:val="-5"/>
              </w:rPr>
              <w:t>）总则</w:t>
            </w:r>
          </w:p>
          <w:p w14:paraId="57BBC87E">
            <w:pPr>
              <w:pStyle w:val="6"/>
              <w:spacing w:before="182" w:line="359" w:lineRule="auto"/>
              <w:ind w:left="112" w:right="22" w:firstLine="476"/>
            </w:pPr>
            <w:r>
              <w:rPr>
                <w:spacing w:val="-5"/>
              </w:rPr>
              <w:t>应急组织要坚持“主动预防、积极抢救</w:t>
            </w:r>
            <w:r>
              <w:rPr>
                <w:spacing w:val="-82"/>
              </w:rPr>
              <w:t xml:space="preserve"> </w:t>
            </w:r>
            <w:r>
              <w:rPr>
                <w:spacing w:val="-5"/>
              </w:rPr>
              <w:t>”的原则，应能够处理火灾、爆炸、</w:t>
            </w:r>
            <w:r>
              <w:rPr>
                <w:spacing w:val="-4"/>
              </w:rPr>
              <w:t>泄漏等突发事故，快速的反应和正确的处理措施是处理突发事故和灾害的关键。</w:t>
            </w:r>
          </w:p>
          <w:p w14:paraId="67FE29A7">
            <w:pPr>
              <w:pStyle w:val="6"/>
              <w:spacing w:line="220" w:lineRule="auto"/>
              <w:ind w:left="599"/>
            </w:pPr>
            <w:r>
              <w:rPr>
                <w:spacing w:val="-3"/>
              </w:rPr>
              <w:t>（</w:t>
            </w:r>
            <w:r>
              <w:rPr>
                <w:rFonts w:ascii="Times New Roman" w:hAnsi="Times New Roman" w:eastAsia="Times New Roman" w:cs="Times New Roman"/>
                <w:spacing w:val="-3"/>
              </w:rPr>
              <w:t>2</w:t>
            </w:r>
            <w:r>
              <w:rPr>
                <w:spacing w:val="-3"/>
              </w:rPr>
              <w:t>）处理原则</w:t>
            </w:r>
          </w:p>
        </w:tc>
      </w:tr>
    </w:tbl>
    <w:p w14:paraId="3E2D7E33">
      <w:pPr>
        <w:rPr>
          <w:rFonts w:ascii="Arial"/>
          <w:sz w:val="21"/>
        </w:rPr>
      </w:pPr>
    </w:p>
    <w:p w14:paraId="1140F83B">
      <w:pPr>
        <w:rPr>
          <w:rFonts w:ascii="Arial" w:hAnsi="Arial" w:eastAsia="Arial" w:cs="Arial"/>
          <w:sz w:val="21"/>
          <w:szCs w:val="21"/>
        </w:rPr>
        <w:sectPr>
          <w:footerReference r:id="rId110" w:type="default"/>
          <w:pgSz w:w="11906" w:h="16839"/>
          <w:pgMar w:top="400" w:right="1410" w:bottom="1240" w:left="1579" w:header="0" w:footer="1078" w:gutter="0"/>
          <w:cols w:space="720" w:num="1"/>
        </w:sectPr>
      </w:pPr>
    </w:p>
    <w:p w14:paraId="3A953B30">
      <w:pPr>
        <w:spacing w:before="56"/>
      </w:pPr>
    </w:p>
    <w:p w14:paraId="371D3264">
      <w:pPr>
        <w:spacing w:before="56"/>
      </w:pPr>
    </w:p>
    <w:p w14:paraId="44346B0B">
      <w:pPr>
        <w:spacing w:before="55"/>
      </w:pPr>
    </w:p>
    <w:p w14:paraId="67CF558F">
      <w:pPr>
        <w:spacing w:before="55"/>
      </w:pPr>
    </w:p>
    <w:tbl>
      <w:tblPr>
        <w:tblStyle w:val="5"/>
        <w:tblW w:w="8901"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6"/>
        <w:gridCol w:w="803"/>
        <w:gridCol w:w="2314"/>
        <w:gridCol w:w="1963"/>
        <w:gridCol w:w="1428"/>
        <w:gridCol w:w="1907"/>
      </w:tblGrid>
      <w:tr w14:paraId="229C7E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4" w:hRule="atLeast"/>
        </w:trPr>
        <w:tc>
          <w:tcPr>
            <w:tcW w:w="486" w:type="dxa"/>
            <w:vMerge w:val="restart"/>
            <w:tcBorders>
              <w:top w:val="single" w:color="000000" w:sz="6" w:space="0"/>
              <w:left w:val="single" w:color="000000" w:sz="6" w:space="0"/>
              <w:bottom w:val="nil"/>
              <w:right w:val="single" w:color="000000" w:sz="2" w:space="0"/>
            </w:tcBorders>
            <w:vAlign w:val="top"/>
          </w:tcPr>
          <w:p w14:paraId="6CA92143">
            <w:pPr>
              <w:rPr>
                <w:rFonts w:ascii="Arial"/>
                <w:sz w:val="21"/>
              </w:rPr>
            </w:pPr>
          </w:p>
        </w:tc>
        <w:tc>
          <w:tcPr>
            <w:tcW w:w="8415" w:type="dxa"/>
            <w:gridSpan w:val="5"/>
            <w:tcBorders>
              <w:top w:val="single" w:color="000000" w:sz="6" w:space="0"/>
              <w:left w:val="single" w:color="000000" w:sz="2" w:space="0"/>
              <w:bottom w:val="single" w:color="000000" w:sz="10" w:space="0"/>
              <w:right w:val="single" w:color="000000" w:sz="6" w:space="0"/>
            </w:tcBorders>
            <w:vAlign w:val="top"/>
          </w:tcPr>
          <w:p w14:paraId="2740CE9A">
            <w:pPr>
              <w:pStyle w:val="6"/>
              <w:spacing w:before="39" w:line="219" w:lineRule="auto"/>
              <w:ind w:left="588"/>
            </w:pPr>
            <w:r>
              <w:rPr>
                <w:spacing w:val="-1"/>
              </w:rPr>
              <w:t>事故发生后事故处理的基本程序和要求。</w:t>
            </w:r>
          </w:p>
          <w:p w14:paraId="740282D9">
            <w:pPr>
              <w:pStyle w:val="6"/>
              <w:spacing w:before="183" w:line="221" w:lineRule="auto"/>
              <w:ind w:left="599"/>
            </w:pPr>
            <w:r>
              <w:rPr>
                <w:spacing w:val="-3"/>
              </w:rPr>
              <w:t>（</w:t>
            </w:r>
            <w:r>
              <w:rPr>
                <w:rFonts w:ascii="Times New Roman" w:hAnsi="Times New Roman" w:eastAsia="Times New Roman" w:cs="Times New Roman"/>
                <w:spacing w:val="-3"/>
              </w:rPr>
              <w:t>3</w:t>
            </w:r>
            <w:r>
              <w:rPr>
                <w:spacing w:val="-3"/>
              </w:rPr>
              <w:t>）应急计划区</w:t>
            </w:r>
          </w:p>
          <w:p w14:paraId="05617192">
            <w:pPr>
              <w:pStyle w:val="6"/>
              <w:spacing w:before="179" w:line="219" w:lineRule="auto"/>
              <w:ind w:left="591"/>
            </w:pPr>
            <w:r>
              <w:rPr>
                <w:spacing w:val="-1"/>
              </w:rPr>
              <w:t>危险目标：井场井口、储液罐、输油管线等。</w:t>
            </w:r>
          </w:p>
          <w:p w14:paraId="3990A860">
            <w:pPr>
              <w:pStyle w:val="6"/>
              <w:spacing w:before="183" w:line="219" w:lineRule="auto"/>
              <w:ind w:left="599"/>
            </w:pPr>
            <w:r>
              <w:rPr>
                <w:spacing w:val="-2"/>
              </w:rPr>
              <w:t>（</w:t>
            </w:r>
            <w:r>
              <w:rPr>
                <w:rFonts w:ascii="Times New Roman" w:hAnsi="Times New Roman" w:eastAsia="Times New Roman" w:cs="Times New Roman"/>
                <w:spacing w:val="-2"/>
              </w:rPr>
              <w:t>4</w:t>
            </w:r>
            <w:r>
              <w:rPr>
                <w:spacing w:val="-2"/>
              </w:rPr>
              <w:t>）预案分级响应条件</w:t>
            </w:r>
          </w:p>
          <w:p w14:paraId="0F299CD2">
            <w:pPr>
              <w:pStyle w:val="6"/>
              <w:spacing w:before="180" w:line="359" w:lineRule="auto"/>
              <w:ind w:left="120" w:right="102" w:firstLine="467"/>
            </w:pPr>
            <w:r>
              <w:rPr>
                <w:spacing w:val="1"/>
              </w:rPr>
              <w:t>根据事故发生的规模以及对环境造成的污染程度，规定预案的级别及分级</w:t>
            </w:r>
            <w:r>
              <w:rPr>
                <w:spacing w:val="-5"/>
              </w:rPr>
              <w:t>响应程序。</w:t>
            </w:r>
          </w:p>
          <w:p w14:paraId="71F45CAB">
            <w:pPr>
              <w:pStyle w:val="6"/>
              <w:spacing w:line="219" w:lineRule="auto"/>
              <w:ind w:left="599"/>
            </w:pPr>
            <w:r>
              <w:rPr>
                <w:spacing w:val="-3"/>
              </w:rPr>
              <w:t>（</w:t>
            </w:r>
            <w:r>
              <w:rPr>
                <w:rFonts w:ascii="Times New Roman" w:hAnsi="Times New Roman" w:eastAsia="Times New Roman" w:cs="Times New Roman"/>
                <w:spacing w:val="-3"/>
              </w:rPr>
              <w:t>5</w:t>
            </w:r>
            <w:r>
              <w:rPr>
                <w:spacing w:val="-3"/>
              </w:rPr>
              <w:t>）应急救援保障</w:t>
            </w:r>
          </w:p>
          <w:p w14:paraId="3AE4A78A">
            <w:pPr>
              <w:pStyle w:val="6"/>
              <w:spacing w:before="182" w:line="359" w:lineRule="auto"/>
              <w:ind w:left="115" w:right="102" w:firstLine="495"/>
            </w:pPr>
            <w:r>
              <w:t>中国石油天然气股份有限公司华北油田巴彦勘探开发分公司应根据消防部</w:t>
            </w:r>
            <w:r>
              <w:rPr>
                <w:spacing w:val="1"/>
              </w:rPr>
              <w:t>门、应急管理局和生态环境局的要求，在井场、储罐等区</w:t>
            </w:r>
            <w:r>
              <w:t>域配备一定数量的应</w:t>
            </w:r>
            <w:r>
              <w:rPr>
                <w:spacing w:val="-1"/>
              </w:rPr>
              <w:t>急设施、设备与器材，同时配备相应的应急监测设备。</w:t>
            </w:r>
          </w:p>
          <w:p w14:paraId="0ACA5BB7">
            <w:pPr>
              <w:spacing w:line="212" w:lineRule="auto"/>
              <w:ind w:left="3032"/>
              <w:rPr>
                <w:rFonts w:ascii="黑体" w:hAnsi="黑体" w:eastAsia="黑体" w:cs="黑体"/>
                <w:sz w:val="24"/>
                <w:szCs w:val="24"/>
              </w:rPr>
            </w:pPr>
            <w:r>
              <w:rPr>
                <w:rFonts w:ascii="黑体" w:hAnsi="黑体" w:eastAsia="黑体" w:cs="黑体"/>
                <w:spacing w:val="-2"/>
                <w:sz w:val="24"/>
                <w:szCs w:val="24"/>
              </w:rPr>
              <w:t>表</w:t>
            </w:r>
            <w:r>
              <w:rPr>
                <w:rFonts w:ascii="Times New Roman" w:hAnsi="Times New Roman" w:eastAsia="Times New Roman" w:cs="Times New Roman"/>
                <w:spacing w:val="-2"/>
                <w:sz w:val="24"/>
                <w:szCs w:val="24"/>
              </w:rPr>
              <w:t xml:space="preserve">5-2  </w:t>
            </w:r>
            <w:r>
              <w:rPr>
                <w:rFonts w:ascii="黑体" w:hAnsi="黑体" w:eastAsia="黑体" w:cs="黑体"/>
                <w:spacing w:val="-2"/>
                <w:sz w:val="24"/>
                <w:szCs w:val="24"/>
              </w:rPr>
              <w:t>应急物资一览表</w:t>
            </w:r>
          </w:p>
        </w:tc>
      </w:tr>
      <w:tr w14:paraId="229346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486" w:type="dxa"/>
            <w:vMerge w:val="continue"/>
            <w:tcBorders>
              <w:top w:val="nil"/>
              <w:left w:val="single" w:color="000000" w:sz="6" w:space="0"/>
              <w:bottom w:val="nil"/>
              <w:right w:val="single" w:color="000000" w:sz="2" w:space="0"/>
            </w:tcBorders>
            <w:vAlign w:val="top"/>
          </w:tcPr>
          <w:p w14:paraId="39DEBD34">
            <w:pPr>
              <w:rPr>
                <w:rFonts w:ascii="Arial"/>
                <w:sz w:val="21"/>
              </w:rPr>
            </w:pPr>
          </w:p>
        </w:tc>
        <w:tc>
          <w:tcPr>
            <w:tcW w:w="803" w:type="dxa"/>
            <w:tcBorders>
              <w:top w:val="single" w:color="000000" w:sz="10" w:space="0"/>
              <w:left w:val="single" w:color="000000" w:sz="2" w:space="0"/>
              <w:right w:val="single" w:color="000000" w:sz="2" w:space="0"/>
            </w:tcBorders>
            <w:vAlign w:val="top"/>
          </w:tcPr>
          <w:p w14:paraId="6E9A5633">
            <w:pPr>
              <w:pStyle w:val="6"/>
              <w:spacing w:before="89" w:line="229" w:lineRule="auto"/>
              <w:ind w:left="243"/>
              <w:rPr>
                <w:sz w:val="20"/>
                <w:szCs w:val="20"/>
              </w:rPr>
            </w:pPr>
            <w:r>
              <w:rPr>
                <w:spacing w:val="5"/>
                <w:sz w:val="20"/>
                <w:szCs w:val="20"/>
              </w:rPr>
              <w:t>序号</w:t>
            </w:r>
          </w:p>
        </w:tc>
        <w:tc>
          <w:tcPr>
            <w:tcW w:w="2314" w:type="dxa"/>
            <w:tcBorders>
              <w:top w:val="single" w:color="000000" w:sz="10" w:space="0"/>
              <w:left w:val="single" w:color="000000" w:sz="2" w:space="0"/>
            </w:tcBorders>
            <w:vAlign w:val="top"/>
          </w:tcPr>
          <w:p w14:paraId="314DD167">
            <w:pPr>
              <w:pStyle w:val="6"/>
              <w:spacing w:before="89" w:line="230" w:lineRule="auto"/>
              <w:ind w:left="950"/>
              <w:rPr>
                <w:sz w:val="20"/>
                <w:szCs w:val="20"/>
              </w:rPr>
            </w:pPr>
            <w:r>
              <w:rPr>
                <w:spacing w:val="3"/>
                <w:sz w:val="20"/>
                <w:szCs w:val="20"/>
              </w:rPr>
              <w:t>名称</w:t>
            </w:r>
          </w:p>
        </w:tc>
        <w:tc>
          <w:tcPr>
            <w:tcW w:w="1963" w:type="dxa"/>
            <w:tcBorders>
              <w:top w:val="single" w:color="000000" w:sz="10" w:space="0"/>
            </w:tcBorders>
            <w:vAlign w:val="top"/>
          </w:tcPr>
          <w:p w14:paraId="3903035B">
            <w:pPr>
              <w:pStyle w:val="6"/>
              <w:spacing w:before="89" w:line="229" w:lineRule="auto"/>
              <w:ind w:left="563"/>
              <w:rPr>
                <w:sz w:val="20"/>
                <w:szCs w:val="20"/>
              </w:rPr>
            </w:pPr>
            <w:r>
              <w:rPr>
                <w:spacing w:val="7"/>
                <w:sz w:val="20"/>
                <w:szCs w:val="20"/>
              </w:rPr>
              <w:t>配备地点</w:t>
            </w:r>
          </w:p>
        </w:tc>
        <w:tc>
          <w:tcPr>
            <w:tcW w:w="1428" w:type="dxa"/>
            <w:tcBorders>
              <w:top w:val="single" w:color="000000" w:sz="10" w:space="0"/>
              <w:right w:val="single" w:color="000000" w:sz="2" w:space="0"/>
            </w:tcBorders>
            <w:vAlign w:val="top"/>
          </w:tcPr>
          <w:p w14:paraId="68638096">
            <w:pPr>
              <w:pStyle w:val="6"/>
              <w:spacing w:before="89" w:line="228" w:lineRule="auto"/>
              <w:ind w:left="508"/>
              <w:rPr>
                <w:sz w:val="20"/>
                <w:szCs w:val="20"/>
              </w:rPr>
            </w:pPr>
            <w:r>
              <w:rPr>
                <w:spacing w:val="4"/>
                <w:sz w:val="20"/>
                <w:szCs w:val="20"/>
              </w:rPr>
              <w:t>种类</w:t>
            </w:r>
          </w:p>
        </w:tc>
        <w:tc>
          <w:tcPr>
            <w:tcW w:w="1907" w:type="dxa"/>
            <w:tcBorders>
              <w:top w:val="single" w:color="000000" w:sz="10" w:space="0"/>
              <w:left w:val="single" w:color="000000" w:sz="2" w:space="0"/>
              <w:right w:val="single" w:color="000000" w:sz="6" w:space="0"/>
            </w:tcBorders>
            <w:vAlign w:val="top"/>
          </w:tcPr>
          <w:p w14:paraId="04E68922">
            <w:pPr>
              <w:pStyle w:val="6"/>
              <w:spacing w:before="89" w:line="228" w:lineRule="auto"/>
              <w:ind w:left="591"/>
              <w:rPr>
                <w:sz w:val="20"/>
                <w:szCs w:val="20"/>
              </w:rPr>
            </w:pPr>
            <w:r>
              <w:rPr>
                <w:spacing w:val="6"/>
                <w:sz w:val="20"/>
                <w:szCs w:val="20"/>
              </w:rPr>
              <w:t>保管人</w:t>
            </w:r>
          </w:p>
        </w:tc>
      </w:tr>
      <w:tr w14:paraId="27D2F1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486" w:type="dxa"/>
            <w:vMerge w:val="continue"/>
            <w:tcBorders>
              <w:top w:val="nil"/>
              <w:left w:val="single" w:color="000000" w:sz="6" w:space="0"/>
              <w:bottom w:val="nil"/>
              <w:right w:val="single" w:color="000000" w:sz="2" w:space="0"/>
            </w:tcBorders>
            <w:vAlign w:val="top"/>
          </w:tcPr>
          <w:p w14:paraId="0D80DF2B">
            <w:pPr>
              <w:rPr>
                <w:rFonts w:ascii="Arial"/>
                <w:sz w:val="21"/>
              </w:rPr>
            </w:pPr>
          </w:p>
        </w:tc>
        <w:tc>
          <w:tcPr>
            <w:tcW w:w="803" w:type="dxa"/>
            <w:tcBorders>
              <w:left w:val="single" w:color="000000" w:sz="2" w:space="0"/>
              <w:right w:val="single" w:color="000000" w:sz="2" w:space="0"/>
            </w:tcBorders>
            <w:vAlign w:val="top"/>
          </w:tcPr>
          <w:p w14:paraId="0A99BE7F">
            <w:pPr>
              <w:spacing w:before="132" w:line="195" w:lineRule="auto"/>
              <w:ind w:left="41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314" w:type="dxa"/>
            <w:tcBorders>
              <w:left w:val="single" w:color="000000" w:sz="2" w:space="0"/>
            </w:tcBorders>
            <w:vAlign w:val="top"/>
          </w:tcPr>
          <w:p w14:paraId="71AE5519">
            <w:pPr>
              <w:pStyle w:val="6"/>
              <w:spacing w:before="96" w:line="221" w:lineRule="auto"/>
              <w:ind w:left="396"/>
              <w:rPr>
                <w:sz w:val="20"/>
                <w:szCs w:val="20"/>
              </w:rPr>
            </w:pPr>
            <w:r>
              <w:rPr>
                <w:rFonts w:ascii="Times New Roman" w:hAnsi="Times New Roman" w:eastAsia="Times New Roman" w:cs="Times New Roman"/>
                <w:spacing w:val="7"/>
                <w:sz w:val="20"/>
                <w:szCs w:val="20"/>
              </w:rPr>
              <w:t>35</w:t>
            </w:r>
            <w:r>
              <w:rPr>
                <w:rFonts w:ascii="Times New Roman" w:hAnsi="Times New Roman" w:eastAsia="Times New Roman" w:cs="Times New Roman"/>
                <w:sz w:val="20"/>
                <w:szCs w:val="20"/>
              </w:rPr>
              <w:t>kg</w:t>
            </w:r>
            <w:r>
              <w:rPr>
                <w:rFonts w:ascii="Times New Roman" w:hAnsi="Times New Roman" w:eastAsia="Times New Roman" w:cs="Times New Roman"/>
                <w:spacing w:val="7"/>
                <w:sz w:val="20"/>
                <w:szCs w:val="20"/>
              </w:rPr>
              <w:t xml:space="preserve"> </w:t>
            </w:r>
            <w:r>
              <w:rPr>
                <w:spacing w:val="7"/>
                <w:sz w:val="20"/>
                <w:szCs w:val="20"/>
              </w:rPr>
              <w:t>干粉灭火器</w:t>
            </w:r>
          </w:p>
        </w:tc>
        <w:tc>
          <w:tcPr>
            <w:tcW w:w="1963" w:type="dxa"/>
            <w:vAlign w:val="top"/>
          </w:tcPr>
          <w:p w14:paraId="54C0161B">
            <w:pPr>
              <w:pStyle w:val="6"/>
              <w:spacing w:before="95" w:line="228" w:lineRule="auto"/>
              <w:ind w:left="354"/>
              <w:rPr>
                <w:sz w:val="20"/>
                <w:szCs w:val="20"/>
              </w:rPr>
            </w:pPr>
            <w:r>
              <w:rPr>
                <w:spacing w:val="8"/>
                <w:sz w:val="20"/>
                <w:szCs w:val="20"/>
              </w:rPr>
              <w:t>井场、储罐区</w:t>
            </w:r>
          </w:p>
        </w:tc>
        <w:tc>
          <w:tcPr>
            <w:tcW w:w="1428" w:type="dxa"/>
            <w:tcBorders>
              <w:right w:val="single" w:color="000000" w:sz="2" w:space="0"/>
            </w:tcBorders>
            <w:vAlign w:val="top"/>
          </w:tcPr>
          <w:p w14:paraId="384FE31C">
            <w:pPr>
              <w:pStyle w:val="6"/>
              <w:spacing w:before="96" w:line="227" w:lineRule="auto"/>
              <w:ind w:left="304"/>
              <w:rPr>
                <w:sz w:val="20"/>
                <w:szCs w:val="20"/>
              </w:rPr>
            </w:pPr>
            <w:r>
              <w:rPr>
                <w:spacing w:val="6"/>
                <w:sz w:val="20"/>
                <w:szCs w:val="20"/>
              </w:rPr>
              <w:t>消防器材</w:t>
            </w:r>
          </w:p>
        </w:tc>
        <w:tc>
          <w:tcPr>
            <w:tcW w:w="1907" w:type="dxa"/>
            <w:tcBorders>
              <w:left w:val="single" w:color="000000" w:sz="2" w:space="0"/>
              <w:right w:val="single" w:color="000000" w:sz="6" w:space="0"/>
            </w:tcBorders>
            <w:vAlign w:val="top"/>
          </w:tcPr>
          <w:p w14:paraId="2CE10933">
            <w:pPr>
              <w:pStyle w:val="6"/>
              <w:spacing w:before="95" w:line="228" w:lineRule="auto"/>
              <w:ind w:left="275"/>
              <w:rPr>
                <w:sz w:val="20"/>
                <w:szCs w:val="20"/>
              </w:rPr>
            </w:pPr>
            <w:r>
              <w:rPr>
                <w:spacing w:val="8"/>
                <w:sz w:val="20"/>
                <w:szCs w:val="20"/>
              </w:rPr>
              <w:t>钻井队副队长</w:t>
            </w:r>
          </w:p>
        </w:tc>
      </w:tr>
      <w:tr w14:paraId="1BC406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486" w:type="dxa"/>
            <w:vMerge w:val="continue"/>
            <w:tcBorders>
              <w:top w:val="nil"/>
              <w:left w:val="single" w:color="000000" w:sz="6" w:space="0"/>
              <w:bottom w:val="nil"/>
              <w:right w:val="single" w:color="000000" w:sz="2" w:space="0"/>
            </w:tcBorders>
            <w:vAlign w:val="top"/>
          </w:tcPr>
          <w:p w14:paraId="4B61EC12">
            <w:pPr>
              <w:rPr>
                <w:rFonts w:ascii="Arial"/>
                <w:sz w:val="21"/>
              </w:rPr>
            </w:pPr>
          </w:p>
        </w:tc>
        <w:tc>
          <w:tcPr>
            <w:tcW w:w="803" w:type="dxa"/>
            <w:tcBorders>
              <w:left w:val="single" w:color="000000" w:sz="2" w:space="0"/>
              <w:right w:val="single" w:color="000000" w:sz="2" w:space="0"/>
            </w:tcBorders>
            <w:vAlign w:val="top"/>
          </w:tcPr>
          <w:p w14:paraId="6FA4B002">
            <w:pPr>
              <w:spacing w:before="133" w:line="195" w:lineRule="auto"/>
              <w:ind w:left="39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314" w:type="dxa"/>
            <w:tcBorders>
              <w:left w:val="single" w:color="000000" w:sz="2" w:space="0"/>
            </w:tcBorders>
            <w:vAlign w:val="top"/>
          </w:tcPr>
          <w:p w14:paraId="7C2E8CCC">
            <w:pPr>
              <w:pStyle w:val="6"/>
              <w:spacing w:before="97" w:line="221" w:lineRule="auto"/>
              <w:ind w:left="453"/>
              <w:rPr>
                <w:sz w:val="20"/>
                <w:szCs w:val="20"/>
              </w:rPr>
            </w:pPr>
            <w:r>
              <w:rPr>
                <w:rFonts w:ascii="Times New Roman" w:hAnsi="Times New Roman" w:eastAsia="Times New Roman" w:cs="Times New Roman"/>
                <w:spacing w:val="7"/>
                <w:sz w:val="20"/>
                <w:szCs w:val="20"/>
              </w:rPr>
              <w:t>8</w:t>
            </w:r>
            <w:r>
              <w:rPr>
                <w:rFonts w:ascii="Times New Roman" w:hAnsi="Times New Roman" w:eastAsia="Times New Roman" w:cs="Times New Roman"/>
                <w:sz w:val="20"/>
                <w:szCs w:val="20"/>
              </w:rPr>
              <w:t>kg</w:t>
            </w:r>
            <w:r>
              <w:rPr>
                <w:rFonts w:ascii="Times New Roman" w:hAnsi="Times New Roman" w:eastAsia="Times New Roman" w:cs="Times New Roman"/>
                <w:spacing w:val="7"/>
                <w:sz w:val="20"/>
                <w:szCs w:val="20"/>
              </w:rPr>
              <w:t xml:space="preserve"> </w:t>
            </w:r>
            <w:r>
              <w:rPr>
                <w:spacing w:val="7"/>
                <w:sz w:val="20"/>
                <w:szCs w:val="20"/>
              </w:rPr>
              <w:t>干粉灭火器</w:t>
            </w:r>
          </w:p>
        </w:tc>
        <w:tc>
          <w:tcPr>
            <w:tcW w:w="1963" w:type="dxa"/>
            <w:vAlign w:val="top"/>
          </w:tcPr>
          <w:p w14:paraId="64D861EF">
            <w:pPr>
              <w:pStyle w:val="6"/>
              <w:spacing w:before="96" w:line="227" w:lineRule="auto"/>
              <w:ind w:left="354"/>
              <w:rPr>
                <w:sz w:val="20"/>
                <w:szCs w:val="20"/>
              </w:rPr>
            </w:pPr>
            <w:r>
              <w:rPr>
                <w:spacing w:val="8"/>
                <w:sz w:val="20"/>
                <w:szCs w:val="20"/>
              </w:rPr>
              <w:t>井场、机房等</w:t>
            </w:r>
          </w:p>
        </w:tc>
        <w:tc>
          <w:tcPr>
            <w:tcW w:w="1428" w:type="dxa"/>
            <w:tcBorders>
              <w:right w:val="single" w:color="000000" w:sz="2" w:space="0"/>
            </w:tcBorders>
            <w:vAlign w:val="top"/>
          </w:tcPr>
          <w:p w14:paraId="495C6920">
            <w:pPr>
              <w:pStyle w:val="6"/>
              <w:spacing w:before="96" w:line="227" w:lineRule="auto"/>
              <w:ind w:left="304"/>
              <w:rPr>
                <w:sz w:val="20"/>
                <w:szCs w:val="20"/>
              </w:rPr>
            </w:pPr>
            <w:r>
              <w:rPr>
                <w:spacing w:val="6"/>
                <w:sz w:val="20"/>
                <w:szCs w:val="20"/>
              </w:rPr>
              <w:t>消防器材</w:t>
            </w:r>
          </w:p>
        </w:tc>
        <w:tc>
          <w:tcPr>
            <w:tcW w:w="1907" w:type="dxa"/>
            <w:tcBorders>
              <w:left w:val="single" w:color="000000" w:sz="2" w:space="0"/>
              <w:right w:val="single" w:color="000000" w:sz="6" w:space="0"/>
            </w:tcBorders>
            <w:vAlign w:val="top"/>
          </w:tcPr>
          <w:p w14:paraId="44425155">
            <w:pPr>
              <w:pStyle w:val="6"/>
              <w:spacing w:before="96" w:line="228" w:lineRule="auto"/>
              <w:ind w:left="275"/>
              <w:rPr>
                <w:sz w:val="20"/>
                <w:szCs w:val="20"/>
              </w:rPr>
            </w:pPr>
            <w:r>
              <w:rPr>
                <w:spacing w:val="8"/>
                <w:sz w:val="20"/>
                <w:szCs w:val="20"/>
              </w:rPr>
              <w:t>钻井队副队长</w:t>
            </w:r>
          </w:p>
        </w:tc>
      </w:tr>
      <w:tr w14:paraId="48FEA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486" w:type="dxa"/>
            <w:vMerge w:val="continue"/>
            <w:tcBorders>
              <w:top w:val="nil"/>
              <w:left w:val="single" w:color="000000" w:sz="6" w:space="0"/>
              <w:bottom w:val="nil"/>
              <w:right w:val="single" w:color="000000" w:sz="2" w:space="0"/>
            </w:tcBorders>
            <w:vAlign w:val="top"/>
          </w:tcPr>
          <w:p w14:paraId="0903DDED">
            <w:pPr>
              <w:rPr>
                <w:rFonts w:ascii="Arial"/>
                <w:sz w:val="21"/>
              </w:rPr>
            </w:pPr>
          </w:p>
        </w:tc>
        <w:tc>
          <w:tcPr>
            <w:tcW w:w="803" w:type="dxa"/>
            <w:tcBorders>
              <w:left w:val="single" w:color="000000" w:sz="2" w:space="0"/>
              <w:right w:val="single" w:color="000000" w:sz="2" w:space="0"/>
            </w:tcBorders>
            <w:vAlign w:val="top"/>
          </w:tcPr>
          <w:p w14:paraId="75C646F0">
            <w:pPr>
              <w:spacing w:before="134" w:line="195" w:lineRule="auto"/>
              <w:ind w:left="40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314" w:type="dxa"/>
            <w:tcBorders>
              <w:left w:val="single" w:color="000000" w:sz="2" w:space="0"/>
            </w:tcBorders>
            <w:vAlign w:val="top"/>
          </w:tcPr>
          <w:p w14:paraId="5ED4D118">
            <w:pPr>
              <w:pStyle w:val="6"/>
              <w:spacing w:before="98" w:line="221" w:lineRule="auto"/>
              <w:ind w:left="491"/>
              <w:rPr>
                <w:sz w:val="20"/>
                <w:szCs w:val="20"/>
              </w:rPr>
            </w:pPr>
            <w:r>
              <w:rPr>
                <w:rFonts w:ascii="Times New Roman" w:hAnsi="Times New Roman" w:eastAsia="Times New Roman" w:cs="Times New Roman"/>
                <w:spacing w:val="7"/>
                <w:sz w:val="20"/>
                <w:szCs w:val="20"/>
              </w:rPr>
              <w:t>5</w:t>
            </w:r>
            <w:r>
              <w:rPr>
                <w:rFonts w:ascii="Times New Roman" w:hAnsi="Times New Roman" w:eastAsia="Times New Roman" w:cs="Times New Roman"/>
                <w:sz w:val="20"/>
                <w:szCs w:val="20"/>
              </w:rPr>
              <w:t>kgCO</w:t>
            </w:r>
            <w:r>
              <w:rPr>
                <w:rFonts w:ascii="Times New Roman" w:hAnsi="Times New Roman" w:eastAsia="Times New Roman" w:cs="Times New Roman"/>
                <w:spacing w:val="7"/>
                <w:position w:val="-1"/>
                <w:sz w:val="13"/>
                <w:szCs w:val="13"/>
              </w:rPr>
              <w:t>2</w:t>
            </w:r>
            <w:r>
              <w:rPr>
                <w:rFonts w:ascii="Times New Roman" w:hAnsi="Times New Roman" w:eastAsia="Times New Roman" w:cs="Times New Roman"/>
                <w:spacing w:val="15"/>
                <w:w w:val="101"/>
                <w:position w:val="-1"/>
                <w:sz w:val="13"/>
                <w:szCs w:val="13"/>
              </w:rPr>
              <w:t xml:space="preserve"> </w:t>
            </w:r>
            <w:r>
              <w:rPr>
                <w:spacing w:val="7"/>
                <w:sz w:val="20"/>
                <w:szCs w:val="20"/>
              </w:rPr>
              <w:t>灭火器</w:t>
            </w:r>
          </w:p>
        </w:tc>
        <w:tc>
          <w:tcPr>
            <w:tcW w:w="1963" w:type="dxa"/>
            <w:vAlign w:val="top"/>
          </w:tcPr>
          <w:p w14:paraId="68F0A8BD">
            <w:pPr>
              <w:pStyle w:val="6"/>
              <w:spacing w:before="98" w:line="227" w:lineRule="auto"/>
              <w:ind w:left="354"/>
              <w:rPr>
                <w:sz w:val="20"/>
                <w:szCs w:val="20"/>
              </w:rPr>
            </w:pPr>
            <w:r>
              <w:rPr>
                <w:spacing w:val="8"/>
                <w:sz w:val="20"/>
                <w:szCs w:val="20"/>
              </w:rPr>
              <w:t>机房、配电房</w:t>
            </w:r>
          </w:p>
        </w:tc>
        <w:tc>
          <w:tcPr>
            <w:tcW w:w="1428" w:type="dxa"/>
            <w:tcBorders>
              <w:right w:val="single" w:color="000000" w:sz="2" w:space="0"/>
            </w:tcBorders>
            <w:vAlign w:val="top"/>
          </w:tcPr>
          <w:p w14:paraId="55B7C241">
            <w:pPr>
              <w:pStyle w:val="6"/>
              <w:spacing w:before="98" w:line="227" w:lineRule="auto"/>
              <w:ind w:left="304"/>
              <w:rPr>
                <w:sz w:val="20"/>
                <w:szCs w:val="20"/>
              </w:rPr>
            </w:pPr>
            <w:r>
              <w:rPr>
                <w:spacing w:val="6"/>
                <w:sz w:val="20"/>
                <w:szCs w:val="20"/>
              </w:rPr>
              <w:t>消防器材</w:t>
            </w:r>
          </w:p>
        </w:tc>
        <w:tc>
          <w:tcPr>
            <w:tcW w:w="1907" w:type="dxa"/>
            <w:tcBorders>
              <w:left w:val="single" w:color="000000" w:sz="2" w:space="0"/>
              <w:right w:val="single" w:color="000000" w:sz="6" w:space="0"/>
            </w:tcBorders>
            <w:vAlign w:val="top"/>
          </w:tcPr>
          <w:p w14:paraId="5A8D3E06">
            <w:pPr>
              <w:pStyle w:val="6"/>
              <w:spacing w:before="98" w:line="228" w:lineRule="auto"/>
              <w:ind w:left="275"/>
              <w:rPr>
                <w:sz w:val="20"/>
                <w:szCs w:val="20"/>
              </w:rPr>
            </w:pPr>
            <w:r>
              <w:rPr>
                <w:spacing w:val="8"/>
                <w:sz w:val="20"/>
                <w:szCs w:val="20"/>
              </w:rPr>
              <w:t>钻井队副队长</w:t>
            </w:r>
          </w:p>
        </w:tc>
      </w:tr>
      <w:tr w14:paraId="24E314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486" w:type="dxa"/>
            <w:vMerge w:val="continue"/>
            <w:tcBorders>
              <w:top w:val="nil"/>
              <w:left w:val="single" w:color="000000" w:sz="6" w:space="0"/>
              <w:bottom w:val="nil"/>
              <w:right w:val="single" w:color="000000" w:sz="2" w:space="0"/>
            </w:tcBorders>
            <w:vAlign w:val="top"/>
          </w:tcPr>
          <w:p w14:paraId="3D97DE98">
            <w:pPr>
              <w:rPr>
                <w:rFonts w:ascii="Arial"/>
                <w:sz w:val="21"/>
              </w:rPr>
            </w:pPr>
          </w:p>
        </w:tc>
        <w:tc>
          <w:tcPr>
            <w:tcW w:w="803" w:type="dxa"/>
            <w:tcBorders>
              <w:left w:val="single" w:color="000000" w:sz="2" w:space="0"/>
              <w:right w:val="single" w:color="000000" w:sz="2" w:space="0"/>
            </w:tcBorders>
            <w:vAlign w:val="top"/>
          </w:tcPr>
          <w:p w14:paraId="4B29C622">
            <w:pPr>
              <w:spacing w:before="133"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314" w:type="dxa"/>
            <w:tcBorders>
              <w:left w:val="single" w:color="000000" w:sz="2" w:space="0"/>
            </w:tcBorders>
            <w:vAlign w:val="top"/>
          </w:tcPr>
          <w:p w14:paraId="125A0EAE">
            <w:pPr>
              <w:pStyle w:val="6"/>
              <w:spacing w:before="97" w:line="221" w:lineRule="auto"/>
              <w:ind w:left="489"/>
              <w:rPr>
                <w:sz w:val="20"/>
                <w:szCs w:val="20"/>
              </w:rPr>
            </w:pPr>
            <w:r>
              <w:rPr>
                <w:rFonts w:ascii="Times New Roman" w:hAnsi="Times New Roman" w:eastAsia="Times New Roman" w:cs="Times New Roman"/>
                <w:spacing w:val="8"/>
                <w:sz w:val="20"/>
                <w:szCs w:val="20"/>
              </w:rPr>
              <w:t>7</w:t>
            </w:r>
            <w:r>
              <w:rPr>
                <w:rFonts w:ascii="Times New Roman" w:hAnsi="Times New Roman" w:eastAsia="Times New Roman" w:cs="Times New Roman"/>
                <w:sz w:val="20"/>
                <w:szCs w:val="20"/>
              </w:rPr>
              <w:t>kgCO</w:t>
            </w:r>
            <w:r>
              <w:rPr>
                <w:rFonts w:ascii="Times New Roman" w:hAnsi="Times New Roman" w:eastAsia="Times New Roman" w:cs="Times New Roman"/>
                <w:spacing w:val="8"/>
                <w:position w:val="-1"/>
                <w:sz w:val="13"/>
                <w:szCs w:val="13"/>
              </w:rPr>
              <w:t>2</w:t>
            </w:r>
            <w:r>
              <w:rPr>
                <w:rFonts w:ascii="Times New Roman" w:hAnsi="Times New Roman" w:eastAsia="Times New Roman" w:cs="Times New Roman"/>
                <w:spacing w:val="13"/>
                <w:w w:val="102"/>
                <w:position w:val="-1"/>
                <w:sz w:val="13"/>
                <w:szCs w:val="13"/>
              </w:rPr>
              <w:t xml:space="preserve"> </w:t>
            </w:r>
            <w:r>
              <w:rPr>
                <w:spacing w:val="8"/>
                <w:sz w:val="20"/>
                <w:szCs w:val="20"/>
              </w:rPr>
              <w:t>灭火器</w:t>
            </w:r>
          </w:p>
        </w:tc>
        <w:tc>
          <w:tcPr>
            <w:tcW w:w="1963" w:type="dxa"/>
            <w:vAlign w:val="top"/>
          </w:tcPr>
          <w:p w14:paraId="5DBDB98B">
            <w:pPr>
              <w:pStyle w:val="6"/>
              <w:spacing w:before="97" w:line="228" w:lineRule="auto"/>
              <w:ind w:left="672"/>
              <w:rPr>
                <w:sz w:val="20"/>
                <w:szCs w:val="20"/>
              </w:rPr>
            </w:pPr>
            <w:r>
              <w:rPr>
                <w:spacing w:val="5"/>
                <w:sz w:val="20"/>
                <w:szCs w:val="20"/>
              </w:rPr>
              <w:t>发电房</w:t>
            </w:r>
          </w:p>
        </w:tc>
        <w:tc>
          <w:tcPr>
            <w:tcW w:w="1428" w:type="dxa"/>
            <w:tcBorders>
              <w:right w:val="single" w:color="000000" w:sz="2" w:space="0"/>
            </w:tcBorders>
            <w:vAlign w:val="top"/>
          </w:tcPr>
          <w:p w14:paraId="38F71615">
            <w:pPr>
              <w:pStyle w:val="6"/>
              <w:spacing w:before="97" w:line="227" w:lineRule="auto"/>
              <w:ind w:left="304"/>
              <w:rPr>
                <w:sz w:val="20"/>
                <w:szCs w:val="20"/>
              </w:rPr>
            </w:pPr>
            <w:r>
              <w:rPr>
                <w:spacing w:val="6"/>
                <w:sz w:val="20"/>
                <w:szCs w:val="20"/>
              </w:rPr>
              <w:t>消防器材</w:t>
            </w:r>
          </w:p>
        </w:tc>
        <w:tc>
          <w:tcPr>
            <w:tcW w:w="1907" w:type="dxa"/>
            <w:tcBorders>
              <w:left w:val="single" w:color="000000" w:sz="2" w:space="0"/>
              <w:right w:val="single" w:color="000000" w:sz="6" w:space="0"/>
            </w:tcBorders>
            <w:vAlign w:val="top"/>
          </w:tcPr>
          <w:p w14:paraId="2DC12E7B">
            <w:pPr>
              <w:pStyle w:val="6"/>
              <w:spacing w:before="96" w:line="228" w:lineRule="auto"/>
              <w:ind w:left="275"/>
              <w:rPr>
                <w:sz w:val="20"/>
                <w:szCs w:val="20"/>
              </w:rPr>
            </w:pPr>
            <w:r>
              <w:rPr>
                <w:spacing w:val="8"/>
                <w:sz w:val="20"/>
                <w:szCs w:val="20"/>
              </w:rPr>
              <w:t>钻井队副队长</w:t>
            </w:r>
          </w:p>
        </w:tc>
      </w:tr>
      <w:tr w14:paraId="024E9B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486" w:type="dxa"/>
            <w:vMerge w:val="continue"/>
            <w:tcBorders>
              <w:top w:val="nil"/>
              <w:left w:val="single" w:color="000000" w:sz="6" w:space="0"/>
              <w:bottom w:val="nil"/>
              <w:right w:val="single" w:color="000000" w:sz="2" w:space="0"/>
            </w:tcBorders>
            <w:vAlign w:val="top"/>
          </w:tcPr>
          <w:p w14:paraId="0D64AFE8">
            <w:pPr>
              <w:rPr>
                <w:rFonts w:ascii="Arial"/>
                <w:sz w:val="21"/>
              </w:rPr>
            </w:pPr>
          </w:p>
        </w:tc>
        <w:tc>
          <w:tcPr>
            <w:tcW w:w="803" w:type="dxa"/>
            <w:tcBorders>
              <w:left w:val="single" w:color="000000" w:sz="2" w:space="0"/>
              <w:right w:val="single" w:color="000000" w:sz="2" w:space="0"/>
            </w:tcBorders>
            <w:vAlign w:val="top"/>
          </w:tcPr>
          <w:p w14:paraId="248B2F1F">
            <w:pPr>
              <w:spacing w:before="136" w:line="192" w:lineRule="auto"/>
              <w:ind w:left="40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314" w:type="dxa"/>
            <w:tcBorders>
              <w:left w:val="single" w:color="000000" w:sz="2" w:space="0"/>
            </w:tcBorders>
            <w:vAlign w:val="top"/>
          </w:tcPr>
          <w:p w14:paraId="1272990D">
            <w:pPr>
              <w:pStyle w:val="6"/>
              <w:spacing w:before="97" w:line="228" w:lineRule="auto"/>
              <w:ind w:left="846"/>
              <w:rPr>
                <w:sz w:val="20"/>
                <w:szCs w:val="20"/>
              </w:rPr>
            </w:pPr>
            <w:r>
              <w:rPr>
                <w:spacing w:val="5"/>
                <w:sz w:val="20"/>
                <w:szCs w:val="20"/>
              </w:rPr>
              <w:t>消防斧</w:t>
            </w:r>
          </w:p>
        </w:tc>
        <w:tc>
          <w:tcPr>
            <w:tcW w:w="1963" w:type="dxa"/>
            <w:vAlign w:val="top"/>
          </w:tcPr>
          <w:p w14:paraId="769F0DC3">
            <w:pPr>
              <w:pStyle w:val="6"/>
              <w:spacing w:before="98" w:line="228" w:lineRule="auto"/>
              <w:ind w:left="673"/>
              <w:rPr>
                <w:sz w:val="20"/>
                <w:szCs w:val="20"/>
              </w:rPr>
            </w:pPr>
            <w:r>
              <w:rPr>
                <w:spacing w:val="5"/>
                <w:sz w:val="20"/>
                <w:szCs w:val="20"/>
              </w:rPr>
              <w:t>消防房</w:t>
            </w:r>
          </w:p>
        </w:tc>
        <w:tc>
          <w:tcPr>
            <w:tcW w:w="1428" w:type="dxa"/>
            <w:tcBorders>
              <w:right w:val="single" w:color="000000" w:sz="2" w:space="0"/>
            </w:tcBorders>
            <w:vAlign w:val="top"/>
          </w:tcPr>
          <w:p w14:paraId="765ED696">
            <w:pPr>
              <w:pStyle w:val="6"/>
              <w:spacing w:before="97" w:line="227" w:lineRule="auto"/>
              <w:ind w:left="304"/>
              <w:rPr>
                <w:sz w:val="20"/>
                <w:szCs w:val="20"/>
              </w:rPr>
            </w:pPr>
            <w:r>
              <w:rPr>
                <w:spacing w:val="6"/>
                <w:sz w:val="20"/>
                <w:szCs w:val="20"/>
              </w:rPr>
              <w:t>消防器材</w:t>
            </w:r>
          </w:p>
        </w:tc>
        <w:tc>
          <w:tcPr>
            <w:tcW w:w="1907" w:type="dxa"/>
            <w:tcBorders>
              <w:left w:val="single" w:color="000000" w:sz="2" w:space="0"/>
              <w:right w:val="single" w:color="000000" w:sz="6" w:space="0"/>
            </w:tcBorders>
            <w:vAlign w:val="top"/>
          </w:tcPr>
          <w:p w14:paraId="0CA8AF64">
            <w:pPr>
              <w:pStyle w:val="6"/>
              <w:spacing w:before="97" w:line="228" w:lineRule="auto"/>
              <w:ind w:left="275"/>
              <w:rPr>
                <w:sz w:val="20"/>
                <w:szCs w:val="20"/>
              </w:rPr>
            </w:pPr>
            <w:r>
              <w:rPr>
                <w:spacing w:val="8"/>
                <w:sz w:val="20"/>
                <w:szCs w:val="20"/>
              </w:rPr>
              <w:t>钻井队副队长</w:t>
            </w:r>
          </w:p>
        </w:tc>
      </w:tr>
      <w:tr w14:paraId="288E12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486" w:type="dxa"/>
            <w:vMerge w:val="continue"/>
            <w:tcBorders>
              <w:top w:val="nil"/>
              <w:left w:val="single" w:color="000000" w:sz="6" w:space="0"/>
              <w:bottom w:val="nil"/>
              <w:right w:val="single" w:color="000000" w:sz="2" w:space="0"/>
            </w:tcBorders>
            <w:vAlign w:val="top"/>
          </w:tcPr>
          <w:p w14:paraId="7F8F79D8">
            <w:pPr>
              <w:rPr>
                <w:rFonts w:ascii="Arial"/>
                <w:sz w:val="21"/>
              </w:rPr>
            </w:pPr>
          </w:p>
        </w:tc>
        <w:tc>
          <w:tcPr>
            <w:tcW w:w="803" w:type="dxa"/>
            <w:tcBorders>
              <w:left w:val="single" w:color="000000" w:sz="2" w:space="0"/>
              <w:right w:val="single" w:color="000000" w:sz="2" w:space="0"/>
            </w:tcBorders>
            <w:vAlign w:val="top"/>
          </w:tcPr>
          <w:p w14:paraId="17452042">
            <w:pPr>
              <w:spacing w:before="134" w:line="195" w:lineRule="auto"/>
              <w:ind w:left="403"/>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314" w:type="dxa"/>
            <w:tcBorders>
              <w:left w:val="single" w:color="000000" w:sz="2" w:space="0"/>
            </w:tcBorders>
            <w:vAlign w:val="top"/>
          </w:tcPr>
          <w:p w14:paraId="30AB1365">
            <w:pPr>
              <w:pStyle w:val="6"/>
              <w:spacing w:before="99" w:line="228" w:lineRule="auto"/>
              <w:ind w:left="846"/>
              <w:rPr>
                <w:sz w:val="20"/>
                <w:szCs w:val="20"/>
              </w:rPr>
            </w:pPr>
            <w:r>
              <w:rPr>
                <w:spacing w:val="5"/>
                <w:sz w:val="20"/>
                <w:szCs w:val="20"/>
              </w:rPr>
              <w:t>消防钩</w:t>
            </w:r>
          </w:p>
        </w:tc>
        <w:tc>
          <w:tcPr>
            <w:tcW w:w="1963" w:type="dxa"/>
            <w:vAlign w:val="top"/>
          </w:tcPr>
          <w:p w14:paraId="5F65F67E">
            <w:pPr>
              <w:pStyle w:val="6"/>
              <w:spacing w:before="99" w:line="228" w:lineRule="auto"/>
              <w:ind w:left="673"/>
              <w:rPr>
                <w:sz w:val="20"/>
                <w:szCs w:val="20"/>
              </w:rPr>
            </w:pPr>
            <w:r>
              <w:rPr>
                <w:spacing w:val="5"/>
                <w:sz w:val="20"/>
                <w:szCs w:val="20"/>
              </w:rPr>
              <w:t>消防房</w:t>
            </w:r>
          </w:p>
        </w:tc>
        <w:tc>
          <w:tcPr>
            <w:tcW w:w="1428" w:type="dxa"/>
            <w:tcBorders>
              <w:right w:val="single" w:color="000000" w:sz="2" w:space="0"/>
            </w:tcBorders>
            <w:vAlign w:val="top"/>
          </w:tcPr>
          <w:p w14:paraId="4C27C7D4">
            <w:pPr>
              <w:pStyle w:val="6"/>
              <w:spacing w:before="98" w:line="227" w:lineRule="auto"/>
              <w:ind w:left="304"/>
              <w:rPr>
                <w:sz w:val="20"/>
                <w:szCs w:val="20"/>
              </w:rPr>
            </w:pPr>
            <w:r>
              <w:rPr>
                <w:spacing w:val="6"/>
                <w:sz w:val="20"/>
                <w:szCs w:val="20"/>
              </w:rPr>
              <w:t>消防器材</w:t>
            </w:r>
          </w:p>
        </w:tc>
        <w:tc>
          <w:tcPr>
            <w:tcW w:w="1907" w:type="dxa"/>
            <w:tcBorders>
              <w:left w:val="single" w:color="000000" w:sz="2" w:space="0"/>
              <w:right w:val="single" w:color="000000" w:sz="6" w:space="0"/>
            </w:tcBorders>
            <w:vAlign w:val="top"/>
          </w:tcPr>
          <w:p w14:paraId="7A0F71B3">
            <w:pPr>
              <w:pStyle w:val="6"/>
              <w:spacing w:before="98" w:line="228" w:lineRule="auto"/>
              <w:ind w:left="275"/>
              <w:rPr>
                <w:sz w:val="20"/>
                <w:szCs w:val="20"/>
              </w:rPr>
            </w:pPr>
            <w:r>
              <w:rPr>
                <w:spacing w:val="8"/>
                <w:sz w:val="20"/>
                <w:szCs w:val="20"/>
              </w:rPr>
              <w:t>钻井队副队长</w:t>
            </w:r>
          </w:p>
        </w:tc>
      </w:tr>
      <w:tr w14:paraId="18FCC9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486" w:type="dxa"/>
            <w:vMerge w:val="continue"/>
            <w:tcBorders>
              <w:top w:val="nil"/>
              <w:left w:val="single" w:color="000000" w:sz="6" w:space="0"/>
              <w:bottom w:val="nil"/>
              <w:right w:val="single" w:color="000000" w:sz="2" w:space="0"/>
            </w:tcBorders>
            <w:vAlign w:val="top"/>
          </w:tcPr>
          <w:p w14:paraId="3C82F60F">
            <w:pPr>
              <w:rPr>
                <w:rFonts w:ascii="Arial"/>
                <w:sz w:val="21"/>
              </w:rPr>
            </w:pPr>
          </w:p>
        </w:tc>
        <w:tc>
          <w:tcPr>
            <w:tcW w:w="803" w:type="dxa"/>
            <w:tcBorders>
              <w:left w:val="single" w:color="000000" w:sz="2" w:space="0"/>
              <w:right w:val="single" w:color="000000" w:sz="2" w:space="0"/>
            </w:tcBorders>
            <w:vAlign w:val="top"/>
          </w:tcPr>
          <w:p w14:paraId="5AC4ABFF">
            <w:pPr>
              <w:spacing w:before="136" w:line="192" w:lineRule="auto"/>
              <w:ind w:left="401"/>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314" w:type="dxa"/>
            <w:tcBorders>
              <w:left w:val="single" w:color="000000" w:sz="2" w:space="0"/>
            </w:tcBorders>
            <w:vAlign w:val="top"/>
          </w:tcPr>
          <w:p w14:paraId="4D11B752">
            <w:pPr>
              <w:pStyle w:val="6"/>
              <w:spacing w:before="97" w:line="228" w:lineRule="auto"/>
              <w:ind w:left="846"/>
              <w:rPr>
                <w:sz w:val="20"/>
                <w:szCs w:val="20"/>
              </w:rPr>
            </w:pPr>
            <w:r>
              <w:rPr>
                <w:spacing w:val="5"/>
                <w:sz w:val="20"/>
                <w:szCs w:val="20"/>
              </w:rPr>
              <w:t>消防锹</w:t>
            </w:r>
          </w:p>
        </w:tc>
        <w:tc>
          <w:tcPr>
            <w:tcW w:w="1963" w:type="dxa"/>
            <w:vAlign w:val="top"/>
          </w:tcPr>
          <w:p w14:paraId="1691C6FE">
            <w:pPr>
              <w:pStyle w:val="6"/>
              <w:spacing w:before="97" w:line="228" w:lineRule="auto"/>
              <w:ind w:left="673"/>
              <w:rPr>
                <w:sz w:val="20"/>
                <w:szCs w:val="20"/>
              </w:rPr>
            </w:pPr>
            <w:r>
              <w:rPr>
                <w:spacing w:val="5"/>
                <w:sz w:val="20"/>
                <w:szCs w:val="20"/>
              </w:rPr>
              <w:t>消防房</w:t>
            </w:r>
          </w:p>
        </w:tc>
        <w:tc>
          <w:tcPr>
            <w:tcW w:w="1428" w:type="dxa"/>
            <w:tcBorders>
              <w:right w:val="single" w:color="000000" w:sz="2" w:space="0"/>
            </w:tcBorders>
            <w:vAlign w:val="top"/>
          </w:tcPr>
          <w:p w14:paraId="5911070A">
            <w:pPr>
              <w:pStyle w:val="6"/>
              <w:spacing w:before="97" w:line="227" w:lineRule="auto"/>
              <w:ind w:left="304"/>
              <w:rPr>
                <w:sz w:val="20"/>
                <w:szCs w:val="20"/>
              </w:rPr>
            </w:pPr>
            <w:r>
              <w:rPr>
                <w:spacing w:val="6"/>
                <w:sz w:val="20"/>
                <w:szCs w:val="20"/>
              </w:rPr>
              <w:t>消防器材</w:t>
            </w:r>
          </w:p>
        </w:tc>
        <w:tc>
          <w:tcPr>
            <w:tcW w:w="1907" w:type="dxa"/>
            <w:tcBorders>
              <w:left w:val="single" w:color="000000" w:sz="2" w:space="0"/>
              <w:right w:val="single" w:color="000000" w:sz="6" w:space="0"/>
            </w:tcBorders>
            <w:vAlign w:val="top"/>
          </w:tcPr>
          <w:p w14:paraId="11A26109">
            <w:pPr>
              <w:pStyle w:val="6"/>
              <w:spacing w:before="96" w:line="228" w:lineRule="auto"/>
              <w:ind w:left="275"/>
              <w:rPr>
                <w:sz w:val="20"/>
                <w:szCs w:val="20"/>
              </w:rPr>
            </w:pPr>
            <w:r>
              <w:rPr>
                <w:spacing w:val="8"/>
                <w:sz w:val="20"/>
                <w:szCs w:val="20"/>
              </w:rPr>
              <w:t>钻井队副队长</w:t>
            </w:r>
          </w:p>
        </w:tc>
      </w:tr>
      <w:tr w14:paraId="7DCA7C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486" w:type="dxa"/>
            <w:vMerge w:val="continue"/>
            <w:tcBorders>
              <w:top w:val="nil"/>
              <w:left w:val="single" w:color="000000" w:sz="6" w:space="0"/>
              <w:bottom w:val="nil"/>
              <w:right w:val="single" w:color="000000" w:sz="2" w:space="0"/>
            </w:tcBorders>
            <w:vAlign w:val="top"/>
          </w:tcPr>
          <w:p w14:paraId="6C5B5CB4">
            <w:pPr>
              <w:rPr>
                <w:rFonts w:ascii="Arial"/>
                <w:sz w:val="21"/>
              </w:rPr>
            </w:pPr>
          </w:p>
        </w:tc>
        <w:tc>
          <w:tcPr>
            <w:tcW w:w="803" w:type="dxa"/>
            <w:tcBorders>
              <w:left w:val="single" w:color="000000" w:sz="2" w:space="0"/>
              <w:right w:val="single" w:color="000000" w:sz="2" w:space="0"/>
            </w:tcBorders>
            <w:vAlign w:val="top"/>
          </w:tcPr>
          <w:p w14:paraId="0650A988">
            <w:pPr>
              <w:spacing w:before="134" w:line="195" w:lineRule="auto"/>
              <w:ind w:left="406"/>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314" w:type="dxa"/>
            <w:tcBorders>
              <w:left w:val="single" w:color="000000" w:sz="2" w:space="0"/>
            </w:tcBorders>
            <w:vAlign w:val="top"/>
          </w:tcPr>
          <w:p w14:paraId="665AD00C">
            <w:pPr>
              <w:pStyle w:val="6"/>
              <w:spacing w:before="98" w:line="228" w:lineRule="auto"/>
              <w:ind w:left="846"/>
              <w:rPr>
                <w:sz w:val="20"/>
                <w:szCs w:val="20"/>
              </w:rPr>
            </w:pPr>
            <w:r>
              <w:rPr>
                <w:spacing w:val="5"/>
                <w:sz w:val="20"/>
                <w:szCs w:val="20"/>
              </w:rPr>
              <w:t>消防桶</w:t>
            </w:r>
          </w:p>
        </w:tc>
        <w:tc>
          <w:tcPr>
            <w:tcW w:w="1963" w:type="dxa"/>
            <w:vAlign w:val="top"/>
          </w:tcPr>
          <w:p w14:paraId="66B244F9">
            <w:pPr>
              <w:pStyle w:val="6"/>
              <w:spacing w:before="99" w:line="228" w:lineRule="auto"/>
              <w:ind w:left="673"/>
              <w:rPr>
                <w:sz w:val="20"/>
                <w:szCs w:val="20"/>
              </w:rPr>
            </w:pPr>
            <w:r>
              <w:rPr>
                <w:spacing w:val="5"/>
                <w:sz w:val="20"/>
                <w:szCs w:val="20"/>
              </w:rPr>
              <w:t>消防房</w:t>
            </w:r>
          </w:p>
        </w:tc>
        <w:tc>
          <w:tcPr>
            <w:tcW w:w="1428" w:type="dxa"/>
            <w:tcBorders>
              <w:right w:val="single" w:color="000000" w:sz="2" w:space="0"/>
            </w:tcBorders>
            <w:vAlign w:val="top"/>
          </w:tcPr>
          <w:p w14:paraId="1D0C3A0A">
            <w:pPr>
              <w:pStyle w:val="6"/>
              <w:spacing w:before="98" w:line="227" w:lineRule="auto"/>
              <w:ind w:left="304"/>
              <w:rPr>
                <w:sz w:val="20"/>
                <w:szCs w:val="20"/>
              </w:rPr>
            </w:pPr>
            <w:r>
              <w:rPr>
                <w:spacing w:val="6"/>
                <w:sz w:val="20"/>
                <w:szCs w:val="20"/>
              </w:rPr>
              <w:t>消防器材</w:t>
            </w:r>
          </w:p>
        </w:tc>
        <w:tc>
          <w:tcPr>
            <w:tcW w:w="1907" w:type="dxa"/>
            <w:tcBorders>
              <w:left w:val="single" w:color="000000" w:sz="2" w:space="0"/>
              <w:right w:val="single" w:color="000000" w:sz="6" w:space="0"/>
            </w:tcBorders>
            <w:vAlign w:val="top"/>
          </w:tcPr>
          <w:p w14:paraId="666E4BBA">
            <w:pPr>
              <w:pStyle w:val="6"/>
              <w:spacing w:before="98" w:line="228" w:lineRule="auto"/>
              <w:ind w:left="275"/>
              <w:rPr>
                <w:sz w:val="20"/>
                <w:szCs w:val="20"/>
              </w:rPr>
            </w:pPr>
            <w:r>
              <w:rPr>
                <w:spacing w:val="8"/>
                <w:sz w:val="20"/>
                <w:szCs w:val="20"/>
              </w:rPr>
              <w:t>钻井队副队长</w:t>
            </w:r>
          </w:p>
        </w:tc>
      </w:tr>
      <w:tr w14:paraId="5E0A53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486" w:type="dxa"/>
            <w:vMerge w:val="continue"/>
            <w:tcBorders>
              <w:top w:val="nil"/>
              <w:left w:val="single" w:color="000000" w:sz="6" w:space="0"/>
              <w:bottom w:val="nil"/>
              <w:right w:val="single" w:color="000000" w:sz="2" w:space="0"/>
            </w:tcBorders>
            <w:vAlign w:val="top"/>
          </w:tcPr>
          <w:p w14:paraId="15BE213C">
            <w:pPr>
              <w:rPr>
                <w:rFonts w:ascii="Arial"/>
                <w:sz w:val="21"/>
              </w:rPr>
            </w:pPr>
          </w:p>
        </w:tc>
        <w:tc>
          <w:tcPr>
            <w:tcW w:w="803" w:type="dxa"/>
            <w:tcBorders>
              <w:left w:val="single" w:color="000000" w:sz="2" w:space="0"/>
              <w:right w:val="single" w:color="000000" w:sz="2" w:space="0"/>
            </w:tcBorders>
            <w:vAlign w:val="top"/>
          </w:tcPr>
          <w:p w14:paraId="0D2866E6">
            <w:pPr>
              <w:spacing w:before="135" w:line="195" w:lineRule="auto"/>
              <w:ind w:left="402"/>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2314" w:type="dxa"/>
            <w:tcBorders>
              <w:left w:val="single" w:color="000000" w:sz="2" w:space="0"/>
            </w:tcBorders>
            <w:vAlign w:val="top"/>
          </w:tcPr>
          <w:p w14:paraId="17A400EF">
            <w:pPr>
              <w:pStyle w:val="6"/>
              <w:spacing w:before="100" w:line="228" w:lineRule="auto"/>
              <w:ind w:left="846"/>
              <w:rPr>
                <w:sz w:val="20"/>
                <w:szCs w:val="20"/>
              </w:rPr>
            </w:pPr>
            <w:r>
              <w:rPr>
                <w:spacing w:val="5"/>
                <w:sz w:val="20"/>
                <w:szCs w:val="20"/>
              </w:rPr>
              <w:t>消防毡</w:t>
            </w:r>
          </w:p>
        </w:tc>
        <w:tc>
          <w:tcPr>
            <w:tcW w:w="1963" w:type="dxa"/>
            <w:vAlign w:val="top"/>
          </w:tcPr>
          <w:p w14:paraId="0EE5507E">
            <w:pPr>
              <w:pStyle w:val="6"/>
              <w:spacing w:before="100" w:line="228" w:lineRule="auto"/>
              <w:ind w:left="673"/>
              <w:rPr>
                <w:sz w:val="20"/>
                <w:szCs w:val="20"/>
              </w:rPr>
            </w:pPr>
            <w:r>
              <w:rPr>
                <w:spacing w:val="5"/>
                <w:sz w:val="20"/>
                <w:szCs w:val="20"/>
              </w:rPr>
              <w:t>消防房</w:t>
            </w:r>
          </w:p>
        </w:tc>
        <w:tc>
          <w:tcPr>
            <w:tcW w:w="1428" w:type="dxa"/>
            <w:tcBorders>
              <w:right w:val="single" w:color="000000" w:sz="2" w:space="0"/>
            </w:tcBorders>
            <w:vAlign w:val="top"/>
          </w:tcPr>
          <w:p w14:paraId="0D782A06">
            <w:pPr>
              <w:pStyle w:val="6"/>
              <w:spacing w:before="99" w:line="227" w:lineRule="auto"/>
              <w:ind w:left="304"/>
              <w:rPr>
                <w:sz w:val="20"/>
                <w:szCs w:val="20"/>
              </w:rPr>
            </w:pPr>
            <w:r>
              <w:rPr>
                <w:spacing w:val="6"/>
                <w:sz w:val="20"/>
                <w:szCs w:val="20"/>
              </w:rPr>
              <w:t>消防器材</w:t>
            </w:r>
          </w:p>
        </w:tc>
        <w:tc>
          <w:tcPr>
            <w:tcW w:w="1907" w:type="dxa"/>
            <w:tcBorders>
              <w:left w:val="single" w:color="000000" w:sz="2" w:space="0"/>
              <w:right w:val="single" w:color="000000" w:sz="6" w:space="0"/>
            </w:tcBorders>
            <w:vAlign w:val="top"/>
          </w:tcPr>
          <w:p w14:paraId="295459AD">
            <w:pPr>
              <w:pStyle w:val="6"/>
              <w:spacing w:before="99" w:line="228" w:lineRule="auto"/>
              <w:ind w:left="275"/>
              <w:rPr>
                <w:sz w:val="20"/>
                <w:szCs w:val="20"/>
              </w:rPr>
            </w:pPr>
            <w:r>
              <w:rPr>
                <w:spacing w:val="8"/>
                <w:sz w:val="20"/>
                <w:szCs w:val="20"/>
              </w:rPr>
              <w:t>钻井队副队长</w:t>
            </w:r>
          </w:p>
        </w:tc>
      </w:tr>
      <w:tr w14:paraId="5C9A04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486" w:type="dxa"/>
            <w:vMerge w:val="continue"/>
            <w:tcBorders>
              <w:top w:val="nil"/>
              <w:left w:val="single" w:color="000000" w:sz="6" w:space="0"/>
              <w:bottom w:val="nil"/>
              <w:right w:val="single" w:color="000000" w:sz="2" w:space="0"/>
            </w:tcBorders>
            <w:vAlign w:val="top"/>
          </w:tcPr>
          <w:p w14:paraId="326C0222">
            <w:pPr>
              <w:rPr>
                <w:rFonts w:ascii="Arial"/>
                <w:sz w:val="21"/>
              </w:rPr>
            </w:pPr>
          </w:p>
        </w:tc>
        <w:tc>
          <w:tcPr>
            <w:tcW w:w="803" w:type="dxa"/>
            <w:tcBorders>
              <w:left w:val="single" w:color="000000" w:sz="2" w:space="0"/>
              <w:right w:val="single" w:color="000000" w:sz="2" w:space="0"/>
            </w:tcBorders>
            <w:vAlign w:val="top"/>
          </w:tcPr>
          <w:p w14:paraId="322282FF">
            <w:pPr>
              <w:spacing w:before="135" w:line="195" w:lineRule="auto"/>
              <w:ind w:left="36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2314" w:type="dxa"/>
            <w:tcBorders>
              <w:left w:val="single" w:color="000000" w:sz="2" w:space="0"/>
            </w:tcBorders>
            <w:vAlign w:val="top"/>
          </w:tcPr>
          <w:p w14:paraId="45069730">
            <w:pPr>
              <w:pStyle w:val="6"/>
              <w:spacing w:before="99" w:line="228" w:lineRule="auto"/>
              <w:ind w:left="846"/>
              <w:rPr>
                <w:sz w:val="20"/>
                <w:szCs w:val="20"/>
              </w:rPr>
            </w:pPr>
            <w:r>
              <w:rPr>
                <w:spacing w:val="5"/>
                <w:sz w:val="20"/>
                <w:szCs w:val="20"/>
              </w:rPr>
              <w:t>消防砂</w:t>
            </w:r>
          </w:p>
        </w:tc>
        <w:tc>
          <w:tcPr>
            <w:tcW w:w="1963" w:type="dxa"/>
            <w:vAlign w:val="top"/>
          </w:tcPr>
          <w:p w14:paraId="6337A297">
            <w:pPr>
              <w:pStyle w:val="6"/>
              <w:spacing w:before="98" w:line="228" w:lineRule="auto"/>
              <w:ind w:left="672"/>
              <w:rPr>
                <w:sz w:val="20"/>
                <w:szCs w:val="20"/>
              </w:rPr>
            </w:pPr>
            <w:r>
              <w:rPr>
                <w:spacing w:val="5"/>
                <w:sz w:val="20"/>
                <w:szCs w:val="20"/>
              </w:rPr>
              <w:t>油罐区</w:t>
            </w:r>
          </w:p>
        </w:tc>
        <w:tc>
          <w:tcPr>
            <w:tcW w:w="1428" w:type="dxa"/>
            <w:tcBorders>
              <w:right w:val="single" w:color="000000" w:sz="2" w:space="0"/>
            </w:tcBorders>
            <w:vAlign w:val="top"/>
          </w:tcPr>
          <w:p w14:paraId="17E4FD50">
            <w:pPr>
              <w:pStyle w:val="6"/>
              <w:spacing w:before="99" w:line="227" w:lineRule="auto"/>
              <w:ind w:left="304"/>
              <w:rPr>
                <w:sz w:val="20"/>
                <w:szCs w:val="20"/>
              </w:rPr>
            </w:pPr>
            <w:r>
              <w:rPr>
                <w:spacing w:val="6"/>
                <w:sz w:val="20"/>
                <w:szCs w:val="20"/>
              </w:rPr>
              <w:t>消防器材</w:t>
            </w:r>
          </w:p>
        </w:tc>
        <w:tc>
          <w:tcPr>
            <w:tcW w:w="1907" w:type="dxa"/>
            <w:tcBorders>
              <w:left w:val="single" w:color="000000" w:sz="2" w:space="0"/>
              <w:right w:val="single" w:color="000000" w:sz="6" w:space="0"/>
            </w:tcBorders>
            <w:vAlign w:val="top"/>
          </w:tcPr>
          <w:p w14:paraId="1DE9ADC6">
            <w:pPr>
              <w:pStyle w:val="6"/>
              <w:spacing w:before="98" w:line="228" w:lineRule="auto"/>
              <w:ind w:left="275"/>
              <w:rPr>
                <w:sz w:val="20"/>
                <w:szCs w:val="20"/>
              </w:rPr>
            </w:pPr>
            <w:r>
              <w:rPr>
                <w:spacing w:val="8"/>
                <w:sz w:val="20"/>
                <w:szCs w:val="20"/>
              </w:rPr>
              <w:t>钻井队副队长</w:t>
            </w:r>
          </w:p>
        </w:tc>
      </w:tr>
      <w:tr w14:paraId="542990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486" w:type="dxa"/>
            <w:vMerge w:val="continue"/>
            <w:tcBorders>
              <w:top w:val="nil"/>
              <w:left w:val="single" w:color="000000" w:sz="6" w:space="0"/>
              <w:bottom w:val="nil"/>
              <w:right w:val="single" w:color="000000" w:sz="2" w:space="0"/>
            </w:tcBorders>
            <w:vAlign w:val="top"/>
          </w:tcPr>
          <w:p w14:paraId="5ABF5918">
            <w:pPr>
              <w:rPr>
                <w:rFonts w:ascii="Arial"/>
                <w:sz w:val="21"/>
              </w:rPr>
            </w:pPr>
          </w:p>
        </w:tc>
        <w:tc>
          <w:tcPr>
            <w:tcW w:w="803" w:type="dxa"/>
            <w:tcBorders>
              <w:left w:val="single" w:color="000000" w:sz="2" w:space="0"/>
              <w:right w:val="single" w:color="000000" w:sz="2" w:space="0"/>
            </w:tcBorders>
            <w:vAlign w:val="top"/>
          </w:tcPr>
          <w:p w14:paraId="6D16D30C">
            <w:pPr>
              <w:spacing w:before="137" w:line="195" w:lineRule="auto"/>
              <w:ind w:left="370"/>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2314" w:type="dxa"/>
            <w:tcBorders>
              <w:left w:val="single" w:color="000000" w:sz="2" w:space="0"/>
            </w:tcBorders>
            <w:vAlign w:val="top"/>
          </w:tcPr>
          <w:p w14:paraId="4FB2664C">
            <w:pPr>
              <w:pStyle w:val="6"/>
              <w:spacing w:before="100" w:line="228" w:lineRule="auto"/>
              <w:ind w:left="634"/>
              <w:rPr>
                <w:sz w:val="20"/>
                <w:szCs w:val="20"/>
              </w:rPr>
            </w:pPr>
            <w:r>
              <w:rPr>
                <w:spacing w:val="7"/>
                <w:sz w:val="20"/>
                <w:szCs w:val="20"/>
              </w:rPr>
              <w:t>移动消防泵</w:t>
            </w:r>
          </w:p>
        </w:tc>
        <w:tc>
          <w:tcPr>
            <w:tcW w:w="1963" w:type="dxa"/>
            <w:vAlign w:val="top"/>
          </w:tcPr>
          <w:p w14:paraId="7A98AF1A">
            <w:pPr>
              <w:pStyle w:val="6"/>
              <w:spacing w:before="101" w:line="228" w:lineRule="auto"/>
              <w:ind w:left="673"/>
              <w:rPr>
                <w:sz w:val="20"/>
                <w:szCs w:val="20"/>
              </w:rPr>
            </w:pPr>
            <w:r>
              <w:rPr>
                <w:spacing w:val="5"/>
                <w:sz w:val="20"/>
                <w:szCs w:val="20"/>
              </w:rPr>
              <w:t>消防房</w:t>
            </w:r>
          </w:p>
        </w:tc>
        <w:tc>
          <w:tcPr>
            <w:tcW w:w="1428" w:type="dxa"/>
            <w:tcBorders>
              <w:right w:val="single" w:color="000000" w:sz="2" w:space="0"/>
            </w:tcBorders>
            <w:vAlign w:val="top"/>
          </w:tcPr>
          <w:p w14:paraId="2A36047F">
            <w:pPr>
              <w:pStyle w:val="6"/>
              <w:spacing w:before="100" w:line="227" w:lineRule="auto"/>
              <w:ind w:left="304"/>
              <w:rPr>
                <w:sz w:val="20"/>
                <w:szCs w:val="20"/>
              </w:rPr>
            </w:pPr>
            <w:r>
              <w:rPr>
                <w:spacing w:val="6"/>
                <w:sz w:val="20"/>
                <w:szCs w:val="20"/>
              </w:rPr>
              <w:t>消防器材</w:t>
            </w:r>
          </w:p>
        </w:tc>
        <w:tc>
          <w:tcPr>
            <w:tcW w:w="1907" w:type="dxa"/>
            <w:tcBorders>
              <w:left w:val="single" w:color="000000" w:sz="2" w:space="0"/>
              <w:right w:val="single" w:color="000000" w:sz="6" w:space="0"/>
            </w:tcBorders>
            <w:vAlign w:val="top"/>
          </w:tcPr>
          <w:p w14:paraId="15B965BA">
            <w:pPr>
              <w:pStyle w:val="6"/>
              <w:spacing w:before="100" w:line="228" w:lineRule="auto"/>
              <w:ind w:left="275"/>
              <w:rPr>
                <w:sz w:val="20"/>
                <w:szCs w:val="20"/>
              </w:rPr>
            </w:pPr>
            <w:r>
              <w:rPr>
                <w:spacing w:val="8"/>
                <w:sz w:val="20"/>
                <w:szCs w:val="20"/>
              </w:rPr>
              <w:t>钻井队副队长</w:t>
            </w:r>
          </w:p>
        </w:tc>
      </w:tr>
      <w:tr w14:paraId="07165C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486" w:type="dxa"/>
            <w:vMerge w:val="continue"/>
            <w:tcBorders>
              <w:top w:val="nil"/>
              <w:left w:val="single" w:color="000000" w:sz="6" w:space="0"/>
              <w:bottom w:val="nil"/>
              <w:right w:val="single" w:color="000000" w:sz="2" w:space="0"/>
            </w:tcBorders>
            <w:vAlign w:val="top"/>
          </w:tcPr>
          <w:p w14:paraId="3BFAC952">
            <w:pPr>
              <w:rPr>
                <w:rFonts w:ascii="Arial"/>
                <w:sz w:val="21"/>
              </w:rPr>
            </w:pPr>
          </w:p>
        </w:tc>
        <w:tc>
          <w:tcPr>
            <w:tcW w:w="803" w:type="dxa"/>
            <w:tcBorders>
              <w:left w:val="single" w:color="000000" w:sz="2" w:space="0"/>
              <w:right w:val="single" w:color="000000" w:sz="2" w:space="0"/>
            </w:tcBorders>
            <w:vAlign w:val="top"/>
          </w:tcPr>
          <w:p w14:paraId="24A1BE09">
            <w:pPr>
              <w:spacing w:before="137" w:line="195" w:lineRule="auto"/>
              <w:ind w:left="36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2314" w:type="dxa"/>
            <w:tcBorders>
              <w:left w:val="single" w:color="000000" w:sz="2" w:space="0"/>
            </w:tcBorders>
            <w:vAlign w:val="top"/>
          </w:tcPr>
          <w:p w14:paraId="63810DD3">
            <w:pPr>
              <w:pStyle w:val="6"/>
              <w:spacing w:before="101" w:line="228" w:lineRule="auto"/>
              <w:ind w:left="637"/>
              <w:rPr>
                <w:sz w:val="20"/>
                <w:szCs w:val="20"/>
              </w:rPr>
            </w:pPr>
            <w:r>
              <w:rPr>
                <w:spacing w:val="7"/>
                <w:sz w:val="20"/>
                <w:szCs w:val="20"/>
              </w:rPr>
              <w:t>消防水龙带</w:t>
            </w:r>
          </w:p>
        </w:tc>
        <w:tc>
          <w:tcPr>
            <w:tcW w:w="1963" w:type="dxa"/>
            <w:vAlign w:val="top"/>
          </w:tcPr>
          <w:p w14:paraId="494B18B7">
            <w:pPr>
              <w:pStyle w:val="6"/>
              <w:spacing w:before="102" w:line="228" w:lineRule="auto"/>
              <w:ind w:left="673"/>
              <w:rPr>
                <w:sz w:val="20"/>
                <w:szCs w:val="20"/>
              </w:rPr>
            </w:pPr>
            <w:r>
              <w:rPr>
                <w:spacing w:val="5"/>
                <w:sz w:val="20"/>
                <w:szCs w:val="20"/>
              </w:rPr>
              <w:t>消防房</w:t>
            </w:r>
          </w:p>
        </w:tc>
        <w:tc>
          <w:tcPr>
            <w:tcW w:w="1428" w:type="dxa"/>
            <w:tcBorders>
              <w:right w:val="single" w:color="000000" w:sz="2" w:space="0"/>
            </w:tcBorders>
            <w:vAlign w:val="top"/>
          </w:tcPr>
          <w:p w14:paraId="53C6F545">
            <w:pPr>
              <w:pStyle w:val="6"/>
              <w:spacing w:before="101" w:line="227" w:lineRule="auto"/>
              <w:ind w:left="304"/>
              <w:rPr>
                <w:sz w:val="20"/>
                <w:szCs w:val="20"/>
              </w:rPr>
            </w:pPr>
            <w:r>
              <w:rPr>
                <w:spacing w:val="6"/>
                <w:sz w:val="20"/>
                <w:szCs w:val="20"/>
              </w:rPr>
              <w:t>消防器材</w:t>
            </w:r>
          </w:p>
        </w:tc>
        <w:tc>
          <w:tcPr>
            <w:tcW w:w="1907" w:type="dxa"/>
            <w:tcBorders>
              <w:left w:val="single" w:color="000000" w:sz="2" w:space="0"/>
              <w:right w:val="single" w:color="000000" w:sz="6" w:space="0"/>
            </w:tcBorders>
            <w:vAlign w:val="top"/>
          </w:tcPr>
          <w:p w14:paraId="1CB8307C">
            <w:pPr>
              <w:pStyle w:val="6"/>
              <w:spacing w:before="101" w:line="228" w:lineRule="auto"/>
              <w:ind w:left="275"/>
              <w:rPr>
                <w:sz w:val="20"/>
                <w:szCs w:val="20"/>
              </w:rPr>
            </w:pPr>
            <w:r>
              <w:rPr>
                <w:spacing w:val="8"/>
                <w:sz w:val="20"/>
                <w:szCs w:val="20"/>
              </w:rPr>
              <w:t>钻井队副队长</w:t>
            </w:r>
          </w:p>
        </w:tc>
      </w:tr>
      <w:tr w14:paraId="5E9D4C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486" w:type="dxa"/>
            <w:vMerge w:val="continue"/>
            <w:tcBorders>
              <w:top w:val="nil"/>
              <w:left w:val="single" w:color="000000" w:sz="6" w:space="0"/>
              <w:bottom w:val="nil"/>
              <w:right w:val="single" w:color="000000" w:sz="2" w:space="0"/>
            </w:tcBorders>
            <w:vAlign w:val="top"/>
          </w:tcPr>
          <w:p w14:paraId="10E70C8E">
            <w:pPr>
              <w:rPr>
                <w:rFonts w:ascii="Arial"/>
                <w:sz w:val="21"/>
              </w:rPr>
            </w:pPr>
          </w:p>
        </w:tc>
        <w:tc>
          <w:tcPr>
            <w:tcW w:w="803" w:type="dxa"/>
            <w:tcBorders>
              <w:left w:val="single" w:color="000000" w:sz="2" w:space="0"/>
              <w:right w:val="single" w:color="000000" w:sz="2" w:space="0"/>
            </w:tcBorders>
            <w:vAlign w:val="top"/>
          </w:tcPr>
          <w:p w14:paraId="365CD04B">
            <w:pPr>
              <w:spacing w:before="137" w:line="195" w:lineRule="auto"/>
              <w:ind w:left="36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2314" w:type="dxa"/>
            <w:tcBorders>
              <w:left w:val="single" w:color="000000" w:sz="2" w:space="0"/>
              <w:right w:val="single" w:color="000000" w:sz="2" w:space="0"/>
            </w:tcBorders>
            <w:vAlign w:val="top"/>
          </w:tcPr>
          <w:p w14:paraId="67DE9A8A">
            <w:pPr>
              <w:pStyle w:val="6"/>
              <w:spacing w:before="101" w:line="228" w:lineRule="auto"/>
              <w:ind w:left="323"/>
              <w:rPr>
                <w:sz w:val="20"/>
                <w:szCs w:val="20"/>
              </w:rPr>
            </w:pPr>
            <w:r>
              <w:rPr>
                <w:spacing w:val="8"/>
                <w:sz w:val="20"/>
                <w:szCs w:val="20"/>
              </w:rPr>
              <w:t>正压式空气呼吸器</w:t>
            </w:r>
          </w:p>
        </w:tc>
        <w:tc>
          <w:tcPr>
            <w:tcW w:w="1963" w:type="dxa"/>
            <w:tcBorders>
              <w:left w:val="single" w:color="000000" w:sz="2" w:space="0"/>
            </w:tcBorders>
            <w:vAlign w:val="top"/>
          </w:tcPr>
          <w:p w14:paraId="59C7417B">
            <w:pPr>
              <w:pStyle w:val="6"/>
              <w:spacing w:before="100" w:line="228" w:lineRule="auto"/>
              <w:ind w:left="357"/>
              <w:rPr>
                <w:sz w:val="20"/>
                <w:szCs w:val="20"/>
              </w:rPr>
            </w:pPr>
            <w:r>
              <w:rPr>
                <w:spacing w:val="8"/>
                <w:sz w:val="20"/>
                <w:szCs w:val="20"/>
              </w:rPr>
              <w:t>钻台、值班房</w:t>
            </w:r>
          </w:p>
        </w:tc>
        <w:tc>
          <w:tcPr>
            <w:tcW w:w="1428" w:type="dxa"/>
            <w:tcBorders>
              <w:right w:val="single" w:color="000000" w:sz="2" w:space="0"/>
            </w:tcBorders>
            <w:vAlign w:val="top"/>
          </w:tcPr>
          <w:p w14:paraId="7C3E8B1C">
            <w:pPr>
              <w:pStyle w:val="6"/>
              <w:spacing w:before="101" w:line="228" w:lineRule="auto"/>
              <w:ind w:left="304"/>
              <w:rPr>
                <w:sz w:val="20"/>
                <w:szCs w:val="20"/>
              </w:rPr>
            </w:pPr>
            <w:r>
              <w:rPr>
                <w:spacing w:val="6"/>
                <w:sz w:val="20"/>
                <w:szCs w:val="20"/>
              </w:rPr>
              <w:t>安全防护</w:t>
            </w:r>
          </w:p>
        </w:tc>
        <w:tc>
          <w:tcPr>
            <w:tcW w:w="1907" w:type="dxa"/>
            <w:tcBorders>
              <w:left w:val="single" w:color="000000" w:sz="2" w:space="0"/>
              <w:right w:val="single" w:color="000000" w:sz="6" w:space="0"/>
            </w:tcBorders>
            <w:vAlign w:val="top"/>
          </w:tcPr>
          <w:p w14:paraId="771F7546">
            <w:pPr>
              <w:pStyle w:val="6"/>
              <w:spacing w:before="100" w:line="228" w:lineRule="auto"/>
              <w:ind w:left="275"/>
              <w:rPr>
                <w:sz w:val="20"/>
                <w:szCs w:val="20"/>
              </w:rPr>
            </w:pPr>
            <w:r>
              <w:rPr>
                <w:spacing w:val="8"/>
                <w:sz w:val="20"/>
                <w:szCs w:val="20"/>
              </w:rPr>
              <w:t>钻井队副队长</w:t>
            </w:r>
          </w:p>
        </w:tc>
      </w:tr>
      <w:tr w14:paraId="372135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486" w:type="dxa"/>
            <w:vMerge w:val="continue"/>
            <w:tcBorders>
              <w:top w:val="nil"/>
              <w:left w:val="single" w:color="000000" w:sz="6" w:space="0"/>
              <w:bottom w:val="nil"/>
              <w:right w:val="single" w:color="000000" w:sz="2" w:space="0"/>
            </w:tcBorders>
            <w:vAlign w:val="top"/>
          </w:tcPr>
          <w:p w14:paraId="0003153A">
            <w:pPr>
              <w:rPr>
                <w:rFonts w:ascii="Arial"/>
                <w:sz w:val="21"/>
              </w:rPr>
            </w:pPr>
          </w:p>
        </w:tc>
        <w:tc>
          <w:tcPr>
            <w:tcW w:w="803" w:type="dxa"/>
            <w:tcBorders>
              <w:left w:val="single" w:color="000000" w:sz="2" w:space="0"/>
              <w:right w:val="single" w:color="000000" w:sz="2" w:space="0"/>
            </w:tcBorders>
            <w:vAlign w:val="top"/>
          </w:tcPr>
          <w:p w14:paraId="5D80B778">
            <w:pPr>
              <w:spacing w:before="138" w:line="195" w:lineRule="auto"/>
              <w:ind w:left="36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2314" w:type="dxa"/>
            <w:tcBorders>
              <w:left w:val="single" w:color="000000" w:sz="2" w:space="0"/>
              <w:right w:val="single" w:color="000000" w:sz="2" w:space="0"/>
            </w:tcBorders>
            <w:vAlign w:val="top"/>
          </w:tcPr>
          <w:p w14:paraId="102D76F6">
            <w:pPr>
              <w:pStyle w:val="6"/>
              <w:spacing w:before="102" w:line="226" w:lineRule="auto"/>
              <w:ind w:left="541"/>
              <w:rPr>
                <w:sz w:val="20"/>
                <w:szCs w:val="20"/>
              </w:rPr>
            </w:pPr>
            <w:r>
              <w:rPr>
                <w:spacing w:val="6"/>
                <w:sz w:val="20"/>
                <w:szCs w:val="20"/>
              </w:rPr>
              <w:t>防爆轴流风机</w:t>
            </w:r>
          </w:p>
        </w:tc>
        <w:tc>
          <w:tcPr>
            <w:tcW w:w="1963" w:type="dxa"/>
            <w:tcBorders>
              <w:left w:val="single" w:color="000000" w:sz="2" w:space="0"/>
            </w:tcBorders>
            <w:vAlign w:val="top"/>
          </w:tcPr>
          <w:p w14:paraId="5A47DC74">
            <w:pPr>
              <w:pStyle w:val="6"/>
              <w:spacing w:before="101" w:line="228" w:lineRule="auto"/>
              <w:ind w:left="357"/>
              <w:rPr>
                <w:sz w:val="20"/>
                <w:szCs w:val="20"/>
              </w:rPr>
            </w:pPr>
            <w:r>
              <w:rPr>
                <w:spacing w:val="8"/>
                <w:sz w:val="20"/>
                <w:szCs w:val="20"/>
              </w:rPr>
              <w:t>钻台、值班房</w:t>
            </w:r>
          </w:p>
        </w:tc>
        <w:tc>
          <w:tcPr>
            <w:tcW w:w="1428" w:type="dxa"/>
            <w:tcBorders>
              <w:right w:val="single" w:color="000000" w:sz="2" w:space="0"/>
            </w:tcBorders>
            <w:vAlign w:val="top"/>
          </w:tcPr>
          <w:p w14:paraId="4A6032BE">
            <w:pPr>
              <w:pStyle w:val="6"/>
              <w:spacing w:before="102" w:line="228" w:lineRule="auto"/>
              <w:ind w:left="304"/>
              <w:rPr>
                <w:sz w:val="20"/>
                <w:szCs w:val="20"/>
              </w:rPr>
            </w:pPr>
            <w:r>
              <w:rPr>
                <w:spacing w:val="6"/>
                <w:sz w:val="20"/>
                <w:szCs w:val="20"/>
              </w:rPr>
              <w:t>安全防护</w:t>
            </w:r>
          </w:p>
        </w:tc>
        <w:tc>
          <w:tcPr>
            <w:tcW w:w="1907" w:type="dxa"/>
            <w:tcBorders>
              <w:left w:val="single" w:color="000000" w:sz="2" w:space="0"/>
              <w:right w:val="single" w:color="000000" w:sz="6" w:space="0"/>
            </w:tcBorders>
            <w:vAlign w:val="top"/>
          </w:tcPr>
          <w:p w14:paraId="0A5CC2DF">
            <w:pPr>
              <w:pStyle w:val="6"/>
              <w:spacing w:before="101" w:line="228" w:lineRule="auto"/>
              <w:ind w:left="275"/>
              <w:rPr>
                <w:sz w:val="20"/>
                <w:szCs w:val="20"/>
              </w:rPr>
            </w:pPr>
            <w:r>
              <w:rPr>
                <w:spacing w:val="8"/>
                <w:sz w:val="20"/>
                <w:szCs w:val="20"/>
              </w:rPr>
              <w:t>钻井队副队长</w:t>
            </w:r>
          </w:p>
        </w:tc>
      </w:tr>
      <w:tr w14:paraId="3E3353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486" w:type="dxa"/>
            <w:vMerge w:val="continue"/>
            <w:tcBorders>
              <w:top w:val="nil"/>
              <w:left w:val="single" w:color="000000" w:sz="6" w:space="0"/>
              <w:bottom w:val="nil"/>
              <w:right w:val="single" w:color="000000" w:sz="2" w:space="0"/>
            </w:tcBorders>
            <w:vAlign w:val="top"/>
          </w:tcPr>
          <w:p w14:paraId="0606FCE9">
            <w:pPr>
              <w:rPr>
                <w:rFonts w:ascii="Arial"/>
                <w:sz w:val="21"/>
              </w:rPr>
            </w:pPr>
          </w:p>
        </w:tc>
        <w:tc>
          <w:tcPr>
            <w:tcW w:w="803" w:type="dxa"/>
            <w:tcBorders>
              <w:left w:val="single" w:color="000000" w:sz="2" w:space="0"/>
              <w:right w:val="single" w:color="000000" w:sz="2" w:space="0"/>
            </w:tcBorders>
            <w:vAlign w:val="top"/>
          </w:tcPr>
          <w:p w14:paraId="53212F63">
            <w:pPr>
              <w:spacing w:before="214" w:line="195" w:lineRule="auto"/>
              <w:ind w:left="36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2314" w:type="dxa"/>
            <w:tcBorders>
              <w:left w:val="single" w:color="000000" w:sz="2" w:space="0"/>
              <w:right w:val="single" w:color="000000" w:sz="2" w:space="0"/>
            </w:tcBorders>
            <w:vAlign w:val="top"/>
          </w:tcPr>
          <w:p w14:paraId="05CB67B1">
            <w:pPr>
              <w:pStyle w:val="6"/>
              <w:spacing w:before="41" w:line="228" w:lineRule="auto"/>
              <w:ind w:left="108"/>
              <w:rPr>
                <w:sz w:val="20"/>
                <w:szCs w:val="20"/>
              </w:rPr>
            </w:pPr>
            <w:r>
              <w:rPr>
                <w:spacing w:val="9"/>
                <w:sz w:val="20"/>
                <w:szCs w:val="20"/>
              </w:rPr>
              <w:t>便携式有毒有害气体检</w:t>
            </w:r>
          </w:p>
          <w:p w14:paraId="188D99A1">
            <w:pPr>
              <w:pStyle w:val="6"/>
              <w:spacing w:before="24" w:line="209" w:lineRule="auto"/>
              <w:ind w:left="948"/>
              <w:rPr>
                <w:sz w:val="20"/>
                <w:szCs w:val="20"/>
              </w:rPr>
            </w:pPr>
            <w:r>
              <w:rPr>
                <w:spacing w:val="4"/>
                <w:sz w:val="20"/>
                <w:szCs w:val="20"/>
              </w:rPr>
              <w:t>测仪</w:t>
            </w:r>
          </w:p>
        </w:tc>
        <w:tc>
          <w:tcPr>
            <w:tcW w:w="1963" w:type="dxa"/>
            <w:tcBorders>
              <w:left w:val="single" w:color="000000" w:sz="2" w:space="0"/>
            </w:tcBorders>
            <w:vAlign w:val="top"/>
          </w:tcPr>
          <w:p w14:paraId="3C35F145">
            <w:pPr>
              <w:pStyle w:val="6"/>
              <w:spacing w:before="175" w:line="228" w:lineRule="auto"/>
              <w:ind w:left="357"/>
              <w:rPr>
                <w:sz w:val="20"/>
                <w:szCs w:val="20"/>
              </w:rPr>
            </w:pPr>
            <w:r>
              <w:rPr>
                <w:spacing w:val="8"/>
                <w:sz w:val="20"/>
                <w:szCs w:val="20"/>
              </w:rPr>
              <w:t>钻台、值班房</w:t>
            </w:r>
          </w:p>
        </w:tc>
        <w:tc>
          <w:tcPr>
            <w:tcW w:w="1428" w:type="dxa"/>
            <w:tcBorders>
              <w:right w:val="single" w:color="000000" w:sz="2" w:space="0"/>
            </w:tcBorders>
            <w:vAlign w:val="top"/>
          </w:tcPr>
          <w:p w14:paraId="6483FD6A">
            <w:pPr>
              <w:pStyle w:val="6"/>
              <w:spacing w:before="175" w:line="227" w:lineRule="auto"/>
              <w:ind w:left="299"/>
              <w:rPr>
                <w:sz w:val="20"/>
                <w:szCs w:val="20"/>
              </w:rPr>
            </w:pPr>
            <w:r>
              <w:rPr>
                <w:spacing w:val="7"/>
                <w:sz w:val="20"/>
                <w:szCs w:val="20"/>
              </w:rPr>
              <w:t>检测器材</w:t>
            </w:r>
          </w:p>
        </w:tc>
        <w:tc>
          <w:tcPr>
            <w:tcW w:w="1907" w:type="dxa"/>
            <w:tcBorders>
              <w:left w:val="single" w:color="000000" w:sz="2" w:space="0"/>
              <w:right w:val="single" w:color="000000" w:sz="6" w:space="0"/>
            </w:tcBorders>
            <w:vAlign w:val="top"/>
          </w:tcPr>
          <w:p w14:paraId="6724062F">
            <w:pPr>
              <w:pStyle w:val="6"/>
              <w:spacing w:before="175" w:line="228" w:lineRule="auto"/>
              <w:ind w:left="275"/>
              <w:rPr>
                <w:sz w:val="20"/>
                <w:szCs w:val="20"/>
              </w:rPr>
            </w:pPr>
            <w:r>
              <w:rPr>
                <w:spacing w:val="8"/>
                <w:sz w:val="20"/>
                <w:szCs w:val="20"/>
              </w:rPr>
              <w:t>钻井队副队长</w:t>
            </w:r>
          </w:p>
        </w:tc>
      </w:tr>
      <w:tr w14:paraId="65788B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trPr>
        <w:tc>
          <w:tcPr>
            <w:tcW w:w="486" w:type="dxa"/>
            <w:vMerge w:val="continue"/>
            <w:tcBorders>
              <w:top w:val="nil"/>
              <w:left w:val="single" w:color="000000" w:sz="6" w:space="0"/>
              <w:bottom w:val="nil"/>
              <w:right w:val="single" w:color="000000" w:sz="2" w:space="0"/>
            </w:tcBorders>
            <w:vAlign w:val="top"/>
          </w:tcPr>
          <w:p w14:paraId="79EFADF0">
            <w:pPr>
              <w:rPr>
                <w:rFonts w:ascii="Arial"/>
                <w:sz w:val="21"/>
              </w:rPr>
            </w:pPr>
          </w:p>
        </w:tc>
        <w:tc>
          <w:tcPr>
            <w:tcW w:w="803" w:type="dxa"/>
            <w:tcBorders>
              <w:left w:val="single" w:color="000000" w:sz="2" w:space="0"/>
              <w:right w:val="single" w:color="000000" w:sz="2" w:space="0"/>
            </w:tcBorders>
            <w:vAlign w:val="top"/>
          </w:tcPr>
          <w:p w14:paraId="200E54D8">
            <w:pPr>
              <w:spacing w:before="214" w:line="195" w:lineRule="auto"/>
              <w:ind w:left="36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2314" w:type="dxa"/>
            <w:tcBorders>
              <w:left w:val="single" w:color="000000" w:sz="2" w:space="0"/>
              <w:right w:val="single" w:color="000000" w:sz="2" w:space="0"/>
            </w:tcBorders>
            <w:vAlign w:val="top"/>
          </w:tcPr>
          <w:p w14:paraId="441FD84A">
            <w:pPr>
              <w:pStyle w:val="6"/>
              <w:spacing w:before="41" w:line="228" w:lineRule="auto"/>
              <w:ind w:left="126"/>
              <w:rPr>
                <w:sz w:val="20"/>
                <w:szCs w:val="20"/>
              </w:rPr>
            </w:pPr>
            <w:r>
              <w:rPr>
                <w:spacing w:val="7"/>
                <w:sz w:val="20"/>
                <w:szCs w:val="20"/>
              </w:rPr>
              <w:t>固定式有毒有害气体检</w:t>
            </w:r>
          </w:p>
          <w:p w14:paraId="44E3608C">
            <w:pPr>
              <w:pStyle w:val="6"/>
              <w:spacing w:before="24" w:line="208" w:lineRule="auto"/>
              <w:ind w:left="948"/>
              <w:rPr>
                <w:sz w:val="20"/>
                <w:szCs w:val="20"/>
              </w:rPr>
            </w:pPr>
            <w:r>
              <w:rPr>
                <w:spacing w:val="4"/>
                <w:sz w:val="20"/>
                <w:szCs w:val="20"/>
              </w:rPr>
              <w:t>测仪</w:t>
            </w:r>
          </w:p>
        </w:tc>
        <w:tc>
          <w:tcPr>
            <w:tcW w:w="1963" w:type="dxa"/>
            <w:tcBorders>
              <w:left w:val="single" w:color="000000" w:sz="2" w:space="0"/>
            </w:tcBorders>
            <w:vAlign w:val="top"/>
          </w:tcPr>
          <w:p w14:paraId="1B4DDFAC">
            <w:pPr>
              <w:pStyle w:val="6"/>
              <w:spacing w:before="41" w:line="228" w:lineRule="auto"/>
              <w:ind w:left="40"/>
              <w:rPr>
                <w:sz w:val="20"/>
                <w:szCs w:val="20"/>
              </w:rPr>
            </w:pPr>
            <w:r>
              <w:rPr>
                <w:spacing w:val="8"/>
                <w:sz w:val="20"/>
                <w:szCs w:val="20"/>
              </w:rPr>
              <w:t>钻台、值班房、储罐</w:t>
            </w:r>
          </w:p>
          <w:p w14:paraId="338E0A0F">
            <w:pPr>
              <w:pStyle w:val="6"/>
              <w:spacing w:before="24" w:line="208" w:lineRule="auto"/>
              <w:ind w:left="896"/>
              <w:rPr>
                <w:sz w:val="20"/>
                <w:szCs w:val="20"/>
              </w:rPr>
            </w:pPr>
            <w:r>
              <w:rPr>
                <w:sz w:val="20"/>
                <w:szCs w:val="20"/>
              </w:rPr>
              <w:t>区</w:t>
            </w:r>
          </w:p>
        </w:tc>
        <w:tc>
          <w:tcPr>
            <w:tcW w:w="1428" w:type="dxa"/>
            <w:tcBorders>
              <w:right w:val="single" w:color="000000" w:sz="2" w:space="0"/>
            </w:tcBorders>
            <w:vAlign w:val="top"/>
          </w:tcPr>
          <w:p w14:paraId="08C81E2C">
            <w:pPr>
              <w:pStyle w:val="6"/>
              <w:spacing w:before="175" w:line="227" w:lineRule="auto"/>
              <w:ind w:left="299"/>
              <w:rPr>
                <w:sz w:val="20"/>
                <w:szCs w:val="20"/>
              </w:rPr>
            </w:pPr>
            <w:r>
              <w:rPr>
                <w:spacing w:val="7"/>
                <w:sz w:val="20"/>
                <w:szCs w:val="20"/>
              </w:rPr>
              <w:t>检测器材</w:t>
            </w:r>
          </w:p>
        </w:tc>
        <w:tc>
          <w:tcPr>
            <w:tcW w:w="1907" w:type="dxa"/>
            <w:tcBorders>
              <w:left w:val="single" w:color="000000" w:sz="2" w:space="0"/>
              <w:right w:val="single" w:color="000000" w:sz="6" w:space="0"/>
            </w:tcBorders>
            <w:vAlign w:val="top"/>
          </w:tcPr>
          <w:p w14:paraId="51F9BDED">
            <w:pPr>
              <w:pStyle w:val="6"/>
              <w:spacing w:before="175" w:line="228" w:lineRule="auto"/>
              <w:ind w:left="275"/>
              <w:rPr>
                <w:sz w:val="20"/>
                <w:szCs w:val="20"/>
              </w:rPr>
            </w:pPr>
            <w:r>
              <w:rPr>
                <w:spacing w:val="8"/>
                <w:sz w:val="20"/>
                <w:szCs w:val="20"/>
              </w:rPr>
              <w:t>钻井队副队长</w:t>
            </w:r>
          </w:p>
        </w:tc>
      </w:tr>
      <w:tr w14:paraId="5D9D6B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486" w:type="dxa"/>
            <w:vMerge w:val="continue"/>
            <w:tcBorders>
              <w:top w:val="nil"/>
              <w:left w:val="single" w:color="000000" w:sz="6" w:space="0"/>
              <w:bottom w:val="nil"/>
              <w:right w:val="single" w:color="000000" w:sz="2" w:space="0"/>
            </w:tcBorders>
            <w:vAlign w:val="top"/>
          </w:tcPr>
          <w:p w14:paraId="280BDAAA">
            <w:pPr>
              <w:rPr>
                <w:rFonts w:ascii="Arial"/>
                <w:sz w:val="21"/>
              </w:rPr>
            </w:pPr>
          </w:p>
        </w:tc>
        <w:tc>
          <w:tcPr>
            <w:tcW w:w="803" w:type="dxa"/>
            <w:tcBorders>
              <w:left w:val="single" w:color="000000" w:sz="2" w:space="0"/>
              <w:right w:val="single" w:color="000000" w:sz="2" w:space="0"/>
            </w:tcBorders>
            <w:vAlign w:val="top"/>
          </w:tcPr>
          <w:p w14:paraId="1DD2E141">
            <w:pPr>
              <w:spacing w:before="141" w:line="195" w:lineRule="auto"/>
              <w:ind w:left="36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2314" w:type="dxa"/>
            <w:tcBorders>
              <w:left w:val="single" w:color="000000" w:sz="2" w:space="0"/>
              <w:right w:val="single" w:color="000000" w:sz="2" w:space="0"/>
            </w:tcBorders>
            <w:vAlign w:val="top"/>
          </w:tcPr>
          <w:p w14:paraId="26560F18">
            <w:pPr>
              <w:pStyle w:val="6"/>
              <w:spacing w:before="104" w:line="228" w:lineRule="auto"/>
              <w:ind w:left="845"/>
              <w:rPr>
                <w:sz w:val="20"/>
                <w:szCs w:val="20"/>
              </w:rPr>
            </w:pPr>
            <w:r>
              <w:rPr>
                <w:spacing w:val="5"/>
                <w:sz w:val="20"/>
                <w:szCs w:val="20"/>
              </w:rPr>
              <w:t>警戒带</w:t>
            </w:r>
          </w:p>
        </w:tc>
        <w:tc>
          <w:tcPr>
            <w:tcW w:w="1963" w:type="dxa"/>
            <w:tcBorders>
              <w:left w:val="single" w:color="000000" w:sz="2" w:space="0"/>
            </w:tcBorders>
            <w:vAlign w:val="top"/>
          </w:tcPr>
          <w:p w14:paraId="1612C8B2">
            <w:pPr>
              <w:pStyle w:val="6"/>
              <w:spacing w:before="105" w:line="228" w:lineRule="auto"/>
              <w:ind w:left="675"/>
              <w:rPr>
                <w:sz w:val="20"/>
                <w:szCs w:val="20"/>
              </w:rPr>
            </w:pPr>
            <w:r>
              <w:rPr>
                <w:spacing w:val="5"/>
                <w:sz w:val="20"/>
                <w:szCs w:val="20"/>
              </w:rPr>
              <w:t>消防房</w:t>
            </w:r>
          </w:p>
        </w:tc>
        <w:tc>
          <w:tcPr>
            <w:tcW w:w="1428" w:type="dxa"/>
            <w:tcBorders>
              <w:right w:val="single" w:color="000000" w:sz="2" w:space="0"/>
            </w:tcBorders>
            <w:vAlign w:val="top"/>
          </w:tcPr>
          <w:p w14:paraId="60CD1C04">
            <w:pPr>
              <w:pStyle w:val="6"/>
              <w:spacing w:before="105" w:line="227" w:lineRule="auto"/>
              <w:ind w:left="303"/>
              <w:rPr>
                <w:sz w:val="20"/>
                <w:szCs w:val="20"/>
              </w:rPr>
            </w:pPr>
            <w:r>
              <w:rPr>
                <w:spacing w:val="6"/>
                <w:sz w:val="20"/>
                <w:szCs w:val="20"/>
              </w:rPr>
              <w:t>警戒器材</w:t>
            </w:r>
          </w:p>
        </w:tc>
        <w:tc>
          <w:tcPr>
            <w:tcW w:w="1907" w:type="dxa"/>
            <w:tcBorders>
              <w:left w:val="single" w:color="000000" w:sz="2" w:space="0"/>
              <w:right w:val="single" w:color="000000" w:sz="6" w:space="0"/>
            </w:tcBorders>
            <w:vAlign w:val="top"/>
          </w:tcPr>
          <w:p w14:paraId="54D79DEC">
            <w:pPr>
              <w:pStyle w:val="6"/>
              <w:spacing w:before="104" w:line="228" w:lineRule="auto"/>
              <w:ind w:left="275"/>
              <w:rPr>
                <w:sz w:val="20"/>
                <w:szCs w:val="20"/>
              </w:rPr>
            </w:pPr>
            <w:r>
              <w:rPr>
                <w:spacing w:val="8"/>
                <w:sz w:val="20"/>
                <w:szCs w:val="20"/>
              </w:rPr>
              <w:t>钻井队副队长</w:t>
            </w:r>
          </w:p>
        </w:tc>
      </w:tr>
      <w:tr w14:paraId="1B645B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486" w:type="dxa"/>
            <w:vMerge w:val="continue"/>
            <w:tcBorders>
              <w:top w:val="nil"/>
              <w:left w:val="single" w:color="000000" w:sz="6" w:space="0"/>
              <w:bottom w:val="nil"/>
              <w:right w:val="single" w:color="000000" w:sz="2" w:space="0"/>
            </w:tcBorders>
            <w:vAlign w:val="top"/>
          </w:tcPr>
          <w:p w14:paraId="20742387">
            <w:pPr>
              <w:rPr>
                <w:rFonts w:ascii="Arial"/>
                <w:sz w:val="21"/>
              </w:rPr>
            </w:pPr>
          </w:p>
        </w:tc>
        <w:tc>
          <w:tcPr>
            <w:tcW w:w="803" w:type="dxa"/>
            <w:tcBorders>
              <w:left w:val="single" w:color="000000" w:sz="2" w:space="0"/>
              <w:right w:val="single" w:color="000000" w:sz="2" w:space="0"/>
            </w:tcBorders>
            <w:vAlign w:val="top"/>
          </w:tcPr>
          <w:p w14:paraId="265FF941">
            <w:pPr>
              <w:spacing w:before="141" w:line="195" w:lineRule="auto"/>
              <w:ind w:left="36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2314" w:type="dxa"/>
            <w:tcBorders>
              <w:left w:val="single" w:color="000000" w:sz="2" w:space="0"/>
              <w:right w:val="single" w:color="000000" w:sz="2" w:space="0"/>
            </w:tcBorders>
            <w:vAlign w:val="top"/>
          </w:tcPr>
          <w:p w14:paraId="458FAD5F">
            <w:pPr>
              <w:pStyle w:val="6"/>
              <w:spacing w:before="106" w:line="228" w:lineRule="auto"/>
              <w:ind w:left="845"/>
              <w:rPr>
                <w:sz w:val="20"/>
                <w:szCs w:val="20"/>
              </w:rPr>
            </w:pPr>
            <w:r>
              <w:rPr>
                <w:spacing w:val="5"/>
                <w:sz w:val="20"/>
                <w:szCs w:val="20"/>
              </w:rPr>
              <w:t>警示灯</w:t>
            </w:r>
          </w:p>
        </w:tc>
        <w:tc>
          <w:tcPr>
            <w:tcW w:w="1963" w:type="dxa"/>
            <w:tcBorders>
              <w:left w:val="single" w:color="000000" w:sz="2" w:space="0"/>
            </w:tcBorders>
            <w:vAlign w:val="top"/>
          </w:tcPr>
          <w:p w14:paraId="2C934CE5">
            <w:pPr>
              <w:pStyle w:val="6"/>
              <w:spacing w:before="106" w:line="228" w:lineRule="auto"/>
              <w:ind w:left="675"/>
              <w:rPr>
                <w:sz w:val="20"/>
                <w:szCs w:val="20"/>
              </w:rPr>
            </w:pPr>
            <w:r>
              <w:rPr>
                <w:spacing w:val="5"/>
                <w:sz w:val="20"/>
                <w:szCs w:val="20"/>
              </w:rPr>
              <w:t>消防房</w:t>
            </w:r>
          </w:p>
        </w:tc>
        <w:tc>
          <w:tcPr>
            <w:tcW w:w="1428" w:type="dxa"/>
            <w:tcBorders>
              <w:right w:val="single" w:color="000000" w:sz="2" w:space="0"/>
            </w:tcBorders>
            <w:vAlign w:val="top"/>
          </w:tcPr>
          <w:p w14:paraId="65C041AC">
            <w:pPr>
              <w:pStyle w:val="6"/>
              <w:spacing w:before="105" w:line="227" w:lineRule="auto"/>
              <w:ind w:left="303"/>
              <w:rPr>
                <w:sz w:val="20"/>
                <w:szCs w:val="20"/>
              </w:rPr>
            </w:pPr>
            <w:r>
              <w:rPr>
                <w:spacing w:val="6"/>
                <w:sz w:val="20"/>
                <w:szCs w:val="20"/>
              </w:rPr>
              <w:t>警戒器材</w:t>
            </w:r>
          </w:p>
        </w:tc>
        <w:tc>
          <w:tcPr>
            <w:tcW w:w="1907" w:type="dxa"/>
            <w:tcBorders>
              <w:left w:val="single" w:color="000000" w:sz="2" w:space="0"/>
              <w:right w:val="single" w:color="000000" w:sz="6" w:space="0"/>
            </w:tcBorders>
            <w:vAlign w:val="top"/>
          </w:tcPr>
          <w:p w14:paraId="0644AF13">
            <w:pPr>
              <w:pStyle w:val="6"/>
              <w:spacing w:before="105" w:line="228" w:lineRule="auto"/>
              <w:ind w:left="275"/>
              <w:rPr>
                <w:sz w:val="20"/>
                <w:szCs w:val="20"/>
              </w:rPr>
            </w:pPr>
            <w:r>
              <w:rPr>
                <w:spacing w:val="8"/>
                <w:sz w:val="20"/>
                <w:szCs w:val="20"/>
              </w:rPr>
              <w:t>钻井队副队长</w:t>
            </w:r>
          </w:p>
        </w:tc>
      </w:tr>
      <w:tr w14:paraId="3DA29A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486" w:type="dxa"/>
            <w:vMerge w:val="continue"/>
            <w:tcBorders>
              <w:top w:val="nil"/>
              <w:left w:val="single" w:color="000000" w:sz="6" w:space="0"/>
              <w:bottom w:val="single" w:color="000000" w:sz="6" w:space="0"/>
              <w:right w:val="single" w:color="000000" w:sz="2" w:space="0"/>
            </w:tcBorders>
            <w:vAlign w:val="top"/>
          </w:tcPr>
          <w:p w14:paraId="676874F3">
            <w:pPr>
              <w:rPr>
                <w:rFonts w:ascii="Arial"/>
                <w:sz w:val="21"/>
              </w:rPr>
            </w:pPr>
          </w:p>
        </w:tc>
        <w:tc>
          <w:tcPr>
            <w:tcW w:w="8415" w:type="dxa"/>
            <w:gridSpan w:val="5"/>
            <w:tcBorders>
              <w:left w:val="single" w:color="000000" w:sz="2" w:space="0"/>
              <w:bottom w:val="single" w:color="000000" w:sz="6" w:space="0"/>
              <w:right w:val="single" w:color="000000" w:sz="6" w:space="0"/>
            </w:tcBorders>
            <w:vAlign w:val="top"/>
          </w:tcPr>
          <w:p w14:paraId="7FD4B59E">
            <w:pPr>
              <w:pStyle w:val="6"/>
              <w:spacing w:before="104" w:line="227" w:lineRule="auto"/>
              <w:ind w:left="136"/>
              <w:rPr>
                <w:sz w:val="20"/>
                <w:szCs w:val="20"/>
              </w:rPr>
            </w:pPr>
            <w:r>
              <w:rPr>
                <w:spacing w:val="9"/>
                <w:sz w:val="20"/>
                <w:szCs w:val="20"/>
              </w:rPr>
              <w:t>备注：本项目井场应急物资配备根据实际情况调</w:t>
            </w:r>
            <w:r>
              <w:rPr>
                <w:spacing w:val="8"/>
                <w:sz w:val="20"/>
                <w:szCs w:val="20"/>
              </w:rPr>
              <w:t>整。</w:t>
            </w:r>
          </w:p>
        </w:tc>
      </w:tr>
    </w:tbl>
    <w:p w14:paraId="6AFD0A1A">
      <w:pPr>
        <w:rPr>
          <w:rFonts w:ascii="Arial"/>
          <w:sz w:val="21"/>
        </w:rPr>
      </w:pPr>
    </w:p>
    <w:p w14:paraId="27583295">
      <w:pPr>
        <w:rPr>
          <w:rFonts w:ascii="Arial" w:hAnsi="Arial" w:eastAsia="Arial" w:cs="Arial"/>
          <w:sz w:val="21"/>
          <w:szCs w:val="21"/>
        </w:rPr>
        <w:sectPr>
          <w:footerReference r:id="rId111" w:type="default"/>
          <w:pgSz w:w="11906" w:h="16839"/>
          <w:pgMar w:top="400" w:right="1410" w:bottom="1240" w:left="1579" w:header="0" w:footer="1078" w:gutter="0"/>
          <w:cols w:space="720" w:num="1"/>
        </w:sectPr>
      </w:pPr>
    </w:p>
    <w:p w14:paraId="11CF2D54">
      <w:pPr>
        <w:spacing w:before="56"/>
      </w:pPr>
    </w:p>
    <w:p w14:paraId="55BAA83B">
      <w:pPr>
        <w:spacing w:before="56"/>
      </w:pPr>
    </w:p>
    <w:p w14:paraId="3280EF68">
      <w:pPr>
        <w:spacing w:before="55"/>
      </w:pPr>
    </w:p>
    <w:p w14:paraId="05F13D1E">
      <w:pPr>
        <w:spacing w:before="55"/>
      </w:pPr>
    </w:p>
    <w:tbl>
      <w:tblPr>
        <w:tblStyle w:val="5"/>
        <w:tblW w:w="890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86"/>
        <w:gridCol w:w="8415"/>
      </w:tblGrid>
      <w:tr w14:paraId="043826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486" w:type="dxa"/>
            <w:tcBorders>
              <w:right w:val="single" w:color="000000" w:sz="2" w:space="0"/>
            </w:tcBorders>
            <w:vAlign w:val="top"/>
          </w:tcPr>
          <w:p w14:paraId="103168FF">
            <w:pPr>
              <w:rPr>
                <w:rFonts w:ascii="Arial"/>
                <w:sz w:val="21"/>
              </w:rPr>
            </w:pPr>
          </w:p>
        </w:tc>
        <w:tc>
          <w:tcPr>
            <w:tcW w:w="8415" w:type="dxa"/>
            <w:tcBorders>
              <w:left w:val="single" w:color="000000" w:sz="2" w:space="0"/>
            </w:tcBorders>
            <w:vAlign w:val="top"/>
          </w:tcPr>
          <w:p w14:paraId="0DDCDBEE">
            <w:pPr>
              <w:pStyle w:val="6"/>
              <w:spacing w:before="40" w:line="219" w:lineRule="auto"/>
              <w:ind w:left="599"/>
            </w:pPr>
            <w:r>
              <w:rPr>
                <w:spacing w:val="-2"/>
              </w:rPr>
              <w:t>（</w:t>
            </w:r>
            <w:r>
              <w:rPr>
                <w:rFonts w:ascii="Times New Roman" w:hAnsi="Times New Roman" w:eastAsia="Times New Roman" w:cs="Times New Roman"/>
                <w:spacing w:val="-2"/>
              </w:rPr>
              <w:t>6</w:t>
            </w:r>
            <w:r>
              <w:rPr>
                <w:spacing w:val="-2"/>
              </w:rPr>
              <w:t>）报警、通讯联络方式</w:t>
            </w:r>
          </w:p>
          <w:p w14:paraId="78A3AE34">
            <w:pPr>
              <w:pStyle w:val="6"/>
              <w:spacing w:before="183" w:line="219" w:lineRule="auto"/>
              <w:ind w:left="589"/>
            </w:pPr>
            <w:r>
              <w:rPr>
                <w:spacing w:val="-1"/>
              </w:rPr>
              <w:t>规定应急状态下的报警通信方式、通知方式和交通保障、管制。</w:t>
            </w:r>
          </w:p>
          <w:p w14:paraId="2EC55E4F">
            <w:pPr>
              <w:pStyle w:val="6"/>
              <w:spacing w:before="180" w:line="220" w:lineRule="auto"/>
              <w:ind w:left="599"/>
            </w:pPr>
            <w:r>
              <w:rPr>
                <w:spacing w:val="-3"/>
              </w:rPr>
              <w:t>（</w:t>
            </w:r>
            <w:r>
              <w:rPr>
                <w:rFonts w:ascii="Times New Roman" w:hAnsi="Times New Roman" w:eastAsia="Times New Roman" w:cs="Times New Roman"/>
                <w:spacing w:val="-3"/>
              </w:rPr>
              <w:t>7</w:t>
            </w:r>
            <w:r>
              <w:rPr>
                <w:spacing w:val="-3"/>
              </w:rPr>
              <w:t>）应急措施</w:t>
            </w:r>
          </w:p>
          <w:p w14:paraId="4E443BC9">
            <w:pPr>
              <w:pStyle w:val="6"/>
              <w:spacing w:before="182" w:line="219" w:lineRule="auto"/>
              <w:ind w:left="607"/>
            </w:pPr>
            <w:r>
              <w:rPr>
                <w:rFonts w:ascii="Times New Roman" w:hAnsi="Times New Roman" w:eastAsia="Times New Roman" w:cs="Times New Roman"/>
                <w:spacing w:val="-2"/>
              </w:rPr>
              <w:t>1</w:t>
            </w:r>
            <w:r>
              <w:rPr>
                <w:spacing w:val="-2"/>
              </w:rPr>
              <w:t>）事故现场抢险抢救及降低事故危险程度的措施</w:t>
            </w:r>
          </w:p>
          <w:p w14:paraId="67DD3A8C">
            <w:pPr>
              <w:pStyle w:val="6"/>
              <w:spacing w:before="181" w:line="359" w:lineRule="auto"/>
              <w:ind w:left="107" w:right="41" w:firstLine="483"/>
            </w:pPr>
            <w:r>
              <w:rPr>
                <w:spacing w:val="1"/>
              </w:rPr>
              <w:t>工程抢险、抢救是预防事故扩大的一个重要环节，如果发现及时、</w:t>
            </w:r>
            <w:r>
              <w:t>抢救及</w:t>
            </w:r>
            <w:r>
              <w:rPr>
                <w:spacing w:val="1"/>
              </w:rPr>
              <w:t>时，有可能避免一场火灾、爆炸事故，为此，在发现事故隐患时一定要控制好事态的发展，如果事态变大，无法抢救时，应立即进行人员疏散。抢救时一定要做好防护措施，抢险方案，保证抢险人员安全和正确抢险，在抢险中一定要</w:t>
            </w:r>
            <w:r>
              <w:rPr>
                <w:spacing w:val="-4"/>
              </w:rPr>
              <w:t>抽调出有生产经验、懂流程、安全意识强、有责任心的人进行监护，</w:t>
            </w:r>
            <w:r>
              <w:rPr>
                <w:spacing w:val="-5"/>
              </w:rPr>
              <w:t>配合抢险，</w:t>
            </w:r>
            <w:r>
              <w:rPr>
                <w:spacing w:val="-1"/>
              </w:rPr>
              <w:t>同时对外及时联系，保证安全抢险。</w:t>
            </w:r>
          </w:p>
          <w:p w14:paraId="20C660FB">
            <w:pPr>
              <w:pStyle w:val="6"/>
              <w:spacing w:before="1" w:line="359" w:lineRule="auto"/>
              <w:ind w:left="110" w:right="102" w:firstLine="476"/>
            </w:pPr>
            <w:r>
              <w:rPr>
                <w:spacing w:val="1"/>
              </w:rPr>
              <w:t>——当发生火情、原油泄漏，应迅速查清发生的部位，着火物质、火源、泄漏油品，及时做好防护措施，关闭阀门、切断物料，有效控制事故</w:t>
            </w:r>
            <w:r>
              <w:t>扩大，利</w:t>
            </w:r>
            <w:r>
              <w:rPr>
                <w:spacing w:val="-1"/>
              </w:rPr>
              <w:t>用周围消防设施进行处理。</w:t>
            </w:r>
          </w:p>
          <w:p w14:paraId="25EC1848">
            <w:pPr>
              <w:pStyle w:val="6"/>
              <w:spacing w:line="359" w:lineRule="auto"/>
              <w:ind w:left="111" w:right="161" w:firstLine="475"/>
            </w:pPr>
            <w:r>
              <w:rPr>
                <w:spacing w:val="-1"/>
              </w:rPr>
              <w:t>——带有压力的设备泄漏、着火，并且物料不断喷出，应迅速关闭阀门，</w:t>
            </w:r>
            <w:r>
              <w:rPr>
                <w:spacing w:val="-2"/>
              </w:rPr>
              <w:t>组织员工处理。</w:t>
            </w:r>
          </w:p>
          <w:p w14:paraId="16AF6DED">
            <w:pPr>
              <w:pStyle w:val="6"/>
              <w:spacing w:line="359" w:lineRule="auto"/>
              <w:ind w:left="108" w:right="102" w:firstLine="478"/>
            </w:pPr>
            <w:r>
              <w:rPr>
                <w:spacing w:val="1"/>
              </w:rPr>
              <w:t>——根据火势大小、油品泄漏量多少及设备损坏程度，按事故预案果断正</w:t>
            </w:r>
            <w:r>
              <w:rPr>
                <w:spacing w:val="-1"/>
              </w:rPr>
              <w:t>确处理，这样可减少损失。</w:t>
            </w:r>
          </w:p>
          <w:p w14:paraId="400D2579">
            <w:pPr>
              <w:pStyle w:val="6"/>
              <w:spacing w:before="1" w:line="359" w:lineRule="auto"/>
              <w:ind w:left="110" w:right="102" w:firstLine="476"/>
              <w:jc w:val="both"/>
            </w:pPr>
            <w:r>
              <w:rPr>
                <w:spacing w:val="1"/>
              </w:rPr>
              <w:t>——发生火灾及严重事故时，除应立即组织人员积极处理外，同时应立即</w:t>
            </w:r>
            <w:r>
              <w:rPr>
                <w:spacing w:val="-1"/>
              </w:rPr>
              <w:t>拨打火警</w:t>
            </w:r>
            <w:r>
              <w:rPr>
                <w:spacing w:val="-22"/>
              </w:rPr>
              <w:t xml:space="preserve"> </w:t>
            </w:r>
            <w:r>
              <w:rPr>
                <w:rFonts w:ascii="Times New Roman" w:hAnsi="Times New Roman" w:eastAsia="Times New Roman" w:cs="Times New Roman"/>
                <w:spacing w:val="-1"/>
              </w:rPr>
              <w:t xml:space="preserve">119 </w:t>
            </w:r>
            <w:r>
              <w:rPr>
                <w:spacing w:val="-1"/>
              </w:rPr>
              <w:t>及</w:t>
            </w:r>
            <w:r>
              <w:rPr>
                <w:spacing w:val="-30"/>
              </w:rPr>
              <w:t xml:space="preserve"> </w:t>
            </w:r>
            <w:r>
              <w:rPr>
                <w:rFonts w:ascii="Times New Roman" w:hAnsi="Times New Roman" w:eastAsia="Times New Roman" w:cs="Times New Roman"/>
                <w:spacing w:val="-1"/>
              </w:rPr>
              <w:t xml:space="preserve">120 </w:t>
            </w:r>
            <w:r>
              <w:rPr>
                <w:spacing w:val="-1"/>
              </w:rPr>
              <w:t>联系医院及时赶到现场，进行补救和抢救，当班人员应正常引导消防车和救护车准确的进入现场。</w:t>
            </w:r>
          </w:p>
          <w:p w14:paraId="0DAFC234">
            <w:pPr>
              <w:pStyle w:val="6"/>
              <w:spacing w:before="1" w:line="359" w:lineRule="auto"/>
              <w:ind w:left="109" w:right="102" w:firstLine="477"/>
              <w:jc w:val="both"/>
            </w:pPr>
            <w:r>
              <w:rPr>
                <w:spacing w:val="1"/>
              </w:rPr>
              <w:t>——发生火灾、爆炸、人员中毒事故后，当班班长组织好人员，一面汇报有关领导和有关单位，一面协助消防队和医院人员进行灭火和人员救护</w:t>
            </w:r>
            <w:r>
              <w:t>，同时</w:t>
            </w:r>
            <w:r>
              <w:rPr>
                <w:spacing w:val="1"/>
              </w:rPr>
              <w:t>组织好人员进行工艺处理，若火势很大，为防止火势蔓延，控制火势用</w:t>
            </w:r>
            <w:r>
              <w:t>装置内</w:t>
            </w:r>
            <w:r>
              <w:rPr>
                <w:spacing w:val="-1"/>
              </w:rPr>
              <w:t>的消防设施及灭火器材扑救，同时对周围其他设备、设施进行保护。</w:t>
            </w:r>
          </w:p>
          <w:p w14:paraId="0583F65E">
            <w:pPr>
              <w:pStyle w:val="6"/>
              <w:spacing w:before="1" w:line="217" w:lineRule="auto"/>
              <w:ind w:left="584"/>
            </w:pPr>
            <w:r>
              <w:rPr>
                <w:rFonts w:ascii="Times New Roman" w:hAnsi="Times New Roman" w:eastAsia="Times New Roman" w:cs="Times New Roman"/>
                <w:spacing w:val="-1"/>
              </w:rPr>
              <w:t>2</w:t>
            </w:r>
            <w:r>
              <w:rPr>
                <w:spacing w:val="-1"/>
              </w:rPr>
              <w:t>）应急环境监测与评估</w:t>
            </w:r>
          </w:p>
          <w:p w14:paraId="3B96CF63">
            <w:pPr>
              <w:pStyle w:val="6"/>
              <w:spacing w:before="182" w:line="351" w:lineRule="auto"/>
              <w:ind w:left="108" w:right="102" w:firstLine="480"/>
            </w:pPr>
            <w:r>
              <w:rPr>
                <w:spacing w:val="1"/>
              </w:rPr>
              <w:t>事态监测与评估在应急决策中起着重要作用。消防和抢险、应急人员的安全、公众的就地保护措施或疏散、实物和水源的使用、污染物的围堵收容</w:t>
            </w:r>
            <w:r>
              <w:t>和清</w:t>
            </w:r>
            <w:r>
              <w:rPr>
                <w:spacing w:val="1"/>
              </w:rPr>
              <w:t>除、人群的返回等，都取决于对事故性质、事态发展的准确监测和评估。</w:t>
            </w:r>
            <w:r>
              <w:t>可能</w:t>
            </w:r>
            <w:r>
              <w:rPr>
                <w:spacing w:val="1"/>
              </w:rPr>
              <w:t>的监测活动包括：事故规模及影响边界，气象条件，对食物、饮用水、卫</w:t>
            </w:r>
            <w:r>
              <w:t>生以</w:t>
            </w:r>
          </w:p>
        </w:tc>
      </w:tr>
    </w:tbl>
    <w:p w14:paraId="796B5422">
      <w:pPr>
        <w:rPr>
          <w:rFonts w:ascii="Arial"/>
          <w:sz w:val="21"/>
        </w:rPr>
      </w:pPr>
    </w:p>
    <w:p w14:paraId="3A73F42E">
      <w:pPr>
        <w:rPr>
          <w:rFonts w:ascii="Arial" w:hAnsi="Arial" w:eastAsia="Arial" w:cs="Arial"/>
          <w:sz w:val="21"/>
          <w:szCs w:val="21"/>
        </w:rPr>
        <w:sectPr>
          <w:footerReference r:id="rId112" w:type="default"/>
          <w:pgSz w:w="11906" w:h="16839"/>
          <w:pgMar w:top="400" w:right="1410" w:bottom="1240" w:left="1579" w:header="0" w:footer="1078" w:gutter="0"/>
          <w:cols w:space="720" w:num="1"/>
        </w:sectPr>
      </w:pPr>
    </w:p>
    <w:p w14:paraId="662711D8">
      <w:pPr>
        <w:spacing w:before="56"/>
      </w:pPr>
    </w:p>
    <w:p w14:paraId="2B512AA5">
      <w:pPr>
        <w:spacing w:before="56"/>
      </w:pPr>
    </w:p>
    <w:p w14:paraId="44DA6CB6">
      <w:pPr>
        <w:spacing w:before="55"/>
      </w:pPr>
    </w:p>
    <w:p w14:paraId="22206D63">
      <w:pPr>
        <w:spacing w:before="55"/>
      </w:pPr>
    </w:p>
    <w:tbl>
      <w:tblPr>
        <w:tblStyle w:val="5"/>
        <w:tblW w:w="8901"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6"/>
        <w:gridCol w:w="884"/>
        <w:gridCol w:w="2173"/>
        <w:gridCol w:w="372"/>
        <w:gridCol w:w="1348"/>
        <w:gridCol w:w="2249"/>
        <w:gridCol w:w="1389"/>
      </w:tblGrid>
      <w:tr w14:paraId="0DF8D4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2" w:hRule="atLeast"/>
        </w:trPr>
        <w:tc>
          <w:tcPr>
            <w:tcW w:w="486" w:type="dxa"/>
            <w:vMerge w:val="restart"/>
            <w:tcBorders>
              <w:top w:val="single" w:color="000000" w:sz="6" w:space="0"/>
              <w:left w:val="single" w:color="000000" w:sz="6" w:space="0"/>
              <w:bottom w:val="nil"/>
              <w:right w:val="single" w:color="000000" w:sz="2" w:space="0"/>
            </w:tcBorders>
            <w:vAlign w:val="top"/>
          </w:tcPr>
          <w:p w14:paraId="32367C17">
            <w:pPr>
              <w:rPr>
                <w:rFonts w:ascii="Arial"/>
                <w:sz w:val="21"/>
              </w:rPr>
            </w:pPr>
          </w:p>
        </w:tc>
        <w:tc>
          <w:tcPr>
            <w:tcW w:w="8415" w:type="dxa"/>
            <w:gridSpan w:val="6"/>
            <w:tcBorders>
              <w:top w:val="single" w:color="000000" w:sz="6" w:space="0"/>
              <w:left w:val="single" w:color="000000" w:sz="2" w:space="0"/>
              <w:bottom w:val="single" w:color="000000" w:sz="10" w:space="0"/>
              <w:right w:val="single" w:color="000000" w:sz="6" w:space="0"/>
            </w:tcBorders>
            <w:vAlign w:val="top"/>
          </w:tcPr>
          <w:p w14:paraId="555CFEAC">
            <w:pPr>
              <w:pStyle w:val="6"/>
              <w:spacing w:before="40" w:line="359" w:lineRule="auto"/>
              <w:ind w:left="109" w:right="102" w:hanging="2"/>
            </w:pPr>
            <w:r>
              <w:rPr>
                <w:spacing w:val="1"/>
              </w:rPr>
              <w:t>及水体、土壤、植物等的污染，可能的二次反应有害物，爆炸危险性和受损建</w:t>
            </w:r>
            <w:r>
              <w:rPr>
                <w:spacing w:val="-1"/>
              </w:rPr>
              <w:t>筑垮塌危险性以及污染物质的滞留区等。</w:t>
            </w:r>
          </w:p>
          <w:p w14:paraId="353025F3">
            <w:pPr>
              <w:pStyle w:val="6"/>
              <w:spacing w:before="1" w:line="359" w:lineRule="auto"/>
              <w:ind w:left="107" w:right="102" w:firstLine="484"/>
              <w:jc w:val="both"/>
            </w:pPr>
            <w:r>
              <w:rPr>
                <w:spacing w:val="1"/>
              </w:rPr>
              <w:t>项目事故发生后，应急指挥领导小组应迅速组织委托有资质单位</w:t>
            </w:r>
            <w:r>
              <w:t>对事故现</w:t>
            </w:r>
            <w:r>
              <w:rPr>
                <w:spacing w:val="1"/>
              </w:rPr>
              <w:t>场以及周围环境进行连续不间断监测，对事故的性质、参数以及各类污染物质</w:t>
            </w:r>
            <w:r>
              <w:rPr>
                <w:spacing w:val="-1"/>
              </w:rPr>
              <w:t>的扩散程度进行评估，为指挥部门提供决策依据。</w:t>
            </w:r>
          </w:p>
          <w:p w14:paraId="734D687C">
            <w:pPr>
              <w:spacing w:line="213" w:lineRule="auto"/>
              <w:ind w:left="1712"/>
              <w:rPr>
                <w:rFonts w:ascii="黑体" w:hAnsi="黑体" w:eastAsia="黑体" w:cs="黑体"/>
                <w:sz w:val="24"/>
                <w:szCs w:val="24"/>
              </w:rPr>
            </w:pPr>
            <w:r>
              <w:rPr>
                <w:rFonts w:ascii="黑体" w:hAnsi="黑体" w:eastAsia="黑体" w:cs="黑体"/>
                <w:spacing w:val="-1"/>
                <w:sz w:val="24"/>
                <w:szCs w:val="24"/>
              </w:rPr>
              <w:t>表</w:t>
            </w:r>
            <w:r>
              <w:rPr>
                <w:rFonts w:ascii="Times New Roman" w:hAnsi="Times New Roman" w:eastAsia="Times New Roman" w:cs="Times New Roman"/>
                <w:spacing w:val="-1"/>
                <w:sz w:val="24"/>
                <w:szCs w:val="24"/>
              </w:rPr>
              <w:t xml:space="preserve">5-3  </w:t>
            </w:r>
            <w:r>
              <w:rPr>
                <w:rFonts w:ascii="黑体" w:hAnsi="黑体" w:eastAsia="黑体" w:cs="黑体"/>
                <w:spacing w:val="-1"/>
                <w:sz w:val="24"/>
                <w:szCs w:val="24"/>
              </w:rPr>
              <w:t>风险事故情况下环境应急监测方案一览表</w:t>
            </w:r>
          </w:p>
        </w:tc>
      </w:tr>
      <w:tr w14:paraId="2C18FD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486" w:type="dxa"/>
            <w:vMerge w:val="continue"/>
            <w:tcBorders>
              <w:top w:val="nil"/>
              <w:left w:val="single" w:color="000000" w:sz="6" w:space="0"/>
              <w:bottom w:val="nil"/>
              <w:right w:val="single" w:color="000000" w:sz="2" w:space="0"/>
            </w:tcBorders>
            <w:vAlign w:val="top"/>
          </w:tcPr>
          <w:p w14:paraId="10283A8D">
            <w:pPr>
              <w:rPr>
                <w:rFonts w:ascii="Arial"/>
                <w:sz w:val="21"/>
              </w:rPr>
            </w:pPr>
          </w:p>
        </w:tc>
        <w:tc>
          <w:tcPr>
            <w:tcW w:w="884" w:type="dxa"/>
            <w:tcBorders>
              <w:top w:val="single" w:color="000000" w:sz="10" w:space="0"/>
              <w:left w:val="single" w:color="000000" w:sz="2" w:space="0"/>
            </w:tcBorders>
            <w:vAlign w:val="top"/>
          </w:tcPr>
          <w:p w14:paraId="0ED557B8">
            <w:pPr>
              <w:pStyle w:val="6"/>
              <w:spacing w:before="101" w:line="228" w:lineRule="auto"/>
              <w:ind w:left="297"/>
              <w:rPr>
                <w:sz w:val="20"/>
                <w:szCs w:val="20"/>
              </w:rPr>
            </w:pPr>
            <w:r>
              <w:rPr>
                <w:spacing w:val="3"/>
                <w:sz w:val="20"/>
                <w:szCs w:val="20"/>
              </w:rPr>
              <w:t>项目</w:t>
            </w:r>
          </w:p>
        </w:tc>
        <w:tc>
          <w:tcPr>
            <w:tcW w:w="2545" w:type="dxa"/>
            <w:gridSpan w:val="2"/>
            <w:tcBorders>
              <w:top w:val="single" w:color="000000" w:sz="10" w:space="0"/>
            </w:tcBorders>
            <w:vAlign w:val="top"/>
          </w:tcPr>
          <w:p w14:paraId="210FFB60">
            <w:pPr>
              <w:pStyle w:val="6"/>
              <w:spacing w:before="101" w:line="229" w:lineRule="auto"/>
              <w:ind w:left="879"/>
              <w:rPr>
                <w:sz w:val="20"/>
                <w:szCs w:val="20"/>
              </w:rPr>
            </w:pPr>
            <w:r>
              <w:rPr>
                <w:spacing w:val="7"/>
                <w:sz w:val="20"/>
                <w:szCs w:val="20"/>
              </w:rPr>
              <w:t>监测位置</w:t>
            </w:r>
          </w:p>
        </w:tc>
        <w:tc>
          <w:tcPr>
            <w:tcW w:w="1348" w:type="dxa"/>
            <w:tcBorders>
              <w:top w:val="single" w:color="000000" w:sz="10" w:space="0"/>
            </w:tcBorders>
            <w:vAlign w:val="top"/>
          </w:tcPr>
          <w:p w14:paraId="375084DF">
            <w:pPr>
              <w:pStyle w:val="6"/>
              <w:spacing w:before="101" w:line="228" w:lineRule="auto"/>
              <w:ind w:left="286"/>
              <w:rPr>
                <w:sz w:val="20"/>
                <w:szCs w:val="20"/>
              </w:rPr>
            </w:pPr>
            <w:r>
              <w:rPr>
                <w:spacing w:val="7"/>
                <w:sz w:val="20"/>
                <w:szCs w:val="20"/>
              </w:rPr>
              <w:t>监测因子</w:t>
            </w:r>
          </w:p>
        </w:tc>
        <w:tc>
          <w:tcPr>
            <w:tcW w:w="2249" w:type="dxa"/>
            <w:tcBorders>
              <w:top w:val="single" w:color="000000" w:sz="10" w:space="0"/>
            </w:tcBorders>
            <w:vAlign w:val="top"/>
          </w:tcPr>
          <w:p w14:paraId="50856487">
            <w:pPr>
              <w:pStyle w:val="6"/>
              <w:spacing w:before="100" w:line="228" w:lineRule="auto"/>
              <w:ind w:left="738"/>
              <w:rPr>
                <w:sz w:val="20"/>
                <w:szCs w:val="20"/>
              </w:rPr>
            </w:pPr>
            <w:r>
              <w:rPr>
                <w:spacing w:val="7"/>
                <w:sz w:val="20"/>
                <w:szCs w:val="20"/>
              </w:rPr>
              <w:t>监测频率</w:t>
            </w:r>
          </w:p>
        </w:tc>
        <w:tc>
          <w:tcPr>
            <w:tcW w:w="1389" w:type="dxa"/>
            <w:tcBorders>
              <w:top w:val="single" w:color="000000" w:sz="10" w:space="0"/>
              <w:right w:val="single" w:color="000000" w:sz="6" w:space="0"/>
            </w:tcBorders>
            <w:vAlign w:val="top"/>
          </w:tcPr>
          <w:p w14:paraId="20B74878">
            <w:pPr>
              <w:pStyle w:val="6"/>
              <w:spacing w:before="101" w:line="229" w:lineRule="auto"/>
              <w:ind w:left="453"/>
              <w:rPr>
                <w:sz w:val="20"/>
                <w:szCs w:val="20"/>
              </w:rPr>
            </w:pPr>
            <w:r>
              <w:rPr>
                <w:spacing w:val="3"/>
                <w:sz w:val="20"/>
                <w:szCs w:val="20"/>
              </w:rPr>
              <w:t>备注</w:t>
            </w:r>
          </w:p>
        </w:tc>
      </w:tr>
      <w:tr w14:paraId="501EDF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486" w:type="dxa"/>
            <w:vMerge w:val="continue"/>
            <w:tcBorders>
              <w:top w:val="nil"/>
              <w:left w:val="single" w:color="000000" w:sz="6" w:space="0"/>
              <w:bottom w:val="nil"/>
              <w:right w:val="single" w:color="000000" w:sz="2" w:space="0"/>
            </w:tcBorders>
            <w:vAlign w:val="top"/>
          </w:tcPr>
          <w:p w14:paraId="56824BC7">
            <w:pPr>
              <w:rPr>
                <w:rFonts w:ascii="Arial"/>
                <w:sz w:val="21"/>
              </w:rPr>
            </w:pPr>
          </w:p>
        </w:tc>
        <w:tc>
          <w:tcPr>
            <w:tcW w:w="884" w:type="dxa"/>
            <w:vMerge w:val="restart"/>
            <w:tcBorders>
              <w:left w:val="single" w:color="000000" w:sz="2" w:space="0"/>
              <w:bottom w:val="nil"/>
            </w:tcBorders>
            <w:vAlign w:val="top"/>
          </w:tcPr>
          <w:p w14:paraId="05853A3F">
            <w:pPr>
              <w:spacing w:line="262" w:lineRule="auto"/>
              <w:rPr>
                <w:rFonts w:ascii="Arial"/>
                <w:sz w:val="21"/>
              </w:rPr>
            </w:pPr>
          </w:p>
          <w:p w14:paraId="48FC40CA">
            <w:pPr>
              <w:pStyle w:val="6"/>
              <w:spacing w:before="65" w:line="228" w:lineRule="auto"/>
              <w:ind w:left="293"/>
              <w:rPr>
                <w:sz w:val="20"/>
                <w:szCs w:val="20"/>
              </w:rPr>
            </w:pPr>
            <w:r>
              <w:rPr>
                <w:spacing w:val="5"/>
                <w:sz w:val="20"/>
                <w:szCs w:val="20"/>
              </w:rPr>
              <w:t>废气</w:t>
            </w:r>
          </w:p>
        </w:tc>
        <w:tc>
          <w:tcPr>
            <w:tcW w:w="2545" w:type="dxa"/>
            <w:gridSpan w:val="2"/>
            <w:vAlign w:val="top"/>
          </w:tcPr>
          <w:p w14:paraId="1A6D4C03">
            <w:pPr>
              <w:pStyle w:val="6"/>
              <w:spacing w:before="108" w:line="228" w:lineRule="auto"/>
              <w:ind w:left="879"/>
              <w:rPr>
                <w:sz w:val="20"/>
                <w:szCs w:val="20"/>
              </w:rPr>
            </w:pPr>
            <w:r>
              <w:rPr>
                <w:spacing w:val="8"/>
                <w:sz w:val="20"/>
                <w:szCs w:val="20"/>
              </w:rPr>
              <w:t>井场场界</w:t>
            </w:r>
          </w:p>
        </w:tc>
        <w:tc>
          <w:tcPr>
            <w:tcW w:w="1348" w:type="dxa"/>
            <w:vMerge w:val="restart"/>
            <w:tcBorders>
              <w:bottom w:val="nil"/>
            </w:tcBorders>
            <w:vAlign w:val="top"/>
          </w:tcPr>
          <w:p w14:paraId="63A7F1CC">
            <w:pPr>
              <w:pStyle w:val="6"/>
              <w:spacing w:before="192" w:line="267" w:lineRule="auto"/>
              <w:ind w:left="24" w:firstLine="51"/>
              <w:rPr>
                <w:rFonts w:ascii="Times New Roman" w:hAnsi="Times New Roman" w:eastAsia="Times New Roman" w:cs="Times New Roman"/>
                <w:sz w:val="13"/>
                <w:szCs w:val="13"/>
              </w:rPr>
            </w:pPr>
            <w:r>
              <w:rPr>
                <w:spacing w:val="6"/>
                <w:sz w:val="20"/>
                <w:szCs w:val="20"/>
              </w:rPr>
              <w:t>非甲烷总烃、</w:t>
            </w:r>
            <w:r>
              <w:rPr>
                <w:spacing w:val="1"/>
                <w:sz w:val="20"/>
                <w:szCs w:val="20"/>
              </w:rPr>
              <w:t xml:space="preserve"> </w:t>
            </w:r>
            <w:r>
              <w:rPr>
                <w:rFonts w:ascii="Times New Roman" w:hAnsi="Times New Roman" w:eastAsia="Times New Roman" w:cs="Times New Roman"/>
                <w:spacing w:val="-4"/>
                <w:sz w:val="20"/>
                <w:szCs w:val="20"/>
              </w:rPr>
              <w:t>NO</w:t>
            </w:r>
            <w:r>
              <w:rPr>
                <w:rFonts w:ascii="Times New Roman" w:hAnsi="Times New Roman" w:eastAsia="Times New Roman" w:cs="Times New Roman"/>
                <w:spacing w:val="-4"/>
                <w:position w:val="-1"/>
                <w:sz w:val="13"/>
                <w:szCs w:val="13"/>
              </w:rPr>
              <w:t>x</w:t>
            </w:r>
            <w:r>
              <w:rPr>
                <w:spacing w:val="-4"/>
                <w:sz w:val="20"/>
                <w:szCs w:val="20"/>
              </w:rPr>
              <w:t>、</w:t>
            </w:r>
            <w:r>
              <w:rPr>
                <w:rFonts w:ascii="Times New Roman" w:hAnsi="Times New Roman" w:eastAsia="Times New Roman" w:cs="Times New Roman"/>
                <w:spacing w:val="-4"/>
                <w:sz w:val="20"/>
                <w:szCs w:val="20"/>
              </w:rPr>
              <w:t>CO</w:t>
            </w:r>
            <w:r>
              <w:rPr>
                <w:spacing w:val="-4"/>
                <w:sz w:val="20"/>
                <w:szCs w:val="20"/>
              </w:rPr>
              <w:t>、</w:t>
            </w:r>
            <w:r>
              <w:rPr>
                <w:rFonts w:ascii="Times New Roman" w:hAnsi="Times New Roman" w:eastAsia="Times New Roman" w:cs="Times New Roman"/>
                <w:spacing w:val="-4"/>
                <w:sz w:val="20"/>
                <w:szCs w:val="20"/>
              </w:rPr>
              <w:t>SO</w:t>
            </w:r>
            <w:r>
              <w:rPr>
                <w:rFonts w:ascii="Times New Roman" w:hAnsi="Times New Roman" w:eastAsia="Times New Roman" w:cs="Times New Roman"/>
                <w:spacing w:val="-4"/>
                <w:position w:val="-1"/>
                <w:sz w:val="13"/>
                <w:szCs w:val="13"/>
              </w:rPr>
              <w:t>2</w:t>
            </w:r>
          </w:p>
        </w:tc>
        <w:tc>
          <w:tcPr>
            <w:tcW w:w="2249" w:type="dxa"/>
            <w:vMerge w:val="restart"/>
            <w:tcBorders>
              <w:bottom w:val="nil"/>
            </w:tcBorders>
            <w:vAlign w:val="top"/>
          </w:tcPr>
          <w:p w14:paraId="6C5D5F30">
            <w:pPr>
              <w:spacing w:line="293" w:lineRule="auto"/>
              <w:rPr>
                <w:rFonts w:ascii="Arial"/>
                <w:sz w:val="21"/>
              </w:rPr>
            </w:pPr>
          </w:p>
          <w:p w14:paraId="3C86051C">
            <w:pPr>
              <w:pStyle w:val="6"/>
              <w:spacing w:before="65" w:line="228" w:lineRule="auto"/>
              <w:ind w:left="106"/>
              <w:rPr>
                <w:sz w:val="20"/>
                <w:szCs w:val="20"/>
              </w:rPr>
            </w:pPr>
            <w:r>
              <w:rPr>
                <w:spacing w:val="8"/>
                <w:sz w:val="20"/>
                <w:szCs w:val="20"/>
              </w:rPr>
              <w:t>事故发生及处理过程中</w:t>
            </w:r>
          </w:p>
          <w:p w14:paraId="6AF6473D">
            <w:pPr>
              <w:pStyle w:val="6"/>
              <w:spacing w:before="24" w:line="228" w:lineRule="auto"/>
              <w:ind w:left="209"/>
              <w:rPr>
                <w:sz w:val="20"/>
                <w:szCs w:val="20"/>
              </w:rPr>
            </w:pPr>
            <w:r>
              <w:rPr>
                <w:spacing w:val="9"/>
                <w:sz w:val="20"/>
                <w:szCs w:val="20"/>
              </w:rPr>
              <w:t>进行实时监测，过后</w:t>
            </w:r>
          </w:p>
          <w:p w14:paraId="0D71FD22">
            <w:pPr>
              <w:pStyle w:val="6"/>
              <w:spacing w:before="23" w:line="228" w:lineRule="auto"/>
              <w:ind w:left="123"/>
              <w:rPr>
                <w:sz w:val="20"/>
                <w:szCs w:val="20"/>
              </w:rPr>
            </w:pPr>
            <w:r>
              <w:rPr>
                <w:rFonts w:ascii="Times New Roman" w:hAnsi="Times New Roman" w:eastAsia="Times New Roman" w:cs="Times New Roman"/>
                <w:spacing w:val="8"/>
                <w:sz w:val="20"/>
                <w:szCs w:val="20"/>
              </w:rPr>
              <w:t>20</w:t>
            </w:r>
            <w:r>
              <w:rPr>
                <w:rFonts w:ascii="Times New Roman" w:hAnsi="Times New Roman" w:eastAsia="Times New Roman" w:cs="Times New Roman"/>
                <w:sz w:val="20"/>
                <w:szCs w:val="20"/>
              </w:rPr>
              <w:t>min</w:t>
            </w:r>
            <w:r>
              <w:rPr>
                <w:rFonts w:ascii="Times New Roman" w:hAnsi="Times New Roman" w:eastAsia="Times New Roman" w:cs="Times New Roman"/>
                <w:spacing w:val="20"/>
                <w:w w:val="101"/>
                <w:sz w:val="20"/>
                <w:szCs w:val="20"/>
              </w:rPr>
              <w:t xml:space="preserve"> </w:t>
            </w:r>
            <w:r>
              <w:rPr>
                <w:spacing w:val="8"/>
                <w:sz w:val="20"/>
                <w:szCs w:val="20"/>
              </w:rPr>
              <w:t>一次直至应急结</w:t>
            </w:r>
          </w:p>
          <w:p w14:paraId="151F657D">
            <w:pPr>
              <w:pStyle w:val="6"/>
              <w:spacing w:before="26" w:line="228" w:lineRule="auto"/>
              <w:ind w:left="946"/>
              <w:rPr>
                <w:sz w:val="20"/>
                <w:szCs w:val="20"/>
              </w:rPr>
            </w:pPr>
            <w:r>
              <w:rPr>
                <w:sz w:val="20"/>
                <w:szCs w:val="20"/>
              </w:rPr>
              <w:t>束。</w:t>
            </w:r>
          </w:p>
        </w:tc>
        <w:tc>
          <w:tcPr>
            <w:tcW w:w="1389" w:type="dxa"/>
            <w:vMerge w:val="restart"/>
            <w:tcBorders>
              <w:bottom w:val="nil"/>
              <w:right w:val="single" w:color="000000" w:sz="6" w:space="0"/>
            </w:tcBorders>
            <w:vAlign w:val="top"/>
          </w:tcPr>
          <w:p w14:paraId="1C71A346">
            <w:pPr>
              <w:spacing w:line="293" w:lineRule="auto"/>
              <w:rPr>
                <w:rFonts w:ascii="Arial"/>
                <w:sz w:val="21"/>
              </w:rPr>
            </w:pPr>
          </w:p>
          <w:p w14:paraId="25D99A22">
            <w:pPr>
              <w:pStyle w:val="6"/>
              <w:spacing w:before="65" w:line="252" w:lineRule="auto"/>
              <w:ind w:left="140" w:right="198" w:hanging="3"/>
              <w:jc w:val="both"/>
              <w:rPr>
                <w:sz w:val="20"/>
                <w:szCs w:val="20"/>
              </w:rPr>
            </w:pPr>
            <w:r>
              <w:rPr>
                <w:spacing w:val="8"/>
                <w:sz w:val="20"/>
                <w:szCs w:val="20"/>
              </w:rPr>
              <w:t>根据发生事</w:t>
            </w:r>
            <w:r>
              <w:rPr>
                <w:spacing w:val="7"/>
                <w:sz w:val="20"/>
                <w:szCs w:val="20"/>
              </w:rPr>
              <w:t>故的装置确定具体的监</w:t>
            </w:r>
            <w:r>
              <w:rPr>
                <w:spacing w:val="30"/>
                <w:sz w:val="20"/>
                <w:szCs w:val="20"/>
              </w:rPr>
              <w:t>测因子。</w:t>
            </w:r>
          </w:p>
        </w:tc>
      </w:tr>
      <w:tr w14:paraId="2E1FA0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486" w:type="dxa"/>
            <w:vMerge w:val="continue"/>
            <w:tcBorders>
              <w:top w:val="nil"/>
              <w:left w:val="single" w:color="000000" w:sz="6" w:space="0"/>
              <w:bottom w:val="nil"/>
              <w:right w:val="single" w:color="000000" w:sz="2" w:space="0"/>
            </w:tcBorders>
            <w:vAlign w:val="top"/>
          </w:tcPr>
          <w:p w14:paraId="471CEEE4">
            <w:pPr>
              <w:rPr>
                <w:rFonts w:ascii="Arial"/>
                <w:sz w:val="21"/>
              </w:rPr>
            </w:pPr>
          </w:p>
        </w:tc>
        <w:tc>
          <w:tcPr>
            <w:tcW w:w="884" w:type="dxa"/>
            <w:vMerge w:val="continue"/>
            <w:tcBorders>
              <w:top w:val="nil"/>
              <w:left w:val="single" w:color="000000" w:sz="2" w:space="0"/>
            </w:tcBorders>
            <w:vAlign w:val="top"/>
          </w:tcPr>
          <w:p w14:paraId="49CAFAB3">
            <w:pPr>
              <w:rPr>
                <w:rFonts w:ascii="Arial"/>
                <w:sz w:val="21"/>
              </w:rPr>
            </w:pPr>
          </w:p>
        </w:tc>
        <w:tc>
          <w:tcPr>
            <w:tcW w:w="2545" w:type="dxa"/>
            <w:gridSpan w:val="2"/>
            <w:vAlign w:val="top"/>
          </w:tcPr>
          <w:p w14:paraId="2F41C5D9">
            <w:pPr>
              <w:pStyle w:val="6"/>
              <w:spacing w:before="108" w:line="228" w:lineRule="auto"/>
              <w:ind w:left="352"/>
              <w:rPr>
                <w:sz w:val="20"/>
                <w:szCs w:val="20"/>
              </w:rPr>
            </w:pPr>
            <w:r>
              <w:rPr>
                <w:spacing w:val="9"/>
                <w:sz w:val="20"/>
                <w:szCs w:val="20"/>
              </w:rPr>
              <w:t>距离较近的敏感目标</w:t>
            </w:r>
          </w:p>
        </w:tc>
        <w:tc>
          <w:tcPr>
            <w:tcW w:w="1348" w:type="dxa"/>
            <w:vMerge w:val="continue"/>
            <w:tcBorders>
              <w:top w:val="nil"/>
            </w:tcBorders>
            <w:vAlign w:val="top"/>
          </w:tcPr>
          <w:p w14:paraId="248A9C0B">
            <w:pPr>
              <w:rPr>
                <w:rFonts w:ascii="Arial"/>
                <w:sz w:val="21"/>
              </w:rPr>
            </w:pPr>
          </w:p>
        </w:tc>
        <w:tc>
          <w:tcPr>
            <w:tcW w:w="2249" w:type="dxa"/>
            <w:vMerge w:val="continue"/>
            <w:tcBorders>
              <w:top w:val="nil"/>
              <w:bottom w:val="nil"/>
            </w:tcBorders>
            <w:vAlign w:val="top"/>
          </w:tcPr>
          <w:p w14:paraId="33F76E69">
            <w:pPr>
              <w:rPr>
                <w:rFonts w:ascii="Arial"/>
                <w:sz w:val="21"/>
              </w:rPr>
            </w:pPr>
          </w:p>
        </w:tc>
        <w:tc>
          <w:tcPr>
            <w:tcW w:w="1389" w:type="dxa"/>
            <w:vMerge w:val="continue"/>
            <w:tcBorders>
              <w:top w:val="nil"/>
              <w:bottom w:val="nil"/>
              <w:right w:val="single" w:color="000000" w:sz="6" w:space="0"/>
            </w:tcBorders>
            <w:vAlign w:val="top"/>
          </w:tcPr>
          <w:p w14:paraId="0C38D1BD">
            <w:pPr>
              <w:rPr>
                <w:rFonts w:ascii="Arial"/>
                <w:sz w:val="21"/>
              </w:rPr>
            </w:pPr>
          </w:p>
        </w:tc>
      </w:tr>
      <w:tr w14:paraId="4CB36C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486" w:type="dxa"/>
            <w:vMerge w:val="continue"/>
            <w:tcBorders>
              <w:top w:val="nil"/>
              <w:left w:val="single" w:color="000000" w:sz="6" w:space="0"/>
              <w:bottom w:val="nil"/>
              <w:right w:val="single" w:color="000000" w:sz="2" w:space="0"/>
            </w:tcBorders>
            <w:vAlign w:val="top"/>
          </w:tcPr>
          <w:p w14:paraId="1ACEFD8A">
            <w:pPr>
              <w:rPr>
                <w:rFonts w:ascii="Arial"/>
                <w:sz w:val="21"/>
              </w:rPr>
            </w:pPr>
          </w:p>
        </w:tc>
        <w:tc>
          <w:tcPr>
            <w:tcW w:w="884" w:type="dxa"/>
            <w:tcBorders>
              <w:left w:val="single" w:color="000000" w:sz="2" w:space="0"/>
            </w:tcBorders>
            <w:vAlign w:val="top"/>
          </w:tcPr>
          <w:p w14:paraId="0D3D0C15">
            <w:pPr>
              <w:pStyle w:val="6"/>
              <w:spacing w:before="110" w:line="229" w:lineRule="auto"/>
              <w:ind w:left="295"/>
              <w:rPr>
                <w:sz w:val="20"/>
                <w:szCs w:val="20"/>
              </w:rPr>
            </w:pPr>
            <w:r>
              <w:rPr>
                <w:spacing w:val="4"/>
                <w:sz w:val="20"/>
                <w:szCs w:val="20"/>
              </w:rPr>
              <w:t>土壤</w:t>
            </w:r>
          </w:p>
        </w:tc>
        <w:tc>
          <w:tcPr>
            <w:tcW w:w="2545" w:type="dxa"/>
            <w:gridSpan w:val="2"/>
            <w:vAlign w:val="top"/>
          </w:tcPr>
          <w:p w14:paraId="50E03166">
            <w:pPr>
              <w:pStyle w:val="6"/>
              <w:spacing w:before="109" w:line="227" w:lineRule="auto"/>
              <w:ind w:left="144"/>
              <w:rPr>
                <w:sz w:val="20"/>
                <w:szCs w:val="20"/>
              </w:rPr>
            </w:pPr>
            <w:r>
              <w:rPr>
                <w:spacing w:val="9"/>
                <w:sz w:val="20"/>
                <w:szCs w:val="20"/>
              </w:rPr>
              <w:t>试油油罐泄漏处附近土壤</w:t>
            </w:r>
          </w:p>
        </w:tc>
        <w:tc>
          <w:tcPr>
            <w:tcW w:w="1348" w:type="dxa"/>
            <w:vAlign w:val="top"/>
          </w:tcPr>
          <w:p w14:paraId="5A622608">
            <w:pPr>
              <w:pStyle w:val="6"/>
              <w:spacing w:before="110" w:line="228" w:lineRule="auto"/>
              <w:ind w:left="389"/>
              <w:rPr>
                <w:sz w:val="20"/>
                <w:szCs w:val="20"/>
              </w:rPr>
            </w:pPr>
            <w:r>
              <w:rPr>
                <w:spacing w:val="6"/>
                <w:sz w:val="20"/>
                <w:szCs w:val="20"/>
              </w:rPr>
              <w:t>石油烃</w:t>
            </w:r>
          </w:p>
        </w:tc>
        <w:tc>
          <w:tcPr>
            <w:tcW w:w="2249" w:type="dxa"/>
            <w:vMerge w:val="continue"/>
            <w:tcBorders>
              <w:top w:val="nil"/>
              <w:bottom w:val="nil"/>
            </w:tcBorders>
            <w:vAlign w:val="top"/>
          </w:tcPr>
          <w:p w14:paraId="47F56EFB">
            <w:pPr>
              <w:rPr>
                <w:rFonts w:ascii="Arial"/>
                <w:sz w:val="21"/>
              </w:rPr>
            </w:pPr>
          </w:p>
        </w:tc>
        <w:tc>
          <w:tcPr>
            <w:tcW w:w="1389" w:type="dxa"/>
            <w:vMerge w:val="continue"/>
            <w:tcBorders>
              <w:top w:val="nil"/>
              <w:bottom w:val="nil"/>
              <w:right w:val="single" w:color="000000" w:sz="6" w:space="0"/>
            </w:tcBorders>
            <w:vAlign w:val="top"/>
          </w:tcPr>
          <w:p w14:paraId="28CBC784">
            <w:pPr>
              <w:rPr>
                <w:rFonts w:ascii="Arial"/>
                <w:sz w:val="21"/>
              </w:rPr>
            </w:pPr>
          </w:p>
        </w:tc>
      </w:tr>
      <w:tr w14:paraId="0F5DE1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trPr>
        <w:tc>
          <w:tcPr>
            <w:tcW w:w="486" w:type="dxa"/>
            <w:vMerge w:val="continue"/>
            <w:tcBorders>
              <w:top w:val="nil"/>
              <w:left w:val="single" w:color="000000" w:sz="6" w:space="0"/>
              <w:bottom w:val="nil"/>
              <w:right w:val="single" w:color="000000" w:sz="2" w:space="0"/>
            </w:tcBorders>
            <w:vAlign w:val="top"/>
          </w:tcPr>
          <w:p w14:paraId="6F3CF10F">
            <w:pPr>
              <w:rPr>
                <w:rFonts w:ascii="Arial"/>
                <w:sz w:val="21"/>
              </w:rPr>
            </w:pPr>
          </w:p>
        </w:tc>
        <w:tc>
          <w:tcPr>
            <w:tcW w:w="884" w:type="dxa"/>
            <w:tcBorders>
              <w:left w:val="single" w:color="000000" w:sz="2" w:space="0"/>
              <w:bottom w:val="single" w:color="000000" w:sz="10" w:space="0"/>
            </w:tcBorders>
            <w:vAlign w:val="top"/>
          </w:tcPr>
          <w:p w14:paraId="41068583">
            <w:pPr>
              <w:pStyle w:val="6"/>
              <w:spacing w:before="108" w:line="228" w:lineRule="auto"/>
              <w:ind w:left="188"/>
              <w:rPr>
                <w:sz w:val="20"/>
                <w:szCs w:val="20"/>
              </w:rPr>
            </w:pPr>
            <w:r>
              <w:rPr>
                <w:spacing w:val="6"/>
                <w:sz w:val="20"/>
                <w:szCs w:val="20"/>
              </w:rPr>
              <w:t>地下水</w:t>
            </w:r>
          </w:p>
        </w:tc>
        <w:tc>
          <w:tcPr>
            <w:tcW w:w="2545" w:type="dxa"/>
            <w:gridSpan w:val="2"/>
            <w:tcBorders>
              <w:bottom w:val="single" w:color="000000" w:sz="10" w:space="0"/>
            </w:tcBorders>
            <w:vAlign w:val="top"/>
          </w:tcPr>
          <w:p w14:paraId="6CC1BB56">
            <w:pPr>
              <w:pStyle w:val="6"/>
              <w:spacing w:before="108" w:line="228" w:lineRule="auto"/>
              <w:ind w:left="250"/>
              <w:rPr>
                <w:sz w:val="20"/>
                <w:szCs w:val="20"/>
              </w:rPr>
            </w:pPr>
            <w:r>
              <w:rPr>
                <w:spacing w:val="8"/>
                <w:sz w:val="20"/>
                <w:szCs w:val="20"/>
              </w:rPr>
              <w:t>事故点及敏感点地下水</w:t>
            </w:r>
          </w:p>
        </w:tc>
        <w:tc>
          <w:tcPr>
            <w:tcW w:w="1348" w:type="dxa"/>
            <w:tcBorders>
              <w:bottom w:val="single" w:color="000000" w:sz="10" w:space="0"/>
            </w:tcBorders>
            <w:vAlign w:val="top"/>
          </w:tcPr>
          <w:p w14:paraId="7A0FDCE1">
            <w:pPr>
              <w:pStyle w:val="6"/>
              <w:spacing w:before="108" w:line="228" w:lineRule="auto"/>
              <w:ind w:left="389"/>
              <w:rPr>
                <w:sz w:val="20"/>
                <w:szCs w:val="20"/>
              </w:rPr>
            </w:pPr>
            <w:r>
              <w:rPr>
                <w:spacing w:val="6"/>
                <w:sz w:val="20"/>
                <w:szCs w:val="20"/>
              </w:rPr>
              <w:t>石油类</w:t>
            </w:r>
          </w:p>
        </w:tc>
        <w:tc>
          <w:tcPr>
            <w:tcW w:w="2249" w:type="dxa"/>
            <w:vMerge w:val="continue"/>
            <w:tcBorders>
              <w:top w:val="nil"/>
              <w:bottom w:val="single" w:color="000000" w:sz="10" w:space="0"/>
            </w:tcBorders>
            <w:vAlign w:val="top"/>
          </w:tcPr>
          <w:p w14:paraId="7616B84B">
            <w:pPr>
              <w:rPr>
                <w:rFonts w:ascii="Arial"/>
                <w:sz w:val="21"/>
              </w:rPr>
            </w:pPr>
          </w:p>
        </w:tc>
        <w:tc>
          <w:tcPr>
            <w:tcW w:w="1389" w:type="dxa"/>
            <w:vMerge w:val="continue"/>
            <w:tcBorders>
              <w:top w:val="nil"/>
              <w:bottom w:val="single" w:color="000000" w:sz="10" w:space="0"/>
              <w:right w:val="single" w:color="000000" w:sz="6" w:space="0"/>
            </w:tcBorders>
            <w:vAlign w:val="top"/>
          </w:tcPr>
          <w:p w14:paraId="21DC8E0F">
            <w:pPr>
              <w:rPr>
                <w:rFonts w:ascii="Arial"/>
                <w:sz w:val="21"/>
              </w:rPr>
            </w:pPr>
          </w:p>
        </w:tc>
      </w:tr>
      <w:tr w14:paraId="3C75BE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77" w:hRule="atLeast"/>
        </w:trPr>
        <w:tc>
          <w:tcPr>
            <w:tcW w:w="486" w:type="dxa"/>
            <w:vMerge w:val="continue"/>
            <w:tcBorders>
              <w:top w:val="nil"/>
              <w:left w:val="single" w:color="000000" w:sz="6" w:space="0"/>
              <w:bottom w:val="nil"/>
              <w:right w:val="single" w:color="000000" w:sz="2" w:space="0"/>
            </w:tcBorders>
            <w:vAlign w:val="top"/>
          </w:tcPr>
          <w:p w14:paraId="3F0EA11A">
            <w:pPr>
              <w:rPr>
                <w:rFonts w:ascii="Arial"/>
                <w:sz w:val="21"/>
              </w:rPr>
            </w:pPr>
          </w:p>
        </w:tc>
        <w:tc>
          <w:tcPr>
            <w:tcW w:w="8415" w:type="dxa"/>
            <w:gridSpan w:val="6"/>
            <w:tcBorders>
              <w:top w:val="single" w:color="000000" w:sz="10" w:space="0"/>
              <w:left w:val="single" w:color="000000" w:sz="2" w:space="0"/>
              <w:bottom w:val="single" w:color="000000" w:sz="10" w:space="0"/>
              <w:right w:val="single" w:color="000000" w:sz="6" w:space="0"/>
            </w:tcBorders>
            <w:vAlign w:val="top"/>
          </w:tcPr>
          <w:p w14:paraId="7B36EED8">
            <w:pPr>
              <w:pStyle w:val="6"/>
              <w:spacing w:before="30" w:line="219" w:lineRule="auto"/>
              <w:ind w:left="599"/>
            </w:pPr>
            <w:r>
              <w:rPr>
                <w:spacing w:val="-1"/>
              </w:rPr>
              <w:t>（</w:t>
            </w:r>
            <w:r>
              <w:rPr>
                <w:rFonts w:ascii="Times New Roman" w:hAnsi="Times New Roman" w:eastAsia="Times New Roman" w:cs="Times New Roman"/>
                <w:spacing w:val="-1"/>
              </w:rPr>
              <w:t>8</w:t>
            </w:r>
            <w:r>
              <w:rPr>
                <w:spacing w:val="-1"/>
              </w:rPr>
              <w:t>）应急检测、防护措施、清除泄漏措施和器材</w:t>
            </w:r>
          </w:p>
          <w:p w14:paraId="76ECEB02">
            <w:pPr>
              <w:pStyle w:val="6"/>
              <w:spacing w:before="181" w:line="219" w:lineRule="auto"/>
              <w:ind w:left="588"/>
            </w:pPr>
            <w:r>
              <w:t>事故现场、邻近区域、控制防火区域，控制和清</w:t>
            </w:r>
            <w:r>
              <w:rPr>
                <w:spacing w:val="-1"/>
              </w:rPr>
              <w:t>除污染措施及相应设备。</w:t>
            </w:r>
          </w:p>
          <w:p w14:paraId="7D43417A">
            <w:pPr>
              <w:pStyle w:val="6"/>
              <w:spacing w:before="182" w:line="219" w:lineRule="auto"/>
              <w:ind w:left="599"/>
            </w:pPr>
            <w:r>
              <w:rPr>
                <w:spacing w:val="-1"/>
              </w:rPr>
              <w:t>（</w:t>
            </w:r>
            <w:r>
              <w:rPr>
                <w:rFonts w:ascii="Times New Roman" w:hAnsi="Times New Roman" w:eastAsia="Times New Roman" w:cs="Times New Roman"/>
                <w:spacing w:val="-1"/>
              </w:rPr>
              <w:t>9</w:t>
            </w:r>
            <w:r>
              <w:rPr>
                <w:spacing w:val="-1"/>
              </w:rPr>
              <w:t>）人员紧急撤离、疏散，应急剂量控制、撤离组织计划</w:t>
            </w:r>
          </w:p>
          <w:p w14:paraId="7903E1B3">
            <w:pPr>
              <w:pStyle w:val="6"/>
              <w:spacing w:before="184" w:line="359" w:lineRule="auto"/>
              <w:ind w:left="107" w:right="102" w:firstLine="480"/>
            </w:pPr>
            <w:r>
              <w:rPr>
                <w:spacing w:val="1"/>
              </w:rPr>
              <w:t>事故现场、邻近区域、受事故影响的区域人员及公众对毒物应急剂量控制规定，撤离组织计划及救护，医疗救护与公众健康。发生事故后，首先针对井场临近的村民进行疏散并撤离，撤离路线根据事发状态下的风向进行撤离并远</w:t>
            </w:r>
            <w:r>
              <w:rPr>
                <w:spacing w:val="-1"/>
              </w:rPr>
              <w:t>离事故现场，保证居民不受影响。</w:t>
            </w:r>
          </w:p>
          <w:p w14:paraId="64257EF9">
            <w:pPr>
              <w:pStyle w:val="6"/>
              <w:spacing w:line="219" w:lineRule="auto"/>
              <w:ind w:left="599"/>
            </w:pPr>
            <w:r>
              <w:rPr>
                <w:spacing w:val="-2"/>
              </w:rPr>
              <w:t>（</w:t>
            </w:r>
            <w:r>
              <w:rPr>
                <w:rFonts w:ascii="Times New Roman" w:hAnsi="Times New Roman" w:eastAsia="Times New Roman" w:cs="Times New Roman"/>
                <w:spacing w:val="-2"/>
              </w:rPr>
              <w:t>10</w:t>
            </w:r>
            <w:r>
              <w:rPr>
                <w:spacing w:val="-2"/>
              </w:rPr>
              <w:t>）事故应急救援关闭程序与恢复措施</w:t>
            </w:r>
          </w:p>
          <w:p w14:paraId="240CA1D9">
            <w:pPr>
              <w:pStyle w:val="6"/>
              <w:spacing w:before="181" w:line="359" w:lineRule="auto"/>
              <w:ind w:left="109" w:right="102" w:firstLine="497"/>
            </w:pPr>
            <w:r>
              <w:rPr>
                <w:rFonts w:ascii="Times New Roman" w:hAnsi="Times New Roman" w:eastAsia="Times New Roman" w:cs="Times New Roman"/>
                <w:spacing w:val="-3"/>
              </w:rPr>
              <w:t>1</w:t>
            </w:r>
            <w:r>
              <w:rPr>
                <w:spacing w:val="-3"/>
              </w:rPr>
              <w:t>）规定应急状态终止程序；</w:t>
            </w:r>
            <w:r>
              <w:rPr>
                <w:rFonts w:ascii="Times New Roman" w:hAnsi="Times New Roman" w:eastAsia="Times New Roman" w:cs="Times New Roman"/>
                <w:spacing w:val="-3"/>
              </w:rPr>
              <w:t>2</w:t>
            </w:r>
            <w:r>
              <w:rPr>
                <w:spacing w:val="-3"/>
              </w:rPr>
              <w:t>）事故现场善后处理，恢复措施；</w:t>
            </w:r>
            <w:r>
              <w:rPr>
                <w:rFonts w:ascii="Times New Roman" w:hAnsi="Times New Roman" w:eastAsia="Times New Roman" w:cs="Times New Roman"/>
                <w:spacing w:val="-3"/>
              </w:rPr>
              <w:t>3</w:t>
            </w:r>
            <w:r>
              <w:rPr>
                <w:spacing w:val="-4"/>
              </w:rPr>
              <w:t>）邻近区</w:t>
            </w:r>
            <w:r>
              <w:rPr>
                <w:spacing w:val="-1"/>
              </w:rPr>
              <w:t>域解除事故警戒及善后恢复措施。</w:t>
            </w:r>
          </w:p>
          <w:p w14:paraId="6DC1C723">
            <w:pPr>
              <w:pStyle w:val="6"/>
              <w:spacing w:line="220" w:lineRule="auto"/>
              <w:ind w:left="599"/>
            </w:pPr>
            <w:r>
              <w:rPr>
                <w:spacing w:val="-4"/>
              </w:rPr>
              <w:t>（</w:t>
            </w:r>
            <w:r>
              <w:rPr>
                <w:rFonts w:ascii="Times New Roman" w:hAnsi="Times New Roman" w:eastAsia="Times New Roman" w:cs="Times New Roman"/>
                <w:spacing w:val="-4"/>
              </w:rPr>
              <w:t>11</w:t>
            </w:r>
            <w:r>
              <w:rPr>
                <w:spacing w:val="-4"/>
              </w:rPr>
              <w:t>）应急培训计划</w:t>
            </w:r>
          </w:p>
          <w:p w14:paraId="5A7291AA">
            <w:pPr>
              <w:pStyle w:val="6"/>
              <w:spacing w:before="182" w:line="220" w:lineRule="auto"/>
              <w:ind w:left="588"/>
            </w:pPr>
            <w:r>
              <w:rPr>
                <w:spacing w:val="-1"/>
              </w:rPr>
              <w:t>应急计划制定后，平时安排人员培训与演练。</w:t>
            </w:r>
          </w:p>
          <w:p w14:paraId="7CD021F5">
            <w:pPr>
              <w:pStyle w:val="6"/>
              <w:spacing w:before="180" w:line="219" w:lineRule="auto"/>
              <w:ind w:left="599"/>
            </w:pPr>
            <w:r>
              <w:rPr>
                <w:spacing w:val="-2"/>
              </w:rPr>
              <w:t>（</w:t>
            </w:r>
            <w:r>
              <w:rPr>
                <w:rFonts w:ascii="Times New Roman" w:hAnsi="Times New Roman" w:eastAsia="Times New Roman" w:cs="Times New Roman"/>
                <w:spacing w:val="-2"/>
              </w:rPr>
              <w:t>12</w:t>
            </w:r>
            <w:r>
              <w:rPr>
                <w:spacing w:val="-2"/>
              </w:rPr>
              <w:t>）公众教育和信息</w:t>
            </w:r>
          </w:p>
          <w:p w14:paraId="288A7712">
            <w:pPr>
              <w:pStyle w:val="6"/>
              <w:spacing w:before="183" w:line="359" w:lineRule="auto"/>
              <w:ind w:left="108" w:right="102" w:firstLine="480"/>
            </w:pPr>
            <w:r>
              <w:rPr>
                <w:spacing w:val="1"/>
              </w:rPr>
              <w:t>应定期对井场临近的村民进行应急安全方面的公众教育、培训和发布有关</w:t>
            </w:r>
            <w:r>
              <w:rPr>
                <w:spacing w:val="-4"/>
              </w:rPr>
              <w:t>信息。</w:t>
            </w:r>
          </w:p>
          <w:p w14:paraId="1E0B6CF0">
            <w:pPr>
              <w:pStyle w:val="6"/>
              <w:spacing w:line="219" w:lineRule="auto"/>
              <w:ind w:left="588"/>
            </w:pPr>
            <w:r>
              <w:rPr>
                <w:spacing w:val="-1"/>
              </w:rPr>
              <w:t>应急预案主要内容见下表。</w:t>
            </w:r>
          </w:p>
          <w:p w14:paraId="5FB20390">
            <w:pPr>
              <w:spacing w:before="180" w:line="206" w:lineRule="auto"/>
              <w:ind w:left="3092"/>
              <w:rPr>
                <w:rFonts w:ascii="黑体" w:hAnsi="黑体" w:eastAsia="黑体" w:cs="黑体"/>
                <w:sz w:val="24"/>
                <w:szCs w:val="24"/>
              </w:rPr>
            </w:pPr>
            <w:r>
              <w:rPr>
                <w:rFonts w:ascii="黑体" w:hAnsi="黑体" w:eastAsia="黑体" w:cs="黑体"/>
                <w:spacing w:val="-1"/>
                <w:sz w:val="24"/>
                <w:szCs w:val="24"/>
              </w:rPr>
              <w:t>表</w:t>
            </w:r>
            <w:r>
              <w:rPr>
                <w:rFonts w:ascii="Times New Roman" w:hAnsi="Times New Roman" w:eastAsia="Times New Roman" w:cs="Times New Roman"/>
                <w:spacing w:val="-1"/>
                <w:sz w:val="24"/>
                <w:szCs w:val="24"/>
              </w:rPr>
              <w:t xml:space="preserve">5-4    </w:t>
            </w:r>
            <w:r>
              <w:rPr>
                <w:rFonts w:ascii="黑体" w:hAnsi="黑体" w:eastAsia="黑体" w:cs="黑体"/>
                <w:spacing w:val="-1"/>
                <w:sz w:val="24"/>
                <w:szCs w:val="24"/>
              </w:rPr>
              <w:t>应急预案内容</w:t>
            </w:r>
          </w:p>
        </w:tc>
      </w:tr>
      <w:tr w14:paraId="65EA27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486" w:type="dxa"/>
            <w:vMerge w:val="continue"/>
            <w:tcBorders>
              <w:top w:val="nil"/>
              <w:left w:val="single" w:color="000000" w:sz="6" w:space="0"/>
              <w:bottom w:val="nil"/>
              <w:right w:val="single" w:color="000000" w:sz="2" w:space="0"/>
            </w:tcBorders>
            <w:vAlign w:val="top"/>
          </w:tcPr>
          <w:p w14:paraId="79BC11BE">
            <w:pPr>
              <w:rPr>
                <w:rFonts w:ascii="Arial"/>
                <w:sz w:val="21"/>
              </w:rPr>
            </w:pPr>
          </w:p>
        </w:tc>
        <w:tc>
          <w:tcPr>
            <w:tcW w:w="884" w:type="dxa"/>
            <w:tcBorders>
              <w:top w:val="single" w:color="000000" w:sz="10" w:space="0"/>
              <w:left w:val="single" w:color="000000" w:sz="2" w:space="0"/>
            </w:tcBorders>
            <w:vAlign w:val="top"/>
          </w:tcPr>
          <w:p w14:paraId="2609BE6C">
            <w:pPr>
              <w:pStyle w:val="6"/>
              <w:spacing w:before="67" w:line="229" w:lineRule="auto"/>
              <w:ind w:left="262"/>
              <w:rPr>
                <w:sz w:val="20"/>
                <w:szCs w:val="20"/>
              </w:rPr>
            </w:pPr>
            <w:r>
              <w:rPr>
                <w:spacing w:val="5"/>
                <w:sz w:val="20"/>
                <w:szCs w:val="20"/>
              </w:rPr>
              <w:t>序号</w:t>
            </w:r>
          </w:p>
        </w:tc>
        <w:tc>
          <w:tcPr>
            <w:tcW w:w="2173" w:type="dxa"/>
            <w:tcBorders>
              <w:top w:val="single" w:color="000000" w:sz="10" w:space="0"/>
            </w:tcBorders>
            <w:vAlign w:val="top"/>
          </w:tcPr>
          <w:p w14:paraId="030F9B45">
            <w:pPr>
              <w:pStyle w:val="6"/>
              <w:spacing w:before="68" w:line="228" w:lineRule="auto"/>
              <w:ind w:left="834"/>
              <w:rPr>
                <w:sz w:val="20"/>
                <w:szCs w:val="20"/>
              </w:rPr>
            </w:pPr>
            <w:r>
              <w:rPr>
                <w:spacing w:val="3"/>
                <w:sz w:val="20"/>
                <w:szCs w:val="20"/>
              </w:rPr>
              <w:t>项目</w:t>
            </w:r>
          </w:p>
        </w:tc>
        <w:tc>
          <w:tcPr>
            <w:tcW w:w="5358" w:type="dxa"/>
            <w:gridSpan w:val="4"/>
            <w:tcBorders>
              <w:top w:val="single" w:color="000000" w:sz="10" w:space="0"/>
              <w:right w:val="single" w:color="000000" w:sz="6" w:space="0"/>
            </w:tcBorders>
            <w:vAlign w:val="top"/>
          </w:tcPr>
          <w:p w14:paraId="4ECB830A">
            <w:pPr>
              <w:pStyle w:val="6"/>
              <w:spacing w:before="67" w:line="228" w:lineRule="auto"/>
              <w:ind w:left="2103"/>
              <w:rPr>
                <w:sz w:val="20"/>
                <w:szCs w:val="20"/>
              </w:rPr>
            </w:pPr>
            <w:r>
              <w:rPr>
                <w:spacing w:val="3"/>
                <w:sz w:val="20"/>
                <w:szCs w:val="20"/>
              </w:rPr>
              <w:t>内容及要求</w:t>
            </w:r>
          </w:p>
        </w:tc>
      </w:tr>
      <w:tr w14:paraId="7054DD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486" w:type="dxa"/>
            <w:vMerge w:val="continue"/>
            <w:tcBorders>
              <w:top w:val="nil"/>
              <w:left w:val="single" w:color="000000" w:sz="6" w:space="0"/>
              <w:bottom w:val="nil"/>
              <w:right w:val="single" w:color="000000" w:sz="2" w:space="0"/>
            </w:tcBorders>
            <w:vAlign w:val="top"/>
          </w:tcPr>
          <w:p w14:paraId="3F2AFFAD">
            <w:pPr>
              <w:rPr>
                <w:rFonts w:ascii="Arial"/>
                <w:sz w:val="21"/>
              </w:rPr>
            </w:pPr>
          </w:p>
        </w:tc>
        <w:tc>
          <w:tcPr>
            <w:tcW w:w="884" w:type="dxa"/>
            <w:tcBorders>
              <w:left w:val="single" w:color="000000" w:sz="2" w:space="0"/>
            </w:tcBorders>
            <w:vAlign w:val="top"/>
          </w:tcPr>
          <w:p w14:paraId="3A98DAC1">
            <w:pPr>
              <w:spacing w:before="114" w:line="195" w:lineRule="auto"/>
              <w:ind w:left="43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73" w:type="dxa"/>
            <w:vAlign w:val="top"/>
          </w:tcPr>
          <w:p w14:paraId="61E74069">
            <w:pPr>
              <w:pStyle w:val="6"/>
              <w:spacing w:before="75" w:line="229" w:lineRule="auto"/>
              <w:ind w:left="516"/>
              <w:rPr>
                <w:sz w:val="20"/>
                <w:szCs w:val="20"/>
              </w:rPr>
            </w:pPr>
            <w:r>
              <w:rPr>
                <w:spacing w:val="8"/>
                <w:sz w:val="20"/>
                <w:szCs w:val="20"/>
              </w:rPr>
              <w:t>应急计划区</w:t>
            </w:r>
          </w:p>
        </w:tc>
        <w:tc>
          <w:tcPr>
            <w:tcW w:w="5358" w:type="dxa"/>
            <w:gridSpan w:val="4"/>
            <w:tcBorders>
              <w:right w:val="single" w:color="000000" w:sz="6" w:space="0"/>
            </w:tcBorders>
            <w:vAlign w:val="top"/>
          </w:tcPr>
          <w:p w14:paraId="35BA54DD">
            <w:pPr>
              <w:pStyle w:val="6"/>
              <w:spacing w:before="75" w:line="228" w:lineRule="auto"/>
              <w:ind w:left="64"/>
              <w:rPr>
                <w:sz w:val="20"/>
                <w:szCs w:val="20"/>
              </w:rPr>
            </w:pPr>
            <w:r>
              <w:rPr>
                <w:spacing w:val="8"/>
                <w:sz w:val="20"/>
                <w:szCs w:val="20"/>
              </w:rPr>
              <w:t>井场井口，输油管线，储液罐等。</w:t>
            </w:r>
          </w:p>
        </w:tc>
      </w:tr>
      <w:tr w14:paraId="087EF9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486" w:type="dxa"/>
            <w:vMerge w:val="continue"/>
            <w:tcBorders>
              <w:top w:val="nil"/>
              <w:left w:val="single" w:color="000000" w:sz="6" w:space="0"/>
              <w:bottom w:val="single" w:color="000000" w:sz="6" w:space="0"/>
              <w:right w:val="single" w:color="000000" w:sz="2" w:space="0"/>
            </w:tcBorders>
            <w:vAlign w:val="top"/>
          </w:tcPr>
          <w:p w14:paraId="7B87D3FC">
            <w:pPr>
              <w:rPr>
                <w:rFonts w:ascii="Arial"/>
                <w:sz w:val="21"/>
              </w:rPr>
            </w:pPr>
          </w:p>
        </w:tc>
        <w:tc>
          <w:tcPr>
            <w:tcW w:w="884" w:type="dxa"/>
            <w:tcBorders>
              <w:left w:val="single" w:color="000000" w:sz="2" w:space="0"/>
              <w:bottom w:val="single" w:color="000000" w:sz="6" w:space="0"/>
            </w:tcBorders>
            <w:vAlign w:val="top"/>
          </w:tcPr>
          <w:p w14:paraId="0091CE5E">
            <w:pPr>
              <w:spacing w:before="114" w:line="195" w:lineRule="auto"/>
              <w:ind w:left="41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173" w:type="dxa"/>
            <w:tcBorders>
              <w:bottom w:val="single" w:color="000000" w:sz="6" w:space="0"/>
            </w:tcBorders>
            <w:vAlign w:val="top"/>
          </w:tcPr>
          <w:p w14:paraId="5E49ADEC">
            <w:pPr>
              <w:pStyle w:val="6"/>
              <w:spacing w:before="75" w:line="227" w:lineRule="auto"/>
              <w:ind w:left="96"/>
              <w:rPr>
                <w:sz w:val="20"/>
                <w:szCs w:val="20"/>
              </w:rPr>
            </w:pPr>
            <w:r>
              <w:rPr>
                <w:spacing w:val="8"/>
                <w:sz w:val="20"/>
                <w:szCs w:val="20"/>
              </w:rPr>
              <w:t>应急组织机构、人员</w:t>
            </w:r>
          </w:p>
        </w:tc>
        <w:tc>
          <w:tcPr>
            <w:tcW w:w="5358" w:type="dxa"/>
            <w:gridSpan w:val="4"/>
            <w:tcBorders>
              <w:bottom w:val="single" w:color="000000" w:sz="6" w:space="0"/>
              <w:right w:val="single" w:color="000000" w:sz="6" w:space="0"/>
            </w:tcBorders>
            <w:vAlign w:val="top"/>
          </w:tcPr>
          <w:p w14:paraId="58628B59">
            <w:pPr>
              <w:pStyle w:val="6"/>
              <w:spacing w:before="75" w:line="227" w:lineRule="auto"/>
              <w:ind w:left="69"/>
              <w:rPr>
                <w:sz w:val="20"/>
                <w:szCs w:val="20"/>
              </w:rPr>
            </w:pPr>
            <w:r>
              <w:rPr>
                <w:spacing w:val="6"/>
                <w:sz w:val="20"/>
                <w:szCs w:val="20"/>
              </w:rPr>
              <w:t>实施三级应急组织机构，各级别主要负责人为应急计划、</w:t>
            </w:r>
          </w:p>
        </w:tc>
      </w:tr>
    </w:tbl>
    <w:p w14:paraId="0729829D">
      <w:pPr>
        <w:spacing w:line="210" w:lineRule="exact"/>
        <w:rPr>
          <w:rFonts w:ascii="Arial"/>
          <w:sz w:val="18"/>
        </w:rPr>
      </w:pPr>
    </w:p>
    <w:p w14:paraId="7F8DFB4D">
      <w:pPr>
        <w:spacing w:line="210" w:lineRule="exact"/>
        <w:rPr>
          <w:rFonts w:ascii="Arial" w:hAnsi="Arial" w:eastAsia="Arial" w:cs="Arial"/>
          <w:sz w:val="18"/>
          <w:szCs w:val="18"/>
        </w:rPr>
        <w:sectPr>
          <w:footerReference r:id="rId113" w:type="default"/>
          <w:pgSz w:w="11906" w:h="16839"/>
          <w:pgMar w:top="400" w:right="1410" w:bottom="1240" w:left="1579" w:header="0" w:footer="1078" w:gutter="0"/>
          <w:cols w:space="720" w:num="1"/>
        </w:sectPr>
      </w:pPr>
    </w:p>
    <w:p w14:paraId="669F1B0D">
      <w:pPr>
        <w:spacing w:before="56"/>
      </w:pPr>
      <w:r>
        <w:pict>
          <v:shape id="_x0000_s1085" o:spid="_x0000_s1085" style="position:absolute;left:0pt;margin-left:108.7pt;margin-top:452pt;height:1.45pt;width:410.25pt;mso-position-horizontal-relative:page;mso-position-vertical-relative:page;z-index:251723776;mso-width-relative:page;mso-height-relative:page;" filled="f" stroked="t" coordsize="8205,29" o:allowincell="f" path="m0,14l8204,14e">
            <v:fill on="f" focussize="0,0"/>
            <v:stroke weight="1.44pt" color="#000000" miterlimit="2" joinstyle="bevel"/>
            <v:imagedata o:title=""/>
            <o:lock v:ext="edit"/>
          </v:shape>
        </w:pict>
      </w:r>
    </w:p>
    <w:p w14:paraId="2AD9E59D">
      <w:pPr>
        <w:spacing w:before="56"/>
      </w:pPr>
    </w:p>
    <w:p w14:paraId="5091A20A">
      <w:pPr>
        <w:spacing w:before="55"/>
      </w:pPr>
    </w:p>
    <w:p w14:paraId="31BDFD88">
      <w:pPr>
        <w:spacing w:before="55"/>
      </w:pPr>
    </w:p>
    <w:tbl>
      <w:tblPr>
        <w:tblStyle w:val="5"/>
        <w:tblW w:w="8901"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6"/>
        <w:gridCol w:w="840"/>
        <w:gridCol w:w="2173"/>
        <w:gridCol w:w="5402"/>
      </w:tblGrid>
      <w:tr w14:paraId="1AE199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3" w:hRule="atLeast"/>
        </w:trPr>
        <w:tc>
          <w:tcPr>
            <w:tcW w:w="486" w:type="dxa"/>
            <w:vMerge w:val="restart"/>
            <w:tcBorders>
              <w:top w:val="single" w:color="000000" w:sz="6" w:space="0"/>
              <w:left w:val="single" w:color="000000" w:sz="6" w:space="0"/>
              <w:bottom w:val="nil"/>
              <w:right w:val="single" w:color="000000" w:sz="2" w:space="0"/>
            </w:tcBorders>
            <w:vAlign w:val="top"/>
          </w:tcPr>
          <w:p w14:paraId="6344B392">
            <w:pPr>
              <w:rPr>
                <w:rFonts w:ascii="Arial"/>
                <w:sz w:val="21"/>
              </w:rPr>
            </w:pPr>
          </w:p>
        </w:tc>
        <w:tc>
          <w:tcPr>
            <w:tcW w:w="840" w:type="dxa"/>
            <w:tcBorders>
              <w:top w:val="single" w:color="000000" w:sz="6" w:space="0"/>
              <w:left w:val="single" w:color="000000" w:sz="2" w:space="0"/>
            </w:tcBorders>
            <w:vAlign w:val="top"/>
          </w:tcPr>
          <w:p w14:paraId="4B0EF7D9">
            <w:pPr>
              <w:rPr>
                <w:rFonts w:ascii="Arial"/>
                <w:sz w:val="21"/>
              </w:rPr>
            </w:pPr>
          </w:p>
        </w:tc>
        <w:tc>
          <w:tcPr>
            <w:tcW w:w="2173" w:type="dxa"/>
            <w:tcBorders>
              <w:top w:val="single" w:color="000000" w:sz="6" w:space="0"/>
            </w:tcBorders>
            <w:vAlign w:val="top"/>
          </w:tcPr>
          <w:p w14:paraId="1A3F5A35">
            <w:pPr>
              <w:rPr>
                <w:rFonts w:ascii="Arial"/>
                <w:sz w:val="21"/>
              </w:rPr>
            </w:pPr>
          </w:p>
        </w:tc>
        <w:tc>
          <w:tcPr>
            <w:tcW w:w="5402" w:type="dxa"/>
            <w:tcBorders>
              <w:top w:val="single" w:color="000000" w:sz="6" w:space="0"/>
              <w:right w:val="single" w:color="000000" w:sz="6" w:space="0"/>
            </w:tcBorders>
            <w:vAlign w:val="top"/>
          </w:tcPr>
          <w:p w14:paraId="61FD77E2">
            <w:pPr>
              <w:pStyle w:val="6"/>
              <w:spacing w:before="53"/>
              <w:ind w:left="109" w:right="213"/>
              <w:jc w:val="both"/>
              <w:rPr>
                <w:sz w:val="20"/>
                <w:szCs w:val="20"/>
              </w:rPr>
            </w:pPr>
            <w:r>
              <w:rPr>
                <w:spacing w:val="11"/>
                <w:sz w:val="20"/>
                <w:szCs w:val="20"/>
              </w:rPr>
              <w:t>协调第一人，应急人员必须为培训上岗熟练工；区域应急组织结构由当地政府、相关行业专家、卫生安全相关</w:t>
            </w:r>
            <w:r>
              <w:rPr>
                <w:spacing w:val="8"/>
                <w:sz w:val="20"/>
                <w:szCs w:val="20"/>
              </w:rPr>
              <w:t>单位组成，并由当地政府进行统一调度。</w:t>
            </w:r>
          </w:p>
        </w:tc>
      </w:tr>
      <w:tr w14:paraId="60A517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486" w:type="dxa"/>
            <w:vMerge w:val="continue"/>
            <w:tcBorders>
              <w:top w:val="nil"/>
              <w:left w:val="single" w:color="000000" w:sz="6" w:space="0"/>
              <w:bottom w:val="nil"/>
              <w:right w:val="single" w:color="000000" w:sz="2" w:space="0"/>
            </w:tcBorders>
            <w:vAlign w:val="top"/>
          </w:tcPr>
          <w:p w14:paraId="16DD3AD3">
            <w:pPr>
              <w:rPr>
                <w:rFonts w:ascii="Arial"/>
                <w:sz w:val="21"/>
              </w:rPr>
            </w:pPr>
          </w:p>
        </w:tc>
        <w:tc>
          <w:tcPr>
            <w:tcW w:w="840" w:type="dxa"/>
            <w:tcBorders>
              <w:left w:val="single" w:color="000000" w:sz="2" w:space="0"/>
            </w:tcBorders>
            <w:vAlign w:val="top"/>
          </w:tcPr>
          <w:p w14:paraId="46736A18">
            <w:pPr>
              <w:spacing w:before="202" w:line="195" w:lineRule="auto"/>
              <w:ind w:left="42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173" w:type="dxa"/>
            <w:vAlign w:val="top"/>
          </w:tcPr>
          <w:p w14:paraId="35EEDE02">
            <w:pPr>
              <w:pStyle w:val="6"/>
              <w:spacing w:before="165" w:line="228" w:lineRule="auto"/>
              <w:ind w:left="247"/>
              <w:rPr>
                <w:sz w:val="20"/>
                <w:szCs w:val="20"/>
              </w:rPr>
            </w:pPr>
            <w:r>
              <w:rPr>
                <w:spacing w:val="8"/>
                <w:sz w:val="20"/>
                <w:szCs w:val="20"/>
              </w:rPr>
              <w:t>预案分级响应条件</w:t>
            </w:r>
          </w:p>
        </w:tc>
        <w:tc>
          <w:tcPr>
            <w:tcW w:w="5402" w:type="dxa"/>
            <w:tcBorders>
              <w:right w:val="single" w:color="000000" w:sz="6" w:space="0"/>
            </w:tcBorders>
            <w:vAlign w:val="top"/>
          </w:tcPr>
          <w:p w14:paraId="31F7EBDB">
            <w:pPr>
              <w:pStyle w:val="6"/>
              <w:spacing w:before="29" w:line="235" w:lineRule="auto"/>
              <w:ind w:left="108" w:right="213"/>
              <w:rPr>
                <w:sz w:val="20"/>
                <w:szCs w:val="20"/>
              </w:rPr>
            </w:pPr>
            <w:r>
              <w:rPr>
                <w:spacing w:val="9"/>
                <w:sz w:val="20"/>
                <w:szCs w:val="20"/>
              </w:rPr>
              <w:t>根据事故的严重程度制定相应级别的应急预案，</w:t>
            </w:r>
            <w:r>
              <w:rPr>
                <w:spacing w:val="-50"/>
                <w:sz w:val="20"/>
                <w:szCs w:val="20"/>
              </w:rPr>
              <w:t xml:space="preserve"> </w:t>
            </w:r>
            <w:r>
              <w:rPr>
                <w:spacing w:val="9"/>
                <w:sz w:val="20"/>
                <w:szCs w:val="20"/>
              </w:rPr>
              <w:t>以及适</w:t>
            </w:r>
            <w:r>
              <w:rPr>
                <w:spacing w:val="8"/>
                <w:sz w:val="20"/>
                <w:szCs w:val="20"/>
              </w:rPr>
              <w:t>合相应情况的处理措施。</w:t>
            </w:r>
          </w:p>
        </w:tc>
      </w:tr>
      <w:tr w14:paraId="08EB0A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486" w:type="dxa"/>
            <w:vMerge w:val="continue"/>
            <w:tcBorders>
              <w:top w:val="nil"/>
              <w:left w:val="single" w:color="000000" w:sz="6" w:space="0"/>
              <w:bottom w:val="nil"/>
              <w:right w:val="single" w:color="000000" w:sz="2" w:space="0"/>
            </w:tcBorders>
            <w:vAlign w:val="top"/>
          </w:tcPr>
          <w:p w14:paraId="1A9144F4">
            <w:pPr>
              <w:rPr>
                <w:rFonts w:ascii="Arial"/>
                <w:sz w:val="21"/>
              </w:rPr>
            </w:pPr>
          </w:p>
        </w:tc>
        <w:tc>
          <w:tcPr>
            <w:tcW w:w="840" w:type="dxa"/>
            <w:tcBorders>
              <w:left w:val="single" w:color="000000" w:sz="2" w:space="0"/>
            </w:tcBorders>
            <w:vAlign w:val="top"/>
          </w:tcPr>
          <w:p w14:paraId="5346C1D2">
            <w:pPr>
              <w:spacing w:before="99" w:line="195" w:lineRule="auto"/>
              <w:ind w:left="4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173" w:type="dxa"/>
            <w:vAlign w:val="top"/>
          </w:tcPr>
          <w:p w14:paraId="47CABE58">
            <w:pPr>
              <w:pStyle w:val="6"/>
              <w:spacing w:before="62" w:line="228" w:lineRule="auto"/>
              <w:ind w:left="455"/>
              <w:rPr>
                <w:sz w:val="20"/>
                <w:szCs w:val="20"/>
              </w:rPr>
            </w:pPr>
            <w:r>
              <w:rPr>
                <w:spacing w:val="8"/>
                <w:sz w:val="20"/>
                <w:szCs w:val="20"/>
              </w:rPr>
              <w:t>应急救援保障</w:t>
            </w:r>
          </w:p>
        </w:tc>
        <w:tc>
          <w:tcPr>
            <w:tcW w:w="5402" w:type="dxa"/>
            <w:tcBorders>
              <w:right w:val="single" w:color="000000" w:sz="6" w:space="0"/>
            </w:tcBorders>
            <w:vAlign w:val="top"/>
          </w:tcPr>
          <w:p w14:paraId="040B00A7">
            <w:pPr>
              <w:pStyle w:val="6"/>
              <w:spacing w:before="63" w:line="227" w:lineRule="auto"/>
              <w:ind w:left="108"/>
              <w:rPr>
                <w:sz w:val="20"/>
                <w:szCs w:val="20"/>
              </w:rPr>
            </w:pPr>
            <w:r>
              <w:rPr>
                <w:spacing w:val="8"/>
                <w:sz w:val="20"/>
                <w:szCs w:val="20"/>
              </w:rPr>
              <w:t>应急设施，设备与器材等。</w:t>
            </w:r>
          </w:p>
        </w:tc>
      </w:tr>
      <w:tr w14:paraId="1D671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5" w:hRule="atLeast"/>
        </w:trPr>
        <w:tc>
          <w:tcPr>
            <w:tcW w:w="486" w:type="dxa"/>
            <w:vMerge w:val="continue"/>
            <w:tcBorders>
              <w:top w:val="nil"/>
              <w:left w:val="single" w:color="000000" w:sz="6" w:space="0"/>
              <w:bottom w:val="nil"/>
              <w:right w:val="single" w:color="000000" w:sz="2" w:space="0"/>
            </w:tcBorders>
            <w:vAlign w:val="top"/>
          </w:tcPr>
          <w:p w14:paraId="16A0A443">
            <w:pPr>
              <w:rPr>
                <w:rFonts w:ascii="Arial"/>
                <w:sz w:val="21"/>
              </w:rPr>
            </w:pPr>
          </w:p>
        </w:tc>
        <w:tc>
          <w:tcPr>
            <w:tcW w:w="840" w:type="dxa"/>
            <w:tcBorders>
              <w:left w:val="single" w:color="000000" w:sz="2" w:space="0"/>
            </w:tcBorders>
            <w:vAlign w:val="top"/>
          </w:tcPr>
          <w:p w14:paraId="674B9761">
            <w:pPr>
              <w:spacing w:line="276" w:lineRule="auto"/>
              <w:rPr>
                <w:rFonts w:ascii="Arial"/>
                <w:sz w:val="21"/>
              </w:rPr>
            </w:pPr>
          </w:p>
          <w:p w14:paraId="1118AFA4">
            <w:pPr>
              <w:spacing w:line="276" w:lineRule="auto"/>
              <w:rPr>
                <w:rFonts w:ascii="Arial"/>
                <w:sz w:val="21"/>
              </w:rPr>
            </w:pPr>
          </w:p>
          <w:p w14:paraId="7ADDF671">
            <w:pPr>
              <w:spacing w:before="58" w:line="192" w:lineRule="auto"/>
              <w:ind w:left="42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173" w:type="dxa"/>
            <w:vAlign w:val="top"/>
          </w:tcPr>
          <w:p w14:paraId="3CBC5603">
            <w:pPr>
              <w:spacing w:line="253" w:lineRule="auto"/>
              <w:rPr>
                <w:rFonts w:ascii="Arial"/>
                <w:sz w:val="21"/>
              </w:rPr>
            </w:pPr>
          </w:p>
          <w:p w14:paraId="622A24F1">
            <w:pPr>
              <w:spacing w:line="253" w:lineRule="auto"/>
              <w:rPr>
                <w:rFonts w:ascii="Arial"/>
                <w:sz w:val="21"/>
              </w:rPr>
            </w:pPr>
          </w:p>
          <w:p w14:paraId="36A70AAB">
            <w:pPr>
              <w:pStyle w:val="6"/>
              <w:spacing w:before="65" w:line="228" w:lineRule="auto"/>
              <w:ind w:left="138"/>
              <w:rPr>
                <w:sz w:val="20"/>
                <w:szCs w:val="20"/>
              </w:rPr>
            </w:pPr>
            <w:r>
              <w:rPr>
                <w:spacing w:val="9"/>
                <w:sz w:val="20"/>
                <w:szCs w:val="20"/>
              </w:rPr>
              <w:t>报警、通讯联络方式</w:t>
            </w:r>
          </w:p>
        </w:tc>
        <w:tc>
          <w:tcPr>
            <w:tcW w:w="5402" w:type="dxa"/>
            <w:tcBorders>
              <w:right w:val="single" w:color="000000" w:sz="6" w:space="0"/>
            </w:tcBorders>
            <w:vAlign w:val="top"/>
          </w:tcPr>
          <w:p w14:paraId="728E6F6D">
            <w:pPr>
              <w:pStyle w:val="6"/>
              <w:spacing w:before="27" w:line="245" w:lineRule="auto"/>
              <w:ind w:left="108" w:right="213"/>
              <w:rPr>
                <w:sz w:val="20"/>
                <w:szCs w:val="20"/>
              </w:rPr>
            </w:pPr>
            <w:r>
              <w:rPr>
                <w:spacing w:val="11"/>
                <w:sz w:val="20"/>
                <w:szCs w:val="20"/>
              </w:rPr>
              <w:t>逐一细化应急状态下各主要负责单位的报警通信方式、</w:t>
            </w:r>
            <w:r>
              <w:rPr>
                <w:spacing w:val="9"/>
                <w:sz w:val="20"/>
                <w:szCs w:val="20"/>
              </w:rPr>
              <w:t>地点、</w:t>
            </w:r>
            <w:r>
              <w:rPr>
                <w:spacing w:val="-50"/>
                <w:sz w:val="20"/>
                <w:szCs w:val="20"/>
              </w:rPr>
              <w:t xml:space="preserve"> </w:t>
            </w:r>
            <w:r>
              <w:rPr>
                <w:spacing w:val="9"/>
                <w:sz w:val="20"/>
                <w:szCs w:val="20"/>
              </w:rPr>
              <w:t>电话号码以及相关配套的交通保障、管制、消防</w:t>
            </w:r>
            <w:r>
              <w:rPr>
                <w:spacing w:val="11"/>
                <w:sz w:val="20"/>
                <w:szCs w:val="20"/>
              </w:rPr>
              <w:t>联络方法，涉及跨区域的还应与相关区域环境保护部门</w:t>
            </w:r>
            <w:r>
              <w:rPr>
                <w:spacing w:val="9"/>
                <w:sz w:val="20"/>
                <w:szCs w:val="20"/>
              </w:rPr>
              <w:t>和上级环保部门保持联系，及时通报事故处理情况，</w:t>
            </w:r>
            <w:r>
              <w:rPr>
                <w:spacing w:val="-50"/>
                <w:sz w:val="20"/>
                <w:szCs w:val="20"/>
              </w:rPr>
              <w:t xml:space="preserve"> </w:t>
            </w:r>
            <w:r>
              <w:rPr>
                <w:spacing w:val="9"/>
                <w:sz w:val="20"/>
                <w:szCs w:val="20"/>
              </w:rPr>
              <w:t>以</w:t>
            </w:r>
            <w:r>
              <w:rPr>
                <w:spacing w:val="7"/>
                <w:sz w:val="20"/>
                <w:szCs w:val="20"/>
              </w:rPr>
              <w:t>获得区域性支援。</w:t>
            </w:r>
          </w:p>
        </w:tc>
      </w:tr>
      <w:tr w14:paraId="405358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486" w:type="dxa"/>
            <w:vMerge w:val="continue"/>
            <w:tcBorders>
              <w:top w:val="nil"/>
              <w:left w:val="single" w:color="000000" w:sz="6" w:space="0"/>
              <w:bottom w:val="nil"/>
              <w:right w:val="single" w:color="000000" w:sz="2" w:space="0"/>
            </w:tcBorders>
            <w:vAlign w:val="top"/>
          </w:tcPr>
          <w:p w14:paraId="77187636">
            <w:pPr>
              <w:rPr>
                <w:rFonts w:ascii="Arial"/>
                <w:sz w:val="21"/>
              </w:rPr>
            </w:pPr>
          </w:p>
        </w:tc>
        <w:tc>
          <w:tcPr>
            <w:tcW w:w="840" w:type="dxa"/>
            <w:tcBorders>
              <w:left w:val="single" w:color="000000" w:sz="2" w:space="0"/>
            </w:tcBorders>
            <w:vAlign w:val="top"/>
          </w:tcPr>
          <w:p w14:paraId="145C1809">
            <w:pPr>
              <w:spacing w:before="205" w:line="195" w:lineRule="auto"/>
              <w:ind w:left="422"/>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173" w:type="dxa"/>
            <w:vAlign w:val="top"/>
          </w:tcPr>
          <w:p w14:paraId="24C9FF68">
            <w:pPr>
              <w:pStyle w:val="6"/>
              <w:spacing w:before="32" w:line="234" w:lineRule="auto"/>
              <w:ind w:left="350" w:right="34" w:hanging="246"/>
              <w:rPr>
                <w:sz w:val="20"/>
                <w:szCs w:val="20"/>
              </w:rPr>
            </w:pPr>
            <w:r>
              <w:rPr>
                <w:spacing w:val="2"/>
                <w:sz w:val="20"/>
                <w:szCs w:val="20"/>
              </w:rPr>
              <w:t>应急环境监测、抢险、</w:t>
            </w:r>
            <w:r>
              <w:rPr>
                <w:spacing w:val="8"/>
                <w:sz w:val="20"/>
                <w:szCs w:val="20"/>
              </w:rPr>
              <w:t>救援及控制措施</w:t>
            </w:r>
          </w:p>
        </w:tc>
        <w:tc>
          <w:tcPr>
            <w:tcW w:w="5402" w:type="dxa"/>
            <w:tcBorders>
              <w:right w:val="single" w:color="000000" w:sz="6" w:space="0"/>
            </w:tcBorders>
            <w:vAlign w:val="top"/>
          </w:tcPr>
          <w:p w14:paraId="02C8F02B">
            <w:pPr>
              <w:pStyle w:val="6"/>
              <w:spacing w:before="32" w:line="234" w:lineRule="auto"/>
              <w:ind w:left="110" w:right="142" w:firstLine="23"/>
              <w:rPr>
                <w:sz w:val="20"/>
                <w:szCs w:val="20"/>
              </w:rPr>
            </w:pPr>
            <w:r>
              <w:rPr>
                <w:spacing w:val="4"/>
                <w:sz w:val="20"/>
                <w:szCs w:val="20"/>
              </w:rPr>
              <w:t>由专业队伍负责对事故现场进行侦查监测，对事故性质、</w:t>
            </w:r>
            <w:r>
              <w:rPr>
                <w:spacing w:val="9"/>
                <w:sz w:val="20"/>
                <w:szCs w:val="20"/>
              </w:rPr>
              <w:t>参数与后果进行评估，为指挥部门提供决策依据。</w:t>
            </w:r>
          </w:p>
        </w:tc>
      </w:tr>
      <w:tr w14:paraId="674C6E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486" w:type="dxa"/>
            <w:vMerge w:val="continue"/>
            <w:tcBorders>
              <w:top w:val="nil"/>
              <w:left w:val="single" w:color="000000" w:sz="6" w:space="0"/>
              <w:bottom w:val="nil"/>
              <w:right w:val="single" w:color="000000" w:sz="2" w:space="0"/>
            </w:tcBorders>
            <w:vAlign w:val="top"/>
          </w:tcPr>
          <w:p w14:paraId="0222DE73">
            <w:pPr>
              <w:rPr>
                <w:rFonts w:ascii="Arial"/>
                <w:sz w:val="21"/>
              </w:rPr>
            </w:pPr>
          </w:p>
        </w:tc>
        <w:tc>
          <w:tcPr>
            <w:tcW w:w="840" w:type="dxa"/>
            <w:tcBorders>
              <w:left w:val="single" w:color="000000" w:sz="2" w:space="0"/>
            </w:tcBorders>
            <w:vAlign w:val="top"/>
          </w:tcPr>
          <w:p w14:paraId="0E5D319E">
            <w:pPr>
              <w:spacing w:before="208" w:line="192" w:lineRule="auto"/>
              <w:ind w:left="421"/>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173" w:type="dxa"/>
            <w:vAlign w:val="top"/>
          </w:tcPr>
          <w:p w14:paraId="7669AC23">
            <w:pPr>
              <w:pStyle w:val="6"/>
              <w:spacing w:before="32" w:line="234" w:lineRule="auto"/>
              <w:ind w:left="140" w:right="73" w:hanging="105"/>
              <w:rPr>
                <w:sz w:val="20"/>
                <w:szCs w:val="20"/>
              </w:rPr>
            </w:pPr>
            <w:r>
              <w:rPr>
                <w:spacing w:val="5"/>
                <w:sz w:val="20"/>
                <w:szCs w:val="20"/>
              </w:rPr>
              <w:t>应急检测、防护措施、</w:t>
            </w:r>
            <w:r>
              <w:rPr>
                <w:spacing w:val="8"/>
                <w:sz w:val="20"/>
                <w:szCs w:val="20"/>
              </w:rPr>
              <w:t>清除泄漏措施和器材</w:t>
            </w:r>
          </w:p>
        </w:tc>
        <w:tc>
          <w:tcPr>
            <w:tcW w:w="5402" w:type="dxa"/>
            <w:tcBorders>
              <w:right w:val="single" w:color="000000" w:sz="6" w:space="0"/>
            </w:tcBorders>
            <w:vAlign w:val="top"/>
          </w:tcPr>
          <w:p w14:paraId="4BC421A6">
            <w:pPr>
              <w:pStyle w:val="6"/>
              <w:spacing w:before="32" w:line="234" w:lineRule="auto"/>
              <w:ind w:left="109" w:right="213" w:hanging="1"/>
              <w:rPr>
                <w:sz w:val="20"/>
                <w:szCs w:val="20"/>
              </w:rPr>
            </w:pPr>
            <w:r>
              <w:rPr>
                <w:spacing w:val="11"/>
                <w:sz w:val="20"/>
                <w:szCs w:val="20"/>
              </w:rPr>
              <w:t>事故现场、油井邻近区域、控制防火区域，控制和清除</w:t>
            </w:r>
            <w:r>
              <w:rPr>
                <w:spacing w:val="9"/>
                <w:sz w:val="20"/>
                <w:szCs w:val="20"/>
              </w:rPr>
              <w:t>污染措施及相应设备的数量、使用方法、使用人员。</w:t>
            </w:r>
          </w:p>
        </w:tc>
      </w:tr>
      <w:tr w14:paraId="13333B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1" w:hRule="atLeast"/>
        </w:trPr>
        <w:tc>
          <w:tcPr>
            <w:tcW w:w="486" w:type="dxa"/>
            <w:vMerge w:val="continue"/>
            <w:tcBorders>
              <w:top w:val="nil"/>
              <w:left w:val="single" w:color="000000" w:sz="6" w:space="0"/>
              <w:bottom w:val="nil"/>
              <w:right w:val="single" w:color="000000" w:sz="2" w:space="0"/>
            </w:tcBorders>
            <w:vAlign w:val="top"/>
          </w:tcPr>
          <w:p w14:paraId="25318A59">
            <w:pPr>
              <w:rPr>
                <w:rFonts w:ascii="Arial"/>
                <w:sz w:val="21"/>
              </w:rPr>
            </w:pPr>
          </w:p>
        </w:tc>
        <w:tc>
          <w:tcPr>
            <w:tcW w:w="840" w:type="dxa"/>
            <w:tcBorders>
              <w:left w:val="single" w:color="000000" w:sz="2" w:space="0"/>
            </w:tcBorders>
            <w:vAlign w:val="top"/>
          </w:tcPr>
          <w:p w14:paraId="6CD026B5">
            <w:pPr>
              <w:spacing w:line="282" w:lineRule="auto"/>
              <w:rPr>
                <w:rFonts w:ascii="Arial"/>
                <w:sz w:val="21"/>
              </w:rPr>
            </w:pPr>
          </w:p>
          <w:p w14:paraId="7FC79D49">
            <w:pPr>
              <w:spacing w:before="57" w:line="195" w:lineRule="auto"/>
              <w:ind w:left="426"/>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173" w:type="dxa"/>
            <w:vAlign w:val="top"/>
          </w:tcPr>
          <w:p w14:paraId="650221BA">
            <w:pPr>
              <w:pStyle w:val="6"/>
              <w:spacing w:before="31" w:line="228" w:lineRule="auto"/>
              <w:ind w:right="11"/>
              <w:jc w:val="right"/>
              <w:rPr>
                <w:sz w:val="20"/>
                <w:szCs w:val="20"/>
              </w:rPr>
            </w:pPr>
            <w:r>
              <w:rPr>
                <w:spacing w:val="4"/>
                <w:sz w:val="20"/>
                <w:szCs w:val="20"/>
              </w:rPr>
              <w:t>人员紧急撤离、疏散，</w:t>
            </w:r>
          </w:p>
          <w:p w14:paraId="41870F71">
            <w:pPr>
              <w:pStyle w:val="6"/>
              <w:spacing w:before="26" w:line="227" w:lineRule="auto"/>
              <w:ind w:left="140"/>
              <w:rPr>
                <w:sz w:val="20"/>
                <w:szCs w:val="20"/>
              </w:rPr>
            </w:pPr>
            <w:r>
              <w:rPr>
                <w:spacing w:val="8"/>
                <w:sz w:val="20"/>
                <w:szCs w:val="20"/>
              </w:rPr>
              <w:t>应急剂量控制、撤离</w:t>
            </w:r>
          </w:p>
          <w:p w14:paraId="4F790322">
            <w:pPr>
              <w:pStyle w:val="6"/>
              <w:spacing w:before="25" w:line="216" w:lineRule="auto"/>
              <w:ind w:left="668"/>
              <w:rPr>
                <w:sz w:val="20"/>
                <w:szCs w:val="20"/>
              </w:rPr>
            </w:pPr>
            <w:r>
              <w:rPr>
                <w:spacing w:val="6"/>
                <w:sz w:val="20"/>
                <w:szCs w:val="20"/>
              </w:rPr>
              <w:t>组织计划</w:t>
            </w:r>
          </w:p>
        </w:tc>
        <w:tc>
          <w:tcPr>
            <w:tcW w:w="5402" w:type="dxa"/>
            <w:tcBorders>
              <w:right w:val="single" w:color="000000" w:sz="6" w:space="0"/>
            </w:tcBorders>
            <w:vAlign w:val="top"/>
          </w:tcPr>
          <w:p w14:paraId="3E3A8A98">
            <w:pPr>
              <w:pStyle w:val="6"/>
              <w:spacing w:before="30"/>
              <w:ind w:left="107" w:right="213"/>
              <w:jc w:val="both"/>
              <w:rPr>
                <w:sz w:val="20"/>
                <w:szCs w:val="20"/>
              </w:rPr>
            </w:pPr>
            <w:r>
              <w:rPr>
                <w:spacing w:val="11"/>
                <w:sz w:val="20"/>
                <w:szCs w:val="20"/>
              </w:rPr>
              <w:t>事故现场、油井邻近区、受事故影响的区域人员及公众对毒物应急剂量控制规定，撤离组织计划及救护，医疗</w:t>
            </w:r>
            <w:r>
              <w:rPr>
                <w:spacing w:val="7"/>
                <w:sz w:val="20"/>
                <w:szCs w:val="20"/>
              </w:rPr>
              <w:t>救护与公众健康。</w:t>
            </w:r>
          </w:p>
        </w:tc>
      </w:tr>
      <w:tr w14:paraId="64D170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7" w:hRule="atLeast"/>
        </w:trPr>
        <w:tc>
          <w:tcPr>
            <w:tcW w:w="486" w:type="dxa"/>
            <w:vMerge w:val="continue"/>
            <w:tcBorders>
              <w:top w:val="nil"/>
              <w:left w:val="single" w:color="000000" w:sz="6" w:space="0"/>
              <w:bottom w:val="nil"/>
              <w:right w:val="single" w:color="000000" w:sz="2" w:space="0"/>
            </w:tcBorders>
            <w:vAlign w:val="top"/>
          </w:tcPr>
          <w:p w14:paraId="32943C32">
            <w:pPr>
              <w:rPr>
                <w:rFonts w:ascii="Arial"/>
                <w:sz w:val="21"/>
              </w:rPr>
            </w:pPr>
          </w:p>
        </w:tc>
        <w:tc>
          <w:tcPr>
            <w:tcW w:w="840" w:type="dxa"/>
            <w:tcBorders>
              <w:left w:val="single" w:color="000000" w:sz="2" w:space="0"/>
            </w:tcBorders>
            <w:vAlign w:val="top"/>
          </w:tcPr>
          <w:p w14:paraId="2CB613C0">
            <w:pPr>
              <w:spacing w:line="344" w:lineRule="auto"/>
              <w:rPr>
                <w:rFonts w:ascii="Arial"/>
                <w:sz w:val="21"/>
              </w:rPr>
            </w:pPr>
          </w:p>
          <w:p w14:paraId="12917967">
            <w:pPr>
              <w:spacing w:line="345" w:lineRule="auto"/>
              <w:rPr>
                <w:rFonts w:ascii="Arial"/>
                <w:sz w:val="21"/>
              </w:rPr>
            </w:pPr>
          </w:p>
          <w:p w14:paraId="10AB3901">
            <w:pPr>
              <w:spacing w:before="57" w:line="195" w:lineRule="auto"/>
              <w:ind w:left="421"/>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2173" w:type="dxa"/>
            <w:vAlign w:val="top"/>
          </w:tcPr>
          <w:p w14:paraId="2F8B3DD0">
            <w:pPr>
              <w:spacing w:line="255" w:lineRule="auto"/>
              <w:rPr>
                <w:rFonts w:ascii="Arial"/>
                <w:sz w:val="21"/>
              </w:rPr>
            </w:pPr>
          </w:p>
          <w:p w14:paraId="5E9393F6">
            <w:pPr>
              <w:spacing w:line="255" w:lineRule="auto"/>
              <w:rPr>
                <w:rFonts w:ascii="Arial"/>
                <w:sz w:val="21"/>
              </w:rPr>
            </w:pPr>
          </w:p>
          <w:p w14:paraId="05B43D2C">
            <w:pPr>
              <w:pStyle w:val="6"/>
              <w:spacing w:before="65" w:line="252" w:lineRule="auto"/>
              <w:ind w:left="453" w:right="141" w:hanging="313"/>
              <w:rPr>
                <w:sz w:val="20"/>
                <w:szCs w:val="20"/>
              </w:rPr>
            </w:pPr>
            <w:r>
              <w:rPr>
                <w:spacing w:val="8"/>
                <w:sz w:val="20"/>
                <w:szCs w:val="20"/>
              </w:rPr>
              <w:t>事故应急救援关闭程序与恢复措施</w:t>
            </w:r>
          </w:p>
        </w:tc>
        <w:tc>
          <w:tcPr>
            <w:tcW w:w="5402" w:type="dxa"/>
            <w:tcBorders>
              <w:right w:val="single" w:color="000000" w:sz="6" w:space="0"/>
            </w:tcBorders>
            <w:vAlign w:val="top"/>
          </w:tcPr>
          <w:p w14:paraId="69C3C5EE">
            <w:pPr>
              <w:pStyle w:val="6"/>
              <w:spacing w:before="33" w:line="228" w:lineRule="auto"/>
              <w:ind w:left="109"/>
              <w:rPr>
                <w:sz w:val="20"/>
                <w:szCs w:val="20"/>
              </w:rPr>
            </w:pPr>
            <w:r>
              <w:rPr>
                <w:spacing w:val="8"/>
                <w:sz w:val="20"/>
                <w:szCs w:val="20"/>
              </w:rPr>
              <w:t>规定应急状态终止程序；</w:t>
            </w:r>
          </w:p>
          <w:p w14:paraId="0AEA9C44">
            <w:pPr>
              <w:pStyle w:val="6"/>
              <w:spacing w:before="24" w:line="228" w:lineRule="auto"/>
              <w:ind w:left="108"/>
              <w:rPr>
                <w:sz w:val="20"/>
                <w:szCs w:val="20"/>
              </w:rPr>
            </w:pPr>
            <w:r>
              <w:rPr>
                <w:spacing w:val="8"/>
                <w:sz w:val="20"/>
                <w:szCs w:val="20"/>
              </w:rPr>
              <w:t>事故现场善后处理，恢复措施；</w:t>
            </w:r>
          </w:p>
          <w:p w14:paraId="475B4F8B">
            <w:pPr>
              <w:pStyle w:val="6"/>
              <w:spacing w:before="25" w:line="228" w:lineRule="auto"/>
              <w:ind w:left="107"/>
              <w:rPr>
                <w:sz w:val="20"/>
                <w:szCs w:val="20"/>
              </w:rPr>
            </w:pPr>
            <w:r>
              <w:rPr>
                <w:spacing w:val="8"/>
                <w:sz w:val="20"/>
                <w:szCs w:val="20"/>
              </w:rPr>
              <w:t>邻近区域解除事故警戒及善后恢复措施；</w:t>
            </w:r>
          </w:p>
          <w:p w14:paraId="7A0DC86C">
            <w:pPr>
              <w:pStyle w:val="6"/>
              <w:spacing w:before="25" w:line="228" w:lineRule="auto"/>
              <w:ind w:left="109"/>
              <w:rPr>
                <w:sz w:val="20"/>
                <w:szCs w:val="20"/>
              </w:rPr>
            </w:pPr>
            <w:r>
              <w:rPr>
                <w:spacing w:val="8"/>
                <w:sz w:val="20"/>
                <w:szCs w:val="20"/>
              </w:rPr>
              <w:t>制定有关的环境恢复措施；</w:t>
            </w:r>
          </w:p>
          <w:p w14:paraId="45C5E29E">
            <w:pPr>
              <w:pStyle w:val="6"/>
              <w:spacing w:before="27" w:line="232" w:lineRule="auto"/>
              <w:ind w:left="113" w:right="213" w:hanging="3"/>
              <w:rPr>
                <w:sz w:val="20"/>
                <w:szCs w:val="20"/>
              </w:rPr>
            </w:pPr>
            <w:r>
              <w:rPr>
                <w:spacing w:val="11"/>
                <w:sz w:val="20"/>
                <w:szCs w:val="20"/>
              </w:rPr>
              <w:t>组织专业人员对事故后的环境变化进行监测，对事故应</w:t>
            </w:r>
            <w:r>
              <w:rPr>
                <w:spacing w:val="8"/>
                <w:sz w:val="20"/>
                <w:szCs w:val="20"/>
              </w:rPr>
              <w:t>急措施的环境可行性进行后影响评价。</w:t>
            </w:r>
          </w:p>
        </w:tc>
      </w:tr>
      <w:tr w14:paraId="26629F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486" w:type="dxa"/>
            <w:vMerge w:val="continue"/>
            <w:tcBorders>
              <w:top w:val="nil"/>
              <w:left w:val="single" w:color="000000" w:sz="6" w:space="0"/>
              <w:bottom w:val="nil"/>
              <w:right w:val="single" w:color="000000" w:sz="2" w:space="0"/>
            </w:tcBorders>
            <w:vAlign w:val="top"/>
          </w:tcPr>
          <w:p w14:paraId="0E8FD8FC">
            <w:pPr>
              <w:rPr>
                <w:rFonts w:ascii="Arial"/>
                <w:sz w:val="21"/>
              </w:rPr>
            </w:pPr>
          </w:p>
        </w:tc>
        <w:tc>
          <w:tcPr>
            <w:tcW w:w="840" w:type="dxa"/>
            <w:tcBorders>
              <w:left w:val="single" w:color="000000" w:sz="2" w:space="0"/>
            </w:tcBorders>
            <w:vAlign w:val="top"/>
          </w:tcPr>
          <w:p w14:paraId="3717C5C6">
            <w:pPr>
              <w:spacing w:before="104" w:line="195" w:lineRule="auto"/>
              <w:ind w:left="38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2173" w:type="dxa"/>
            <w:vAlign w:val="top"/>
          </w:tcPr>
          <w:p w14:paraId="2A84DA2E">
            <w:pPr>
              <w:pStyle w:val="6"/>
              <w:spacing w:before="69" w:line="228" w:lineRule="auto"/>
              <w:ind w:left="455"/>
              <w:rPr>
                <w:sz w:val="20"/>
                <w:szCs w:val="20"/>
              </w:rPr>
            </w:pPr>
            <w:r>
              <w:rPr>
                <w:spacing w:val="8"/>
                <w:sz w:val="20"/>
                <w:szCs w:val="20"/>
              </w:rPr>
              <w:t>应急培训计划</w:t>
            </w:r>
          </w:p>
        </w:tc>
        <w:tc>
          <w:tcPr>
            <w:tcW w:w="5402" w:type="dxa"/>
            <w:tcBorders>
              <w:right w:val="single" w:color="000000" w:sz="6" w:space="0"/>
            </w:tcBorders>
            <w:vAlign w:val="top"/>
          </w:tcPr>
          <w:p w14:paraId="28BC0357">
            <w:pPr>
              <w:pStyle w:val="6"/>
              <w:spacing w:before="69" w:line="228" w:lineRule="auto"/>
              <w:ind w:left="108"/>
              <w:rPr>
                <w:sz w:val="20"/>
                <w:szCs w:val="20"/>
              </w:rPr>
            </w:pPr>
            <w:r>
              <w:rPr>
                <w:spacing w:val="9"/>
                <w:sz w:val="20"/>
                <w:szCs w:val="20"/>
              </w:rPr>
              <w:t>应急计划制定后，平时安排人员培训与演练。</w:t>
            </w:r>
          </w:p>
        </w:tc>
      </w:tr>
      <w:tr w14:paraId="392B14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486" w:type="dxa"/>
            <w:vMerge w:val="continue"/>
            <w:tcBorders>
              <w:top w:val="nil"/>
              <w:left w:val="single" w:color="000000" w:sz="6" w:space="0"/>
              <w:bottom w:val="single" w:color="000000" w:sz="2" w:space="0"/>
              <w:right w:val="single" w:color="000000" w:sz="2" w:space="0"/>
            </w:tcBorders>
            <w:vAlign w:val="top"/>
          </w:tcPr>
          <w:p w14:paraId="5872F760">
            <w:pPr>
              <w:rPr>
                <w:rFonts w:ascii="Arial"/>
                <w:sz w:val="21"/>
              </w:rPr>
            </w:pPr>
          </w:p>
        </w:tc>
        <w:tc>
          <w:tcPr>
            <w:tcW w:w="840" w:type="dxa"/>
            <w:tcBorders>
              <w:left w:val="single" w:color="000000" w:sz="2" w:space="0"/>
              <w:bottom w:val="single" w:color="000000" w:sz="2" w:space="0"/>
            </w:tcBorders>
            <w:vAlign w:val="top"/>
          </w:tcPr>
          <w:p w14:paraId="1E6EF376">
            <w:pPr>
              <w:spacing w:before="105" w:line="195" w:lineRule="auto"/>
              <w:ind w:left="387"/>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2173" w:type="dxa"/>
            <w:tcBorders>
              <w:bottom w:val="single" w:color="000000" w:sz="2" w:space="0"/>
            </w:tcBorders>
            <w:vAlign w:val="top"/>
          </w:tcPr>
          <w:p w14:paraId="0B9C30C9">
            <w:pPr>
              <w:pStyle w:val="6"/>
              <w:spacing w:before="68" w:line="228" w:lineRule="auto"/>
              <w:ind w:left="355"/>
              <w:rPr>
                <w:sz w:val="20"/>
                <w:szCs w:val="20"/>
              </w:rPr>
            </w:pPr>
            <w:r>
              <w:rPr>
                <w:spacing w:val="7"/>
                <w:sz w:val="20"/>
                <w:szCs w:val="20"/>
              </w:rPr>
              <w:t>公众教育和信息</w:t>
            </w:r>
          </w:p>
        </w:tc>
        <w:tc>
          <w:tcPr>
            <w:tcW w:w="5402" w:type="dxa"/>
            <w:tcBorders>
              <w:bottom w:val="single" w:color="000000" w:sz="2" w:space="0"/>
              <w:right w:val="single" w:color="000000" w:sz="6" w:space="0"/>
            </w:tcBorders>
            <w:vAlign w:val="top"/>
          </w:tcPr>
          <w:p w14:paraId="60CD3EA6">
            <w:pPr>
              <w:pStyle w:val="6"/>
              <w:spacing w:before="69" w:line="227" w:lineRule="auto"/>
              <w:ind w:left="107"/>
              <w:rPr>
                <w:sz w:val="20"/>
                <w:szCs w:val="20"/>
              </w:rPr>
            </w:pPr>
            <w:r>
              <w:rPr>
                <w:spacing w:val="9"/>
                <w:sz w:val="20"/>
                <w:szCs w:val="20"/>
              </w:rPr>
              <w:t>对油井邻近地区开展公众教育、培训和发布有关信息。</w:t>
            </w:r>
          </w:p>
        </w:tc>
      </w:tr>
      <w:tr w14:paraId="5219A1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5" w:hRule="atLeast"/>
        </w:trPr>
        <w:tc>
          <w:tcPr>
            <w:tcW w:w="486" w:type="dxa"/>
            <w:tcBorders>
              <w:top w:val="single" w:color="000000" w:sz="2" w:space="0"/>
              <w:left w:val="single" w:color="000000" w:sz="6" w:space="0"/>
              <w:bottom w:val="single" w:color="000000" w:sz="2" w:space="0"/>
              <w:right w:val="single" w:color="000000" w:sz="2" w:space="0"/>
            </w:tcBorders>
            <w:textDirection w:val="tbRlV"/>
            <w:vAlign w:val="top"/>
          </w:tcPr>
          <w:p w14:paraId="26D90BC6">
            <w:pPr>
              <w:pStyle w:val="6"/>
              <w:spacing w:before="133" w:line="209" w:lineRule="auto"/>
              <w:ind w:left="42"/>
            </w:pPr>
            <w:r>
              <w:rPr>
                <w:b/>
                <w:bCs/>
                <w:spacing w:val="23"/>
                <w:w w:val="116"/>
              </w:rPr>
              <w:t>运营期生态环境保护措施</w:t>
            </w:r>
          </w:p>
        </w:tc>
        <w:tc>
          <w:tcPr>
            <w:tcW w:w="8415" w:type="dxa"/>
            <w:gridSpan w:val="3"/>
            <w:tcBorders>
              <w:top w:val="single" w:color="000000" w:sz="2" w:space="0"/>
              <w:left w:val="single" w:color="000000" w:sz="2" w:space="0"/>
              <w:bottom w:val="single" w:color="000000" w:sz="2" w:space="0"/>
              <w:right w:val="single" w:color="000000" w:sz="6" w:space="0"/>
            </w:tcBorders>
            <w:vAlign w:val="top"/>
          </w:tcPr>
          <w:p w14:paraId="348D9A26">
            <w:pPr>
              <w:spacing w:line="286" w:lineRule="auto"/>
              <w:rPr>
                <w:rFonts w:ascii="Arial"/>
                <w:sz w:val="21"/>
              </w:rPr>
            </w:pPr>
          </w:p>
          <w:p w14:paraId="13539BD8">
            <w:pPr>
              <w:spacing w:line="287" w:lineRule="auto"/>
              <w:rPr>
                <w:rFonts w:ascii="Arial"/>
                <w:sz w:val="21"/>
              </w:rPr>
            </w:pPr>
          </w:p>
          <w:p w14:paraId="397CF17E">
            <w:pPr>
              <w:spacing w:line="287" w:lineRule="auto"/>
              <w:rPr>
                <w:rFonts w:ascii="Arial"/>
                <w:sz w:val="21"/>
              </w:rPr>
            </w:pPr>
          </w:p>
          <w:p w14:paraId="0FCBDE44">
            <w:pPr>
              <w:spacing w:line="287" w:lineRule="auto"/>
              <w:rPr>
                <w:rFonts w:ascii="Arial"/>
                <w:sz w:val="21"/>
              </w:rPr>
            </w:pPr>
          </w:p>
          <w:p w14:paraId="50502D75">
            <w:pPr>
              <w:spacing w:line="287" w:lineRule="auto"/>
              <w:rPr>
                <w:rFonts w:ascii="Arial"/>
                <w:sz w:val="21"/>
              </w:rPr>
            </w:pPr>
          </w:p>
          <w:p w14:paraId="05359ECA">
            <w:pPr>
              <w:pStyle w:val="6"/>
              <w:spacing w:before="78" w:line="220" w:lineRule="auto"/>
              <w:ind w:left="590"/>
            </w:pPr>
            <w:r>
              <w:rPr>
                <w:spacing w:val="-3"/>
              </w:rPr>
              <w:t>无运营期</w:t>
            </w:r>
          </w:p>
        </w:tc>
      </w:tr>
      <w:tr w14:paraId="2835FF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5" w:hRule="atLeast"/>
        </w:trPr>
        <w:tc>
          <w:tcPr>
            <w:tcW w:w="486" w:type="dxa"/>
            <w:tcBorders>
              <w:top w:val="single" w:color="000000" w:sz="2" w:space="0"/>
              <w:left w:val="single" w:color="000000" w:sz="6" w:space="0"/>
              <w:bottom w:val="single" w:color="000000" w:sz="6" w:space="0"/>
              <w:right w:val="single" w:color="000000" w:sz="2" w:space="0"/>
            </w:tcBorders>
            <w:textDirection w:val="tbRlV"/>
            <w:vAlign w:val="top"/>
          </w:tcPr>
          <w:p w14:paraId="01926B1F">
            <w:pPr>
              <w:pStyle w:val="6"/>
              <w:spacing w:before="132" w:line="209" w:lineRule="auto"/>
              <w:ind w:left="1136"/>
            </w:pPr>
            <w:r>
              <w:rPr>
                <w:b/>
                <w:bCs/>
                <w:spacing w:val="32"/>
              </w:rPr>
              <w:t>其他</w:t>
            </w:r>
          </w:p>
        </w:tc>
        <w:tc>
          <w:tcPr>
            <w:tcW w:w="8415" w:type="dxa"/>
            <w:gridSpan w:val="3"/>
            <w:tcBorders>
              <w:top w:val="single" w:color="000000" w:sz="2" w:space="0"/>
              <w:left w:val="single" w:color="000000" w:sz="2" w:space="0"/>
              <w:bottom w:val="single" w:color="000000" w:sz="6" w:space="0"/>
              <w:right w:val="single" w:color="000000" w:sz="6" w:space="0"/>
            </w:tcBorders>
            <w:vAlign w:val="top"/>
          </w:tcPr>
          <w:p w14:paraId="37789437">
            <w:pPr>
              <w:pStyle w:val="6"/>
              <w:spacing w:before="45" w:line="359" w:lineRule="auto"/>
              <w:ind w:left="112" w:right="102" w:firstLine="480"/>
              <w:jc w:val="both"/>
            </w:pPr>
            <w:r>
              <w:rPr>
                <w:spacing w:val="1"/>
              </w:rPr>
              <w:t>项目由中国石油天然气股份有限公司华北油田巴彦勘探开发分公</w:t>
            </w:r>
            <w:r>
              <w:t>司投资建</w:t>
            </w:r>
            <w:r>
              <w:rPr>
                <w:spacing w:val="1"/>
              </w:rPr>
              <w:t>设，环境管理执行机构为公司质量安全环保科，设有专职的环保</w:t>
            </w:r>
            <w:r>
              <w:t>专职人员，负</w:t>
            </w:r>
            <w:r>
              <w:rPr>
                <w:spacing w:val="-1"/>
              </w:rPr>
              <w:t>责公司的环境保护管理及监督工作。</w:t>
            </w:r>
          </w:p>
          <w:p w14:paraId="72B8ADC2">
            <w:pPr>
              <w:pStyle w:val="6"/>
              <w:spacing w:before="1" w:line="348" w:lineRule="auto"/>
              <w:ind w:left="109" w:right="41" w:firstLine="480"/>
              <w:jc w:val="both"/>
            </w:pPr>
            <w:r>
              <w:rPr>
                <w:spacing w:val="1"/>
              </w:rPr>
              <w:t>其主要职能是：掌握全公司的环境状况，统计分析污染物排放情况，研究</w:t>
            </w:r>
            <w:r>
              <w:rPr>
                <w:spacing w:val="-4"/>
              </w:rPr>
              <w:t>治理对策，组织指导各单位环境监测工作，协调处理有关污染事</w:t>
            </w:r>
            <w:r>
              <w:rPr>
                <w:spacing w:val="-5"/>
              </w:rPr>
              <w:t>故和污染纠纷，</w:t>
            </w:r>
            <w:r>
              <w:t>监督检查项目的“三同时</w:t>
            </w:r>
            <w:r>
              <w:rPr>
                <w:spacing w:val="-86"/>
              </w:rPr>
              <w:t xml:space="preserve"> </w:t>
            </w:r>
            <w:r>
              <w:t>”制度执行情况及参与环保设施的竣工验</w:t>
            </w:r>
            <w:r>
              <w:rPr>
                <w:spacing w:val="-1"/>
              </w:rPr>
              <w:t>收工作等，</w:t>
            </w:r>
          </w:p>
        </w:tc>
      </w:tr>
    </w:tbl>
    <w:p w14:paraId="52CAA0B1">
      <w:pPr>
        <w:rPr>
          <w:rFonts w:ascii="Arial"/>
          <w:sz w:val="21"/>
        </w:rPr>
      </w:pPr>
    </w:p>
    <w:p w14:paraId="28722F4C">
      <w:pPr>
        <w:rPr>
          <w:rFonts w:ascii="Arial" w:hAnsi="Arial" w:eastAsia="Arial" w:cs="Arial"/>
          <w:sz w:val="21"/>
          <w:szCs w:val="21"/>
        </w:rPr>
        <w:sectPr>
          <w:footerReference r:id="rId114" w:type="default"/>
          <w:pgSz w:w="11906" w:h="16839"/>
          <w:pgMar w:top="400" w:right="1410" w:bottom="1240" w:left="1579" w:header="0" w:footer="1078" w:gutter="0"/>
          <w:cols w:space="720" w:num="1"/>
        </w:sectPr>
      </w:pPr>
    </w:p>
    <w:p w14:paraId="1CDF9C5E">
      <w:pPr>
        <w:spacing w:before="56"/>
      </w:pPr>
    </w:p>
    <w:p w14:paraId="733C8BA5">
      <w:pPr>
        <w:spacing w:before="56"/>
      </w:pPr>
    </w:p>
    <w:p w14:paraId="7988D3ED">
      <w:pPr>
        <w:spacing w:before="55"/>
      </w:pPr>
    </w:p>
    <w:p w14:paraId="2BA989D1">
      <w:pPr>
        <w:spacing w:before="55"/>
      </w:pPr>
    </w:p>
    <w:tbl>
      <w:tblPr>
        <w:tblStyle w:val="5"/>
        <w:tblW w:w="890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86"/>
        <w:gridCol w:w="8415"/>
      </w:tblGrid>
      <w:tr w14:paraId="585B73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726" w:hRule="atLeast"/>
        </w:trPr>
        <w:tc>
          <w:tcPr>
            <w:tcW w:w="486" w:type="dxa"/>
            <w:tcBorders>
              <w:bottom w:val="single" w:color="000000" w:sz="2" w:space="0"/>
              <w:right w:val="single" w:color="000000" w:sz="2" w:space="0"/>
            </w:tcBorders>
            <w:vAlign w:val="top"/>
          </w:tcPr>
          <w:p w14:paraId="1F631E3D">
            <w:pPr>
              <w:rPr>
                <w:rFonts w:ascii="Arial"/>
                <w:sz w:val="21"/>
              </w:rPr>
            </w:pPr>
          </w:p>
        </w:tc>
        <w:tc>
          <w:tcPr>
            <w:tcW w:w="8415" w:type="dxa"/>
            <w:tcBorders>
              <w:left w:val="single" w:color="000000" w:sz="2" w:space="0"/>
              <w:bottom w:val="single" w:color="000000" w:sz="2" w:space="0"/>
            </w:tcBorders>
            <w:vAlign w:val="top"/>
          </w:tcPr>
          <w:p w14:paraId="5B0EE31E">
            <w:pPr>
              <w:pStyle w:val="6"/>
              <w:spacing w:before="30" w:line="359" w:lineRule="auto"/>
              <w:ind w:left="110" w:right="102" w:firstLine="24"/>
            </w:pPr>
            <w:r>
              <w:t>已形成一套完整可行的环境管理计划，并起到了既发展生产，又保护环境的作</w:t>
            </w:r>
            <w:r>
              <w:rPr>
                <w:spacing w:val="-6"/>
              </w:rPr>
              <w:t>用。</w:t>
            </w:r>
          </w:p>
          <w:p w14:paraId="530FCAC0">
            <w:pPr>
              <w:pStyle w:val="6"/>
              <w:spacing w:line="218" w:lineRule="auto"/>
              <w:ind w:left="607"/>
            </w:pPr>
            <w:r>
              <w:rPr>
                <w:rFonts w:ascii="Times New Roman" w:hAnsi="Times New Roman" w:eastAsia="Times New Roman" w:cs="Times New Roman"/>
                <w:spacing w:val="-5"/>
              </w:rPr>
              <w:t>1</w:t>
            </w:r>
            <w:r>
              <w:rPr>
                <w:rFonts w:ascii="Times New Roman" w:hAnsi="Times New Roman" w:eastAsia="Times New Roman" w:cs="Times New Roman"/>
                <w:spacing w:val="-25"/>
              </w:rPr>
              <w:t xml:space="preserve"> </w:t>
            </w:r>
            <w:r>
              <w:rPr>
                <w:spacing w:val="-5"/>
              </w:rPr>
              <w:t>、环境管理依据及执行标准</w:t>
            </w:r>
          </w:p>
          <w:p w14:paraId="69995CA7">
            <w:pPr>
              <w:pStyle w:val="6"/>
              <w:spacing w:before="182" w:line="359" w:lineRule="auto"/>
              <w:ind w:left="109" w:right="102" w:firstLine="479"/>
            </w:pPr>
            <w:r>
              <w:rPr>
                <w:spacing w:val="1"/>
              </w:rPr>
              <w:t>环境管理依据包括《中华人民共和国环境保护法》《中华人民共和国土地管理法》《建设项目环境保护管理条例》、地方政府和各级环保部门颁</w:t>
            </w:r>
            <w:r>
              <w:t>布的地</w:t>
            </w:r>
            <w:r>
              <w:rPr>
                <w:spacing w:val="-1"/>
              </w:rPr>
              <w:t>方环保法规、公司制定的环境保护管理条例及其它环保法规。</w:t>
            </w:r>
          </w:p>
          <w:p w14:paraId="01FF167E">
            <w:pPr>
              <w:pStyle w:val="6"/>
              <w:spacing w:line="219" w:lineRule="auto"/>
              <w:ind w:left="584"/>
            </w:pPr>
            <w:r>
              <w:rPr>
                <w:rFonts w:ascii="Times New Roman" w:hAnsi="Times New Roman" w:eastAsia="Times New Roman" w:cs="Times New Roman"/>
                <w:spacing w:val="-4"/>
              </w:rPr>
              <w:t>2</w:t>
            </w:r>
            <w:r>
              <w:rPr>
                <w:rFonts w:ascii="Times New Roman" w:hAnsi="Times New Roman" w:eastAsia="Times New Roman" w:cs="Times New Roman"/>
                <w:spacing w:val="-31"/>
              </w:rPr>
              <w:t xml:space="preserve"> </w:t>
            </w:r>
            <w:r>
              <w:rPr>
                <w:spacing w:val="-4"/>
              </w:rPr>
              <w:t>、勘探期环境管理</w:t>
            </w:r>
          </w:p>
          <w:p w14:paraId="0AE042D0">
            <w:pPr>
              <w:pStyle w:val="6"/>
              <w:spacing w:before="183" w:line="210" w:lineRule="auto"/>
              <w:ind w:left="599"/>
            </w:pPr>
            <w:r>
              <w:rPr>
                <w:spacing w:val="-2"/>
              </w:rPr>
              <w:t>（</w:t>
            </w:r>
            <w:r>
              <w:rPr>
                <w:rFonts w:ascii="Times New Roman" w:hAnsi="Times New Roman" w:eastAsia="Times New Roman" w:cs="Times New Roman"/>
                <w:spacing w:val="-2"/>
              </w:rPr>
              <w:t>1</w:t>
            </w:r>
            <w:r>
              <w:rPr>
                <w:spacing w:val="-2"/>
              </w:rPr>
              <w:t>）建立和实施施工作业队伍的</w:t>
            </w:r>
            <w:r>
              <w:rPr>
                <w:spacing w:val="-50"/>
              </w:rPr>
              <w:t xml:space="preserve"> </w:t>
            </w:r>
            <w:r>
              <w:rPr>
                <w:rFonts w:ascii="Times New Roman" w:hAnsi="Times New Roman" w:eastAsia="Times New Roman" w:cs="Times New Roman"/>
                <w:spacing w:val="-2"/>
              </w:rPr>
              <w:t>QHSE</w:t>
            </w:r>
            <w:r>
              <w:rPr>
                <w:rFonts w:ascii="Times New Roman" w:hAnsi="Times New Roman" w:eastAsia="Times New Roman" w:cs="Times New Roman"/>
                <w:spacing w:val="15"/>
                <w:w w:val="101"/>
              </w:rPr>
              <w:t xml:space="preserve"> </w:t>
            </w:r>
            <w:r>
              <w:rPr>
                <w:spacing w:val="-2"/>
              </w:rPr>
              <w:t>管理体系。</w:t>
            </w:r>
          </w:p>
          <w:p w14:paraId="2B1B6448">
            <w:pPr>
              <w:pStyle w:val="6"/>
              <w:spacing w:before="193" w:line="219" w:lineRule="auto"/>
              <w:ind w:left="599"/>
            </w:pPr>
            <w:r>
              <w:rPr>
                <w:spacing w:val="-1"/>
              </w:rPr>
              <w:t>（</w:t>
            </w:r>
            <w:r>
              <w:rPr>
                <w:rFonts w:ascii="Times New Roman" w:hAnsi="Times New Roman" w:eastAsia="Times New Roman" w:cs="Times New Roman"/>
                <w:spacing w:val="-1"/>
              </w:rPr>
              <w:t>2</w:t>
            </w:r>
            <w:r>
              <w:rPr>
                <w:spacing w:val="-1"/>
              </w:rPr>
              <w:t>）对勘探期全过程进行环保措施和环保工程的监督和检查。</w:t>
            </w:r>
          </w:p>
          <w:p w14:paraId="182AF40B">
            <w:pPr>
              <w:pStyle w:val="6"/>
              <w:spacing w:before="183" w:line="359" w:lineRule="auto"/>
              <w:ind w:left="107" w:right="102" w:firstLine="492"/>
            </w:pPr>
            <w:r>
              <w:rPr>
                <w:spacing w:val="-3"/>
              </w:rPr>
              <w:t>（</w:t>
            </w:r>
            <w:r>
              <w:rPr>
                <w:rFonts w:ascii="Times New Roman" w:hAnsi="Times New Roman" w:eastAsia="Times New Roman" w:cs="Times New Roman"/>
                <w:spacing w:val="-3"/>
              </w:rPr>
              <w:t>3</w:t>
            </w:r>
            <w:r>
              <w:rPr>
                <w:spacing w:val="-3"/>
              </w:rPr>
              <w:t>）实行勘探期环境监理制度，将勘探期作业对环境造成的破坏降低到最低限度。</w:t>
            </w:r>
          </w:p>
          <w:p w14:paraId="19B29D69">
            <w:pPr>
              <w:pStyle w:val="6"/>
              <w:spacing w:before="2" w:line="359" w:lineRule="auto"/>
              <w:ind w:left="111" w:right="102" w:firstLine="488"/>
            </w:pPr>
            <w:r>
              <w:rPr>
                <w:spacing w:val="-3"/>
              </w:rPr>
              <w:t>（</w:t>
            </w:r>
            <w:r>
              <w:rPr>
                <w:rFonts w:ascii="Times New Roman" w:hAnsi="Times New Roman" w:eastAsia="Times New Roman" w:cs="Times New Roman"/>
                <w:spacing w:val="-3"/>
              </w:rPr>
              <w:t>4</w:t>
            </w:r>
            <w:r>
              <w:rPr>
                <w:spacing w:val="-3"/>
              </w:rPr>
              <w:t>）施工井场生态恢复，主要是对临时占地区域的生态修复。主要表现在</w:t>
            </w:r>
            <w:r>
              <w:rPr>
                <w:spacing w:val="1"/>
              </w:rPr>
              <w:t>临时道路、设备堆压、车辆碾压、施工人员踩踏等，待油气井勘探</w:t>
            </w:r>
            <w:r>
              <w:t>工程结束全</w:t>
            </w:r>
            <w:r>
              <w:rPr>
                <w:spacing w:val="-2"/>
              </w:rPr>
              <w:t>部恢复原有土地类型。</w:t>
            </w:r>
          </w:p>
          <w:p w14:paraId="588ABDB3">
            <w:pPr>
              <w:pStyle w:val="6"/>
              <w:spacing w:line="219" w:lineRule="auto"/>
              <w:ind w:left="588"/>
            </w:pPr>
            <w:r>
              <w:rPr>
                <w:rFonts w:ascii="Times New Roman" w:hAnsi="Times New Roman" w:eastAsia="Times New Roman" w:cs="Times New Roman"/>
                <w:spacing w:val="-4"/>
              </w:rPr>
              <w:t>3</w:t>
            </w:r>
            <w:r>
              <w:rPr>
                <w:rFonts w:ascii="Times New Roman" w:hAnsi="Times New Roman" w:eastAsia="Times New Roman" w:cs="Times New Roman"/>
                <w:spacing w:val="-31"/>
              </w:rPr>
              <w:t xml:space="preserve"> </w:t>
            </w:r>
            <w:r>
              <w:rPr>
                <w:spacing w:val="-4"/>
              </w:rPr>
              <w:t>、环保设施竣工验收</w:t>
            </w:r>
          </w:p>
          <w:p w14:paraId="5C851B1F">
            <w:pPr>
              <w:pStyle w:val="6"/>
              <w:spacing w:before="182" w:line="359" w:lineRule="auto"/>
              <w:ind w:left="107" w:firstLine="479"/>
            </w:pPr>
            <w:r>
              <w:rPr>
                <w:spacing w:val="-3"/>
              </w:rPr>
              <w:t>勘探期结束后，建设单位应当按照《建设项目竣工环境保护验收</w:t>
            </w:r>
            <w:r>
              <w:rPr>
                <w:spacing w:val="-4"/>
              </w:rPr>
              <w:t>暂行办法》</w:t>
            </w:r>
            <w:r>
              <w:rPr>
                <w:spacing w:val="1"/>
              </w:rPr>
              <w:t>等有关规定和标准的要求，组织竣工环境保护验收工作。重点调查施</w:t>
            </w:r>
            <w:r>
              <w:t>工过程中</w:t>
            </w:r>
            <w:r>
              <w:rPr>
                <w:spacing w:val="1"/>
              </w:rPr>
              <w:t>对环境影响报告表所提出的生态环境保护措施和要求的落实情况，调</w:t>
            </w:r>
            <w:r>
              <w:t>查分析项</w:t>
            </w:r>
            <w:r>
              <w:rPr>
                <w:spacing w:val="1"/>
              </w:rPr>
              <w:t>目勘探过程对生态环境造成的实际影响，是否已采取有效的环境保护</w:t>
            </w:r>
            <w:r>
              <w:t>预防、减</w:t>
            </w:r>
            <w:r>
              <w:rPr>
                <w:spacing w:val="-1"/>
              </w:rPr>
              <w:t>缓和补救措施，并编制竣工环境保护验收报告。</w:t>
            </w:r>
          </w:p>
          <w:p w14:paraId="0EEAB5DA">
            <w:pPr>
              <w:pStyle w:val="6"/>
              <w:spacing w:before="2" w:line="345" w:lineRule="auto"/>
              <w:ind w:left="108" w:right="102" w:firstLine="479"/>
              <w:jc w:val="both"/>
            </w:pPr>
            <w:r>
              <w:rPr>
                <w:spacing w:val="1"/>
              </w:rPr>
              <w:t>验收报告内容主要包括施工期废（污）水、固废等处置情况，环保措施执行情况，生态、植被等恢复情况，以及解决和落实有关资源的补偿问题。</w:t>
            </w:r>
            <w:r>
              <w:t>同时</w:t>
            </w:r>
            <w:r>
              <w:rPr>
                <w:spacing w:val="-1"/>
              </w:rPr>
              <w:t>应按要求公开验收报告相关信息，接受社会监督。</w:t>
            </w:r>
          </w:p>
        </w:tc>
      </w:tr>
      <w:tr w14:paraId="3A710C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63" w:hRule="atLeast"/>
        </w:trPr>
        <w:tc>
          <w:tcPr>
            <w:tcW w:w="486" w:type="dxa"/>
            <w:tcBorders>
              <w:top w:val="single" w:color="000000" w:sz="2" w:space="0"/>
              <w:right w:val="single" w:color="000000" w:sz="2" w:space="0"/>
            </w:tcBorders>
            <w:textDirection w:val="tbRlV"/>
            <w:vAlign w:val="top"/>
          </w:tcPr>
          <w:p w14:paraId="5A6D32F0">
            <w:pPr>
              <w:pStyle w:val="6"/>
              <w:spacing w:before="132" w:line="209" w:lineRule="auto"/>
              <w:ind w:left="888"/>
            </w:pPr>
            <w:r>
              <w:rPr>
                <w:b/>
                <w:bCs/>
                <w:spacing w:val="50"/>
              </w:rPr>
              <w:t>环保投资</w:t>
            </w:r>
          </w:p>
        </w:tc>
        <w:tc>
          <w:tcPr>
            <w:tcW w:w="8415" w:type="dxa"/>
            <w:tcBorders>
              <w:top w:val="single" w:color="000000" w:sz="2" w:space="0"/>
              <w:left w:val="single" w:color="000000" w:sz="2" w:space="0"/>
            </w:tcBorders>
            <w:vAlign w:val="top"/>
          </w:tcPr>
          <w:p w14:paraId="3B3A6036">
            <w:pPr>
              <w:pStyle w:val="6"/>
              <w:spacing w:before="49" w:line="358" w:lineRule="auto"/>
              <w:ind w:left="110" w:right="102" w:firstLine="481"/>
            </w:pPr>
            <w:r>
              <w:rPr>
                <w:spacing w:val="-5"/>
              </w:rPr>
              <w:t>项目总投资</w:t>
            </w:r>
            <w:r>
              <w:rPr>
                <w:spacing w:val="-50"/>
              </w:rPr>
              <w:t xml:space="preserve"> </w:t>
            </w:r>
            <w:r>
              <w:rPr>
                <w:rFonts w:ascii="Times New Roman" w:hAnsi="Times New Roman" w:eastAsia="Times New Roman" w:cs="Times New Roman"/>
                <w:spacing w:val="-5"/>
              </w:rPr>
              <w:t>7000</w:t>
            </w:r>
            <w:r>
              <w:rPr>
                <w:rFonts w:ascii="Times New Roman" w:hAnsi="Times New Roman" w:eastAsia="Times New Roman" w:cs="Times New Roman"/>
                <w:spacing w:val="15"/>
              </w:rPr>
              <w:t xml:space="preserve"> </w:t>
            </w:r>
            <w:r>
              <w:rPr>
                <w:spacing w:val="-5"/>
              </w:rPr>
              <w:t>万元，其中环保投资</w:t>
            </w:r>
            <w:r>
              <w:rPr>
                <w:spacing w:val="-32"/>
              </w:rPr>
              <w:t xml:space="preserve"> </w:t>
            </w:r>
            <w:r>
              <w:rPr>
                <w:rFonts w:ascii="Times New Roman" w:hAnsi="Times New Roman" w:eastAsia="Times New Roman" w:cs="Times New Roman"/>
                <w:spacing w:val="-5"/>
              </w:rPr>
              <w:t>150</w:t>
            </w:r>
            <w:r>
              <w:rPr>
                <w:rFonts w:ascii="Times New Roman" w:hAnsi="Times New Roman" w:eastAsia="Times New Roman" w:cs="Times New Roman"/>
                <w:spacing w:val="15"/>
                <w:w w:val="101"/>
              </w:rPr>
              <w:t xml:space="preserve"> </w:t>
            </w:r>
            <w:r>
              <w:rPr>
                <w:spacing w:val="-5"/>
              </w:rPr>
              <w:t>万元，占总投资的</w:t>
            </w:r>
            <w:r>
              <w:rPr>
                <w:spacing w:val="-55"/>
              </w:rPr>
              <w:t xml:space="preserve"> </w:t>
            </w:r>
            <w:r>
              <w:rPr>
                <w:rFonts w:ascii="Times New Roman" w:hAnsi="Times New Roman" w:eastAsia="Times New Roman" w:cs="Times New Roman"/>
                <w:spacing w:val="-5"/>
              </w:rPr>
              <w:t>2.</w:t>
            </w:r>
            <w:r>
              <w:rPr>
                <w:rFonts w:ascii="Times New Roman" w:hAnsi="Times New Roman" w:eastAsia="Times New Roman" w:cs="Times New Roman"/>
                <w:spacing w:val="-32"/>
              </w:rPr>
              <w:t xml:space="preserve"> </w:t>
            </w:r>
            <w:r>
              <w:rPr>
                <w:rFonts w:ascii="Times New Roman" w:hAnsi="Times New Roman" w:eastAsia="Times New Roman" w:cs="Times New Roman"/>
                <w:spacing w:val="-5"/>
              </w:rPr>
              <w:t>14%</w:t>
            </w:r>
            <w:r>
              <w:rPr>
                <w:rFonts w:ascii="Times New Roman" w:hAnsi="Times New Roman" w:eastAsia="Times New Roman" w:cs="Times New Roman"/>
                <w:spacing w:val="-28"/>
              </w:rPr>
              <w:t xml:space="preserve"> </w:t>
            </w:r>
            <w:r>
              <w:rPr>
                <w:spacing w:val="-5"/>
              </w:rPr>
              <w:t>。各项</w:t>
            </w:r>
            <w:r>
              <w:rPr>
                <w:spacing w:val="-1"/>
              </w:rPr>
              <w:t>生态环境保护措施投资估算情况见下表。</w:t>
            </w:r>
          </w:p>
          <w:p w14:paraId="0EE56BF9">
            <w:pPr>
              <w:spacing w:line="213" w:lineRule="auto"/>
              <w:ind w:left="2312"/>
              <w:rPr>
                <w:rFonts w:ascii="黑体" w:hAnsi="黑体" w:eastAsia="黑体" w:cs="黑体"/>
                <w:sz w:val="24"/>
                <w:szCs w:val="24"/>
              </w:rPr>
            </w:pPr>
            <w:r>
              <w:rPr>
                <w:rFonts w:ascii="黑体" w:hAnsi="黑体" w:eastAsia="黑体" w:cs="黑体"/>
                <w:spacing w:val="-1"/>
                <w:sz w:val="24"/>
                <w:szCs w:val="24"/>
              </w:rPr>
              <w:t>表</w:t>
            </w:r>
            <w:r>
              <w:rPr>
                <w:rFonts w:ascii="Times New Roman" w:hAnsi="Times New Roman" w:eastAsia="Times New Roman" w:cs="Times New Roman"/>
                <w:spacing w:val="-1"/>
                <w:sz w:val="24"/>
                <w:szCs w:val="24"/>
              </w:rPr>
              <w:t xml:space="preserve">5-5  </w:t>
            </w:r>
            <w:r>
              <w:rPr>
                <w:rFonts w:ascii="黑体" w:hAnsi="黑体" w:eastAsia="黑体" w:cs="黑体"/>
                <w:spacing w:val="-1"/>
                <w:sz w:val="24"/>
                <w:szCs w:val="24"/>
              </w:rPr>
              <w:t>污染防治措施投资估算一览表</w:t>
            </w:r>
          </w:p>
          <w:tbl>
            <w:tblPr>
              <w:tblStyle w:val="5"/>
              <w:tblW w:w="8203" w:type="dxa"/>
              <w:tblInd w:w="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3"/>
              <w:gridCol w:w="668"/>
              <w:gridCol w:w="1091"/>
              <w:gridCol w:w="5222"/>
              <w:gridCol w:w="709"/>
            </w:tblGrid>
            <w:tr w14:paraId="30BE69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513" w:type="dxa"/>
                  <w:tcBorders>
                    <w:top w:val="single" w:color="000000" w:sz="10" w:space="0"/>
                    <w:left w:val="nil"/>
                  </w:tcBorders>
                  <w:vAlign w:val="top"/>
                </w:tcPr>
                <w:p w14:paraId="43F323CD">
                  <w:pPr>
                    <w:pStyle w:val="6"/>
                    <w:spacing w:before="171" w:line="229" w:lineRule="auto"/>
                    <w:ind w:left="61"/>
                    <w:rPr>
                      <w:sz w:val="20"/>
                      <w:szCs w:val="20"/>
                    </w:rPr>
                  </w:pPr>
                  <w:r>
                    <w:rPr>
                      <w:spacing w:val="-1"/>
                      <w:sz w:val="20"/>
                      <w:szCs w:val="20"/>
                    </w:rPr>
                    <w:t>时段</w:t>
                  </w:r>
                </w:p>
              </w:tc>
              <w:tc>
                <w:tcPr>
                  <w:tcW w:w="668" w:type="dxa"/>
                  <w:tcBorders>
                    <w:top w:val="single" w:color="000000" w:sz="10" w:space="0"/>
                  </w:tcBorders>
                  <w:vAlign w:val="top"/>
                </w:tcPr>
                <w:p w14:paraId="6D9AD145">
                  <w:pPr>
                    <w:pStyle w:val="6"/>
                    <w:spacing w:before="170" w:line="228" w:lineRule="auto"/>
                    <w:ind w:left="129"/>
                    <w:rPr>
                      <w:sz w:val="20"/>
                      <w:szCs w:val="20"/>
                    </w:rPr>
                  </w:pPr>
                  <w:r>
                    <w:rPr>
                      <w:spacing w:val="4"/>
                      <w:sz w:val="20"/>
                      <w:szCs w:val="20"/>
                    </w:rPr>
                    <w:t>类型</w:t>
                  </w:r>
                </w:p>
              </w:tc>
              <w:tc>
                <w:tcPr>
                  <w:tcW w:w="1091" w:type="dxa"/>
                  <w:tcBorders>
                    <w:top w:val="single" w:color="000000" w:sz="10" w:space="0"/>
                  </w:tcBorders>
                  <w:vAlign w:val="top"/>
                </w:tcPr>
                <w:p w14:paraId="0CA86875">
                  <w:pPr>
                    <w:pStyle w:val="6"/>
                    <w:spacing w:before="171" w:line="228" w:lineRule="auto"/>
                    <w:ind w:left="342"/>
                    <w:rPr>
                      <w:sz w:val="20"/>
                      <w:szCs w:val="20"/>
                    </w:rPr>
                  </w:pPr>
                  <w:r>
                    <w:rPr>
                      <w:spacing w:val="3"/>
                      <w:sz w:val="20"/>
                      <w:szCs w:val="20"/>
                    </w:rPr>
                    <w:t>项目</w:t>
                  </w:r>
                </w:p>
              </w:tc>
              <w:tc>
                <w:tcPr>
                  <w:tcW w:w="5222" w:type="dxa"/>
                  <w:tcBorders>
                    <w:top w:val="single" w:color="000000" w:sz="10" w:space="0"/>
                  </w:tcBorders>
                  <w:vAlign w:val="top"/>
                </w:tcPr>
                <w:p w14:paraId="6B313552">
                  <w:pPr>
                    <w:pStyle w:val="6"/>
                    <w:spacing w:before="171" w:line="228" w:lineRule="auto"/>
                    <w:ind w:left="2195"/>
                    <w:rPr>
                      <w:sz w:val="20"/>
                      <w:szCs w:val="20"/>
                    </w:rPr>
                  </w:pPr>
                  <w:r>
                    <w:rPr>
                      <w:spacing w:val="7"/>
                      <w:sz w:val="20"/>
                      <w:szCs w:val="20"/>
                    </w:rPr>
                    <w:t>环保措施</w:t>
                  </w:r>
                </w:p>
              </w:tc>
              <w:tc>
                <w:tcPr>
                  <w:tcW w:w="709" w:type="dxa"/>
                  <w:tcBorders>
                    <w:top w:val="single" w:color="000000" w:sz="10" w:space="0"/>
                    <w:right w:val="nil"/>
                  </w:tcBorders>
                  <w:vAlign w:val="top"/>
                </w:tcPr>
                <w:p w14:paraId="02DC8CAD">
                  <w:pPr>
                    <w:pStyle w:val="6"/>
                    <w:spacing w:before="37" w:line="228" w:lineRule="auto"/>
                    <w:ind w:left="153"/>
                    <w:rPr>
                      <w:sz w:val="20"/>
                      <w:szCs w:val="20"/>
                    </w:rPr>
                  </w:pPr>
                  <w:r>
                    <w:rPr>
                      <w:spacing w:val="3"/>
                      <w:sz w:val="20"/>
                      <w:szCs w:val="20"/>
                    </w:rPr>
                    <w:t>投资</w:t>
                  </w:r>
                </w:p>
                <w:p w14:paraId="536A8747">
                  <w:pPr>
                    <w:pStyle w:val="6"/>
                    <w:spacing w:before="23" w:line="218" w:lineRule="auto"/>
                    <w:ind w:left="156"/>
                    <w:rPr>
                      <w:sz w:val="20"/>
                      <w:szCs w:val="20"/>
                    </w:rPr>
                  </w:pPr>
                  <w:r>
                    <w:rPr>
                      <w:spacing w:val="2"/>
                      <w:sz w:val="20"/>
                      <w:szCs w:val="20"/>
                    </w:rPr>
                    <w:t>万元</w:t>
                  </w:r>
                </w:p>
              </w:tc>
            </w:tr>
            <w:tr w14:paraId="7DBDA8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13" w:type="dxa"/>
                  <w:vMerge w:val="restart"/>
                  <w:tcBorders>
                    <w:left w:val="nil"/>
                    <w:bottom w:val="nil"/>
                  </w:tcBorders>
                  <w:textDirection w:val="tbRlV"/>
                  <w:vAlign w:val="top"/>
                </w:tcPr>
                <w:p w14:paraId="173B42A8">
                  <w:pPr>
                    <w:pStyle w:val="6"/>
                    <w:spacing w:before="150" w:line="216" w:lineRule="auto"/>
                    <w:ind w:left="171"/>
                    <w:rPr>
                      <w:sz w:val="20"/>
                      <w:szCs w:val="20"/>
                    </w:rPr>
                  </w:pPr>
                  <w:r>
                    <w:rPr>
                      <w:spacing w:val="8"/>
                      <w:sz w:val="20"/>
                      <w:szCs w:val="20"/>
                    </w:rPr>
                    <w:t>勘</w:t>
                  </w:r>
                  <w:r>
                    <w:rPr>
                      <w:spacing w:val="-37"/>
                      <w:sz w:val="20"/>
                      <w:szCs w:val="20"/>
                    </w:rPr>
                    <w:t xml:space="preserve"> </w:t>
                  </w:r>
                  <w:r>
                    <w:rPr>
                      <w:spacing w:val="8"/>
                      <w:sz w:val="20"/>
                      <w:szCs w:val="20"/>
                    </w:rPr>
                    <w:t>探</w:t>
                  </w:r>
                  <w:r>
                    <w:rPr>
                      <w:spacing w:val="-35"/>
                      <w:sz w:val="20"/>
                      <w:szCs w:val="20"/>
                    </w:rPr>
                    <w:t xml:space="preserve"> </w:t>
                  </w:r>
                  <w:r>
                    <w:rPr>
                      <w:spacing w:val="8"/>
                      <w:sz w:val="20"/>
                      <w:szCs w:val="20"/>
                    </w:rPr>
                    <w:t>期</w:t>
                  </w:r>
                </w:p>
              </w:tc>
              <w:tc>
                <w:tcPr>
                  <w:tcW w:w="668" w:type="dxa"/>
                  <w:vMerge w:val="restart"/>
                  <w:tcBorders>
                    <w:bottom w:val="nil"/>
                  </w:tcBorders>
                  <w:vAlign w:val="top"/>
                </w:tcPr>
                <w:p w14:paraId="49B4D929">
                  <w:pPr>
                    <w:spacing w:line="377" w:lineRule="auto"/>
                    <w:rPr>
                      <w:rFonts w:ascii="Arial"/>
                      <w:sz w:val="21"/>
                    </w:rPr>
                  </w:pPr>
                </w:p>
                <w:p w14:paraId="238F68AC">
                  <w:pPr>
                    <w:pStyle w:val="6"/>
                    <w:spacing w:before="65" w:line="228" w:lineRule="auto"/>
                    <w:ind w:left="128"/>
                    <w:rPr>
                      <w:sz w:val="20"/>
                      <w:szCs w:val="20"/>
                    </w:rPr>
                  </w:pPr>
                  <w:r>
                    <w:rPr>
                      <w:spacing w:val="5"/>
                      <w:sz w:val="20"/>
                      <w:szCs w:val="20"/>
                    </w:rPr>
                    <w:t>废气</w:t>
                  </w:r>
                </w:p>
              </w:tc>
              <w:tc>
                <w:tcPr>
                  <w:tcW w:w="1091" w:type="dxa"/>
                  <w:vAlign w:val="top"/>
                </w:tcPr>
                <w:p w14:paraId="28F7CE59">
                  <w:pPr>
                    <w:pStyle w:val="6"/>
                    <w:spacing w:before="166" w:line="230" w:lineRule="auto"/>
                    <w:ind w:left="129"/>
                    <w:rPr>
                      <w:sz w:val="20"/>
                      <w:szCs w:val="20"/>
                    </w:rPr>
                  </w:pPr>
                  <w:r>
                    <w:rPr>
                      <w:spacing w:val="7"/>
                      <w:sz w:val="20"/>
                      <w:szCs w:val="20"/>
                    </w:rPr>
                    <w:t>施工扬尘</w:t>
                  </w:r>
                </w:p>
              </w:tc>
              <w:tc>
                <w:tcPr>
                  <w:tcW w:w="5222" w:type="dxa"/>
                  <w:vAlign w:val="top"/>
                </w:tcPr>
                <w:p w14:paraId="0BDD3148">
                  <w:pPr>
                    <w:pStyle w:val="6"/>
                    <w:spacing w:before="31" w:line="227" w:lineRule="auto"/>
                    <w:ind w:left="115"/>
                    <w:rPr>
                      <w:sz w:val="20"/>
                      <w:szCs w:val="20"/>
                    </w:rPr>
                  </w:pPr>
                  <w:r>
                    <w:rPr>
                      <w:spacing w:val="8"/>
                      <w:sz w:val="20"/>
                      <w:szCs w:val="20"/>
                    </w:rPr>
                    <w:t>泼洒抑尘，场界设置围挡，原材料堆存区上部设苫布遮</w:t>
                  </w:r>
                </w:p>
                <w:p w14:paraId="7DF448FC">
                  <w:pPr>
                    <w:pStyle w:val="6"/>
                    <w:spacing w:before="24" w:line="218" w:lineRule="auto"/>
                    <w:ind w:left="1147"/>
                    <w:rPr>
                      <w:sz w:val="20"/>
                      <w:szCs w:val="20"/>
                    </w:rPr>
                  </w:pPr>
                  <w:r>
                    <w:rPr>
                      <w:spacing w:val="8"/>
                      <w:sz w:val="20"/>
                      <w:szCs w:val="20"/>
                    </w:rPr>
                    <w:t>盖，表土堆存区上铺密目网等。</w:t>
                  </w:r>
                </w:p>
              </w:tc>
              <w:tc>
                <w:tcPr>
                  <w:tcW w:w="709" w:type="dxa"/>
                  <w:tcBorders>
                    <w:right w:val="nil"/>
                  </w:tcBorders>
                  <w:vAlign w:val="top"/>
                </w:tcPr>
                <w:p w14:paraId="572AE9F5">
                  <w:pPr>
                    <w:spacing w:before="202" w:line="195" w:lineRule="auto"/>
                    <w:ind w:left="310"/>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r>
            <w:tr w14:paraId="4C3CC7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513" w:type="dxa"/>
                  <w:vMerge w:val="continue"/>
                  <w:tcBorders>
                    <w:top w:val="nil"/>
                    <w:left w:val="nil"/>
                    <w:bottom w:val="nil"/>
                  </w:tcBorders>
                  <w:textDirection w:val="tbRlV"/>
                  <w:vAlign w:val="top"/>
                </w:tcPr>
                <w:p w14:paraId="48FC8ECE">
                  <w:pPr>
                    <w:rPr>
                      <w:rFonts w:ascii="Arial"/>
                      <w:sz w:val="21"/>
                    </w:rPr>
                  </w:pPr>
                </w:p>
              </w:tc>
              <w:tc>
                <w:tcPr>
                  <w:tcW w:w="668" w:type="dxa"/>
                  <w:vMerge w:val="continue"/>
                  <w:tcBorders>
                    <w:top w:val="nil"/>
                    <w:bottom w:val="nil"/>
                  </w:tcBorders>
                  <w:vAlign w:val="top"/>
                </w:tcPr>
                <w:p w14:paraId="16F3C2B0">
                  <w:pPr>
                    <w:rPr>
                      <w:rFonts w:ascii="Arial"/>
                      <w:sz w:val="21"/>
                    </w:rPr>
                  </w:pPr>
                </w:p>
              </w:tc>
              <w:tc>
                <w:tcPr>
                  <w:tcW w:w="1091" w:type="dxa"/>
                  <w:tcBorders>
                    <w:bottom w:val="nil"/>
                  </w:tcBorders>
                  <w:vAlign w:val="top"/>
                </w:tcPr>
                <w:p w14:paraId="369EA95B">
                  <w:pPr>
                    <w:pStyle w:val="6"/>
                    <w:spacing w:before="32" w:line="228" w:lineRule="auto"/>
                    <w:ind w:left="130"/>
                    <w:rPr>
                      <w:sz w:val="20"/>
                      <w:szCs w:val="20"/>
                    </w:rPr>
                  </w:pPr>
                  <w:r>
                    <w:rPr>
                      <w:spacing w:val="7"/>
                      <w:sz w:val="20"/>
                      <w:szCs w:val="20"/>
                    </w:rPr>
                    <w:t>柴油发电</w:t>
                  </w:r>
                </w:p>
                <w:p w14:paraId="4BB32F7E">
                  <w:pPr>
                    <w:pStyle w:val="6"/>
                    <w:spacing w:before="23" w:line="212" w:lineRule="auto"/>
                    <w:ind w:left="129"/>
                    <w:rPr>
                      <w:sz w:val="20"/>
                      <w:szCs w:val="20"/>
                    </w:rPr>
                  </w:pPr>
                  <w:r>
                    <w:rPr>
                      <w:spacing w:val="7"/>
                      <w:sz w:val="20"/>
                      <w:szCs w:val="20"/>
                    </w:rPr>
                    <w:t>机组尾气</w:t>
                  </w:r>
                </w:p>
              </w:tc>
              <w:tc>
                <w:tcPr>
                  <w:tcW w:w="5222" w:type="dxa"/>
                  <w:tcBorders>
                    <w:bottom w:val="nil"/>
                  </w:tcBorders>
                  <w:vAlign w:val="top"/>
                </w:tcPr>
                <w:p w14:paraId="2ABAFA95">
                  <w:pPr>
                    <w:pStyle w:val="6"/>
                    <w:spacing w:before="32" w:line="227" w:lineRule="auto"/>
                    <w:ind w:left="111"/>
                    <w:rPr>
                      <w:sz w:val="20"/>
                      <w:szCs w:val="20"/>
                    </w:rPr>
                  </w:pPr>
                  <w:r>
                    <w:rPr>
                      <w:spacing w:val="8"/>
                      <w:sz w:val="20"/>
                      <w:szCs w:val="20"/>
                    </w:rPr>
                    <w:t>采用先进设备，燃用高标准清洁燃油，定期检修，不超</w:t>
                  </w:r>
                </w:p>
                <w:p w14:paraId="60504643">
                  <w:pPr>
                    <w:pStyle w:val="6"/>
                    <w:spacing w:before="25" w:line="212" w:lineRule="auto"/>
                    <w:ind w:left="2100"/>
                    <w:rPr>
                      <w:sz w:val="20"/>
                      <w:szCs w:val="20"/>
                    </w:rPr>
                  </w:pPr>
                  <w:r>
                    <w:rPr>
                      <w:spacing w:val="4"/>
                      <w:sz w:val="20"/>
                      <w:szCs w:val="20"/>
                    </w:rPr>
                    <w:t>负荷运行。</w:t>
                  </w:r>
                </w:p>
              </w:tc>
              <w:tc>
                <w:tcPr>
                  <w:tcW w:w="709" w:type="dxa"/>
                  <w:tcBorders>
                    <w:bottom w:val="nil"/>
                    <w:right w:val="nil"/>
                  </w:tcBorders>
                  <w:vAlign w:val="top"/>
                </w:tcPr>
                <w:p w14:paraId="4732233E">
                  <w:pPr>
                    <w:spacing w:before="201" w:line="199" w:lineRule="auto"/>
                    <w:ind w:left="3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bl>
          <w:p w14:paraId="2FF66822">
            <w:pPr>
              <w:spacing w:line="14" w:lineRule="exact"/>
              <w:rPr>
                <w:rFonts w:ascii="Arial"/>
                <w:sz w:val="2"/>
              </w:rPr>
            </w:pPr>
          </w:p>
        </w:tc>
      </w:tr>
    </w:tbl>
    <w:p w14:paraId="00C6135A">
      <w:pPr>
        <w:rPr>
          <w:rFonts w:ascii="Arial"/>
          <w:sz w:val="21"/>
        </w:rPr>
      </w:pPr>
    </w:p>
    <w:p w14:paraId="4CF82333">
      <w:pPr>
        <w:rPr>
          <w:rFonts w:ascii="Arial" w:hAnsi="Arial" w:eastAsia="Arial" w:cs="Arial"/>
          <w:sz w:val="21"/>
          <w:szCs w:val="21"/>
        </w:rPr>
        <w:sectPr>
          <w:footerReference r:id="rId115" w:type="default"/>
          <w:pgSz w:w="11906" w:h="16839"/>
          <w:pgMar w:top="400" w:right="1410" w:bottom="1240" w:left="1579" w:header="0" w:footer="1078" w:gutter="0"/>
          <w:cols w:space="720" w:num="1"/>
        </w:sectPr>
      </w:pPr>
    </w:p>
    <w:p w14:paraId="4E7E8DAF">
      <w:pPr>
        <w:spacing w:before="56"/>
      </w:pPr>
    </w:p>
    <w:p w14:paraId="021F676C">
      <w:pPr>
        <w:spacing w:before="56"/>
      </w:pPr>
    </w:p>
    <w:p w14:paraId="40732D0D">
      <w:pPr>
        <w:spacing w:before="55"/>
      </w:pPr>
    </w:p>
    <w:p w14:paraId="0C5F48E3">
      <w:pPr>
        <w:spacing w:before="55"/>
      </w:pPr>
    </w:p>
    <w:tbl>
      <w:tblPr>
        <w:tblStyle w:val="5"/>
        <w:tblW w:w="890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6"/>
        <w:gridCol w:w="620"/>
        <w:gridCol w:w="667"/>
        <w:gridCol w:w="1089"/>
        <w:gridCol w:w="5214"/>
        <w:gridCol w:w="825"/>
      </w:tblGrid>
      <w:tr w14:paraId="6F9694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6" w:hRule="atLeast"/>
        </w:trPr>
        <w:tc>
          <w:tcPr>
            <w:tcW w:w="486" w:type="dxa"/>
            <w:vMerge w:val="restart"/>
            <w:tcBorders>
              <w:top w:val="single" w:color="000000" w:sz="6" w:space="0"/>
              <w:left w:val="single" w:color="000000" w:sz="6" w:space="0"/>
              <w:bottom w:val="nil"/>
            </w:tcBorders>
            <w:vAlign w:val="top"/>
          </w:tcPr>
          <w:p w14:paraId="293A9076">
            <w:pPr>
              <w:rPr>
                <w:rFonts w:ascii="Arial"/>
                <w:sz w:val="21"/>
              </w:rPr>
            </w:pPr>
          </w:p>
        </w:tc>
        <w:tc>
          <w:tcPr>
            <w:tcW w:w="620" w:type="dxa"/>
            <w:vMerge w:val="restart"/>
            <w:tcBorders>
              <w:top w:val="single" w:color="000000" w:sz="6" w:space="0"/>
              <w:bottom w:val="nil"/>
            </w:tcBorders>
            <w:vAlign w:val="top"/>
          </w:tcPr>
          <w:p w14:paraId="2557B6CA">
            <w:pPr>
              <w:rPr>
                <w:rFonts w:ascii="Arial"/>
                <w:sz w:val="21"/>
              </w:rPr>
            </w:pPr>
          </w:p>
        </w:tc>
        <w:tc>
          <w:tcPr>
            <w:tcW w:w="667" w:type="dxa"/>
            <w:vMerge w:val="restart"/>
            <w:tcBorders>
              <w:top w:val="single" w:color="000000" w:sz="6" w:space="0"/>
              <w:bottom w:val="nil"/>
            </w:tcBorders>
            <w:vAlign w:val="top"/>
          </w:tcPr>
          <w:p w14:paraId="7EB9ABEA">
            <w:pPr>
              <w:rPr>
                <w:rFonts w:ascii="Arial"/>
                <w:sz w:val="21"/>
              </w:rPr>
            </w:pPr>
          </w:p>
        </w:tc>
        <w:tc>
          <w:tcPr>
            <w:tcW w:w="1089" w:type="dxa"/>
            <w:tcBorders>
              <w:top w:val="single" w:color="000000" w:sz="6" w:space="0"/>
            </w:tcBorders>
            <w:vAlign w:val="top"/>
          </w:tcPr>
          <w:p w14:paraId="1DCCC3A8">
            <w:pPr>
              <w:pStyle w:val="6"/>
              <w:spacing w:before="57" w:line="250" w:lineRule="auto"/>
              <w:ind w:left="442" w:right="128" w:hanging="317"/>
              <w:rPr>
                <w:sz w:val="20"/>
                <w:szCs w:val="20"/>
              </w:rPr>
            </w:pPr>
            <w:r>
              <w:rPr>
                <w:spacing w:val="7"/>
                <w:sz w:val="20"/>
                <w:szCs w:val="20"/>
              </w:rPr>
              <w:t>柴油罐挥</w:t>
            </w:r>
            <w:r>
              <w:rPr>
                <w:sz w:val="20"/>
                <w:szCs w:val="20"/>
              </w:rPr>
              <w:t>发</w:t>
            </w:r>
          </w:p>
          <w:p w14:paraId="76759574">
            <w:pPr>
              <w:pStyle w:val="6"/>
              <w:spacing w:line="218" w:lineRule="auto"/>
              <w:ind w:left="333"/>
              <w:rPr>
                <w:sz w:val="20"/>
                <w:szCs w:val="20"/>
              </w:rPr>
            </w:pPr>
            <w:r>
              <w:rPr>
                <w:spacing w:val="5"/>
                <w:sz w:val="20"/>
                <w:szCs w:val="20"/>
              </w:rPr>
              <w:t>废气</w:t>
            </w:r>
          </w:p>
        </w:tc>
        <w:tc>
          <w:tcPr>
            <w:tcW w:w="5214" w:type="dxa"/>
            <w:tcBorders>
              <w:top w:val="single" w:color="000000" w:sz="6" w:space="0"/>
            </w:tcBorders>
            <w:vAlign w:val="top"/>
          </w:tcPr>
          <w:p w14:paraId="4BF197A9">
            <w:pPr>
              <w:pStyle w:val="6"/>
              <w:spacing w:before="191" w:line="227" w:lineRule="auto"/>
              <w:ind w:left="108"/>
              <w:rPr>
                <w:sz w:val="20"/>
                <w:szCs w:val="20"/>
              </w:rPr>
            </w:pPr>
            <w:r>
              <w:rPr>
                <w:spacing w:val="8"/>
                <w:sz w:val="20"/>
                <w:szCs w:val="20"/>
              </w:rPr>
              <w:t>采用防腐储罐，采用环密技术防止烃类泄漏及挥发；设</w:t>
            </w:r>
          </w:p>
          <w:p w14:paraId="76322257">
            <w:pPr>
              <w:pStyle w:val="6"/>
              <w:spacing w:before="27" w:line="228" w:lineRule="auto"/>
              <w:ind w:left="407"/>
              <w:rPr>
                <w:sz w:val="20"/>
                <w:szCs w:val="20"/>
              </w:rPr>
            </w:pPr>
            <w:r>
              <w:rPr>
                <w:spacing w:val="9"/>
                <w:sz w:val="20"/>
                <w:szCs w:val="20"/>
              </w:rPr>
              <w:t>置切断系统，对管线、阀门等进行定期的检查。</w:t>
            </w:r>
          </w:p>
        </w:tc>
        <w:tc>
          <w:tcPr>
            <w:tcW w:w="825" w:type="dxa"/>
            <w:tcBorders>
              <w:top w:val="single" w:color="000000" w:sz="6" w:space="0"/>
              <w:right w:val="single" w:color="000000" w:sz="6" w:space="0"/>
            </w:tcBorders>
            <w:vAlign w:val="top"/>
          </w:tcPr>
          <w:p w14:paraId="4C8AA11A">
            <w:pPr>
              <w:spacing w:line="304" w:lineRule="auto"/>
              <w:rPr>
                <w:rFonts w:ascii="Arial"/>
                <w:sz w:val="21"/>
              </w:rPr>
            </w:pPr>
          </w:p>
          <w:p w14:paraId="15B23D88">
            <w:pPr>
              <w:spacing w:before="58" w:line="195" w:lineRule="auto"/>
              <w:ind w:left="31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14:paraId="06DDE5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486" w:type="dxa"/>
            <w:vMerge w:val="continue"/>
            <w:tcBorders>
              <w:top w:val="nil"/>
              <w:left w:val="single" w:color="000000" w:sz="6" w:space="0"/>
              <w:bottom w:val="nil"/>
            </w:tcBorders>
            <w:vAlign w:val="top"/>
          </w:tcPr>
          <w:p w14:paraId="6FB99104">
            <w:pPr>
              <w:rPr>
                <w:rFonts w:ascii="Arial"/>
                <w:sz w:val="21"/>
              </w:rPr>
            </w:pPr>
          </w:p>
        </w:tc>
        <w:tc>
          <w:tcPr>
            <w:tcW w:w="620" w:type="dxa"/>
            <w:vMerge w:val="continue"/>
            <w:tcBorders>
              <w:top w:val="nil"/>
              <w:bottom w:val="nil"/>
            </w:tcBorders>
            <w:vAlign w:val="top"/>
          </w:tcPr>
          <w:p w14:paraId="574F8A9D">
            <w:pPr>
              <w:rPr>
                <w:rFonts w:ascii="Arial"/>
                <w:sz w:val="21"/>
              </w:rPr>
            </w:pPr>
          </w:p>
        </w:tc>
        <w:tc>
          <w:tcPr>
            <w:tcW w:w="667" w:type="dxa"/>
            <w:vMerge w:val="continue"/>
            <w:tcBorders>
              <w:top w:val="nil"/>
              <w:bottom w:val="nil"/>
            </w:tcBorders>
            <w:vAlign w:val="top"/>
          </w:tcPr>
          <w:p w14:paraId="13662E87">
            <w:pPr>
              <w:rPr>
                <w:rFonts w:ascii="Arial"/>
                <w:sz w:val="21"/>
              </w:rPr>
            </w:pPr>
          </w:p>
        </w:tc>
        <w:tc>
          <w:tcPr>
            <w:tcW w:w="1089" w:type="dxa"/>
            <w:vAlign w:val="top"/>
          </w:tcPr>
          <w:p w14:paraId="3CF451EC">
            <w:pPr>
              <w:pStyle w:val="6"/>
              <w:spacing w:before="168" w:line="252" w:lineRule="auto"/>
              <w:ind w:left="333" w:right="23" w:hanging="314"/>
              <w:rPr>
                <w:sz w:val="20"/>
                <w:szCs w:val="20"/>
              </w:rPr>
            </w:pPr>
            <w:r>
              <w:rPr>
                <w:spacing w:val="8"/>
                <w:sz w:val="20"/>
                <w:szCs w:val="20"/>
              </w:rPr>
              <w:t>储液罐挥发</w:t>
            </w:r>
            <w:r>
              <w:rPr>
                <w:spacing w:val="5"/>
                <w:sz w:val="20"/>
                <w:szCs w:val="20"/>
              </w:rPr>
              <w:t>废气</w:t>
            </w:r>
          </w:p>
        </w:tc>
        <w:tc>
          <w:tcPr>
            <w:tcW w:w="5214" w:type="dxa"/>
            <w:vAlign w:val="top"/>
          </w:tcPr>
          <w:p w14:paraId="0D2C6183">
            <w:pPr>
              <w:pStyle w:val="6"/>
              <w:spacing w:before="31" w:line="227" w:lineRule="auto"/>
              <w:ind w:left="109"/>
              <w:rPr>
                <w:sz w:val="20"/>
                <w:szCs w:val="20"/>
              </w:rPr>
            </w:pPr>
            <w:r>
              <w:rPr>
                <w:spacing w:val="8"/>
                <w:sz w:val="20"/>
                <w:szCs w:val="20"/>
              </w:rPr>
              <w:t>试油阶段采出液通过密闭管线进入储液罐，储液罐采用</w:t>
            </w:r>
          </w:p>
          <w:p w14:paraId="5869CCB1">
            <w:pPr>
              <w:pStyle w:val="6"/>
              <w:spacing w:before="27" w:line="227" w:lineRule="auto"/>
              <w:ind w:left="121"/>
              <w:rPr>
                <w:sz w:val="20"/>
                <w:szCs w:val="20"/>
              </w:rPr>
            </w:pPr>
            <w:r>
              <w:rPr>
                <w:spacing w:val="7"/>
                <w:sz w:val="20"/>
                <w:szCs w:val="20"/>
              </w:rPr>
              <w:t>卧式高架防腐贮罐，采用环密技术，减少烃类废气无组</w:t>
            </w:r>
          </w:p>
          <w:p w14:paraId="145793E6">
            <w:pPr>
              <w:pStyle w:val="6"/>
              <w:spacing w:before="25" w:line="217" w:lineRule="auto"/>
              <w:ind w:left="307"/>
              <w:rPr>
                <w:sz w:val="20"/>
                <w:szCs w:val="20"/>
              </w:rPr>
            </w:pPr>
            <w:r>
              <w:rPr>
                <w:spacing w:val="8"/>
                <w:sz w:val="20"/>
                <w:szCs w:val="20"/>
              </w:rPr>
              <w:t>织挥发。储液罐安装装车鹤管，装车采用浸没式。</w:t>
            </w:r>
          </w:p>
        </w:tc>
        <w:tc>
          <w:tcPr>
            <w:tcW w:w="825" w:type="dxa"/>
            <w:tcBorders>
              <w:right w:val="single" w:color="000000" w:sz="6" w:space="0"/>
            </w:tcBorders>
            <w:vAlign w:val="top"/>
          </w:tcPr>
          <w:p w14:paraId="1B718138">
            <w:pPr>
              <w:spacing w:line="284" w:lineRule="auto"/>
              <w:rPr>
                <w:rFonts w:ascii="Arial"/>
                <w:sz w:val="21"/>
              </w:rPr>
            </w:pPr>
          </w:p>
          <w:p w14:paraId="2C705150">
            <w:pPr>
              <w:spacing w:before="58" w:line="192" w:lineRule="auto"/>
              <w:ind w:left="31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14:paraId="567ABE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486" w:type="dxa"/>
            <w:vMerge w:val="continue"/>
            <w:tcBorders>
              <w:top w:val="nil"/>
              <w:left w:val="single" w:color="000000" w:sz="6" w:space="0"/>
              <w:bottom w:val="nil"/>
            </w:tcBorders>
            <w:vAlign w:val="top"/>
          </w:tcPr>
          <w:p w14:paraId="3EA1F96C">
            <w:pPr>
              <w:rPr>
                <w:rFonts w:ascii="Arial"/>
                <w:sz w:val="21"/>
              </w:rPr>
            </w:pPr>
          </w:p>
        </w:tc>
        <w:tc>
          <w:tcPr>
            <w:tcW w:w="620" w:type="dxa"/>
            <w:vMerge w:val="continue"/>
            <w:tcBorders>
              <w:top w:val="nil"/>
              <w:bottom w:val="nil"/>
            </w:tcBorders>
            <w:vAlign w:val="top"/>
          </w:tcPr>
          <w:p w14:paraId="08F9A127">
            <w:pPr>
              <w:rPr>
                <w:rFonts w:ascii="Arial"/>
                <w:sz w:val="21"/>
              </w:rPr>
            </w:pPr>
          </w:p>
        </w:tc>
        <w:tc>
          <w:tcPr>
            <w:tcW w:w="667" w:type="dxa"/>
            <w:vMerge w:val="continue"/>
            <w:tcBorders>
              <w:top w:val="nil"/>
            </w:tcBorders>
            <w:vAlign w:val="top"/>
          </w:tcPr>
          <w:p w14:paraId="2FDC846C">
            <w:pPr>
              <w:rPr>
                <w:rFonts w:ascii="Arial"/>
                <w:sz w:val="21"/>
              </w:rPr>
            </w:pPr>
          </w:p>
        </w:tc>
        <w:tc>
          <w:tcPr>
            <w:tcW w:w="1089" w:type="dxa"/>
            <w:vAlign w:val="top"/>
          </w:tcPr>
          <w:p w14:paraId="55BBF2FF">
            <w:pPr>
              <w:pStyle w:val="6"/>
              <w:spacing w:before="121" w:line="228" w:lineRule="auto"/>
              <w:ind w:left="233"/>
              <w:rPr>
                <w:sz w:val="20"/>
                <w:szCs w:val="20"/>
              </w:rPr>
            </w:pPr>
            <w:r>
              <w:rPr>
                <w:spacing w:val="6"/>
                <w:sz w:val="20"/>
                <w:szCs w:val="20"/>
              </w:rPr>
              <w:t>伴生气</w:t>
            </w:r>
          </w:p>
        </w:tc>
        <w:tc>
          <w:tcPr>
            <w:tcW w:w="5214" w:type="dxa"/>
            <w:vAlign w:val="top"/>
          </w:tcPr>
          <w:p w14:paraId="23C8E543">
            <w:pPr>
              <w:pStyle w:val="6"/>
              <w:spacing w:before="122" w:line="227" w:lineRule="auto"/>
              <w:ind w:left="830"/>
              <w:rPr>
                <w:sz w:val="20"/>
                <w:szCs w:val="20"/>
              </w:rPr>
            </w:pPr>
            <w:r>
              <w:rPr>
                <w:spacing w:val="8"/>
                <w:sz w:val="20"/>
                <w:szCs w:val="20"/>
              </w:rPr>
              <w:t>少量伴生气进入放喷装置，火炬燃烧。</w:t>
            </w:r>
          </w:p>
        </w:tc>
        <w:tc>
          <w:tcPr>
            <w:tcW w:w="825" w:type="dxa"/>
            <w:tcBorders>
              <w:right w:val="single" w:color="000000" w:sz="6" w:space="0"/>
            </w:tcBorders>
            <w:vAlign w:val="top"/>
          </w:tcPr>
          <w:p w14:paraId="76CB1365">
            <w:pPr>
              <w:spacing w:before="160" w:line="195" w:lineRule="auto"/>
              <w:ind w:left="31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14:paraId="7DE321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486" w:type="dxa"/>
            <w:vMerge w:val="continue"/>
            <w:tcBorders>
              <w:top w:val="nil"/>
              <w:left w:val="single" w:color="000000" w:sz="6" w:space="0"/>
              <w:bottom w:val="nil"/>
            </w:tcBorders>
            <w:vAlign w:val="top"/>
          </w:tcPr>
          <w:p w14:paraId="368CCC2F">
            <w:pPr>
              <w:rPr>
                <w:rFonts w:ascii="Arial"/>
                <w:sz w:val="21"/>
              </w:rPr>
            </w:pPr>
          </w:p>
        </w:tc>
        <w:tc>
          <w:tcPr>
            <w:tcW w:w="620" w:type="dxa"/>
            <w:vMerge w:val="continue"/>
            <w:tcBorders>
              <w:top w:val="nil"/>
              <w:bottom w:val="nil"/>
            </w:tcBorders>
            <w:vAlign w:val="top"/>
          </w:tcPr>
          <w:p w14:paraId="3F623747">
            <w:pPr>
              <w:rPr>
                <w:rFonts w:ascii="Arial"/>
                <w:sz w:val="21"/>
              </w:rPr>
            </w:pPr>
          </w:p>
        </w:tc>
        <w:tc>
          <w:tcPr>
            <w:tcW w:w="667" w:type="dxa"/>
            <w:vMerge w:val="restart"/>
            <w:tcBorders>
              <w:bottom w:val="nil"/>
            </w:tcBorders>
            <w:vAlign w:val="top"/>
          </w:tcPr>
          <w:p w14:paraId="37F58334">
            <w:pPr>
              <w:spacing w:line="468" w:lineRule="auto"/>
              <w:rPr>
                <w:rFonts w:ascii="Arial"/>
                <w:sz w:val="21"/>
              </w:rPr>
            </w:pPr>
          </w:p>
          <w:p w14:paraId="54E95A1B">
            <w:pPr>
              <w:pStyle w:val="6"/>
              <w:spacing w:before="65" w:line="228" w:lineRule="auto"/>
              <w:ind w:left="122"/>
              <w:rPr>
                <w:sz w:val="20"/>
                <w:szCs w:val="20"/>
              </w:rPr>
            </w:pPr>
            <w:r>
              <w:rPr>
                <w:spacing w:val="5"/>
                <w:sz w:val="20"/>
                <w:szCs w:val="20"/>
              </w:rPr>
              <w:t>废水</w:t>
            </w:r>
          </w:p>
        </w:tc>
        <w:tc>
          <w:tcPr>
            <w:tcW w:w="1089" w:type="dxa"/>
            <w:vAlign w:val="top"/>
          </w:tcPr>
          <w:p w14:paraId="73C29FB1">
            <w:pPr>
              <w:pStyle w:val="6"/>
              <w:spacing w:before="32" w:line="228" w:lineRule="auto"/>
              <w:ind w:left="127"/>
              <w:rPr>
                <w:sz w:val="20"/>
                <w:szCs w:val="20"/>
              </w:rPr>
            </w:pPr>
            <w:r>
              <w:rPr>
                <w:spacing w:val="6"/>
                <w:sz w:val="20"/>
                <w:szCs w:val="20"/>
              </w:rPr>
              <w:t>泥浆、钻</w:t>
            </w:r>
          </w:p>
          <w:p w14:paraId="3DA86033">
            <w:pPr>
              <w:pStyle w:val="6"/>
              <w:spacing w:before="26" w:line="233" w:lineRule="auto"/>
              <w:ind w:left="247" w:right="128" w:hanging="122"/>
              <w:rPr>
                <w:sz w:val="20"/>
                <w:szCs w:val="20"/>
              </w:rPr>
            </w:pPr>
            <w:r>
              <w:rPr>
                <w:spacing w:val="7"/>
                <w:sz w:val="20"/>
                <w:szCs w:val="20"/>
              </w:rPr>
              <w:t>井岩屑中</w:t>
            </w:r>
            <w:r>
              <w:rPr>
                <w:spacing w:val="1"/>
                <w:sz w:val="20"/>
                <w:szCs w:val="20"/>
              </w:rPr>
              <w:t>的废水</w:t>
            </w:r>
          </w:p>
        </w:tc>
        <w:tc>
          <w:tcPr>
            <w:tcW w:w="5214" w:type="dxa"/>
            <w:vAlign w:val="top"/>
          </w:tcPr>
          <w:p w14:paraId="3554A1C2">
            <w:pPr>
              <w:pStyle w:val="6"/>
              <w:spacing w:before="32" w:line="228" w:lineRule="auto"/>
              <w:ind w:left="109"/>
              <w:rPr>
                <w:sz w:val="20"/>
                <w:szCs w:val="20"/>
              </w:rPr>
            </w:pPr>
            <w:r>
              <w:rPr>
                <w:spacing w:val="8"/>
                <w:sz w:val="20"/>
                <w:szCs w:val="20"/>
              </w:rPr>
              <w:t>钻井过程中废水随同废弃泥浆、钻井岩屑收集至可移动</w:t>
            </w:r>
          </w:p>
          <w:p w14:paraId="17296221">
            <w:pPr>
              <w:pStyle w:val="6"/>
              <w:spacing w:before="26" w:line="227" w:lineRule="auto"/>
              <w:ind w:left="108"/>
              <w:rPr>
                <w:sz w:val="20"/>
                <w:szCs w:val="20"/>
              </w:rPr>
            </w:pPr>
            <w:r>
              <w:rPr>
                <w:spacing w:val="8"/>
                <w:sz w:val="20"/>
                <w:szCs w:val="20"/>
              </w:rPr>
              <w:t>废水罐，定期拉运至内蒙古众宁环保科技有限公司油气</w:t>
            </w:r>
          </w:p>
          <w:p w14:paraId="447B83A5">
            <w:pPr>
              <w:pStyle w:val="6"/>
              <w:spacing w:before="24" w:line="216" w:lineRule="auto"/>
              <w:ind w:left="1378"/>
              <w:rPr>
                <w:sz w:val="20"/>
                <w:szCs w:val="20"/>
              </w:rPr>
            </w:pPr>
            <w:r>
              <w:rPr>
                <w:spacing w:val="6"/>
                <w:sz w:val="20"/>
                <w:szCs w:val="20"/>
              </w:rPr>
              <w:t>田废弃物集中处理厂处理。</w:t>
            </w:r>
          </w:p>
        </w:tc>
        <w:tc>
          <w:tcPr>
            <w:tcW w:w="825" w:type="dxa"/>
            <w:tcBorders>
              <w:right w:val="single" w:color="000000" w:sz="6" w:space="0"/>
            </w:tcBorders>
            <w:vAlign w:val="top"/>
          </w:tcPr>
          <w:p w14:paraId="22F0C010">
            <w:pPr>
              <w:spacing w:line="279" w:lineRule="auto"/>
              <w:rPr>
                <w:rFonts w:ascii="Arial"/>
                <w:sz w:val="21"/>
              </w:rPr>
            </w:pPr>
          </w:p>
          <w:p w14:paraId="29E58337">
            <w:pPr>
              <w:spacing w:before="57" w:line="199" w:lineRule="auto"/>
              <w:ind w:left="3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4D6293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486" w:type="dxa"/>
            <w:vMerge w:val="continue"/>
            <w:tcBorders>
              <w:top w:val="nil"/>
              <w:left w:val="single" w:color="000000" w:sz="6" w:space="0"/>
              <w:bottom w:val="nil"/>
            </w:tcBorders>
            <w:vAlign w:val="top"/>
          </w:tcPr>
          <w:p w14:paraId="6CCFF1AC">
            <w:pPr>
              <w:rPr>
                <w:rFonts w:ascii="Arial"/>
                <w:sz w:val="21"/>
              </w:rPr>
            </w:pPr>
          </w:p>
        </w:tc>
        <w:tc>
          <w:tcPr>
            <w:tcW w:w="620" w:type="dxa"/>
            <w:vMerge w:val="continue"/>
            <w:tcBorders>
              <w:top w:val="nil"/>
              <w:bottom w:val="nil"/>
            </w:tcBorders>
            <w:vAlign w:val="top"/>
          </w:tcPr>
          <w:p w14:paraId="2BC37B35">
            <w:pPr>
              <w:rPr>
                <w:rFonts w:ascii="Arial"/>
                <w:sz w:val="21"/>
              </w:rPr>
            </w:pPr>
          </w:p>
        </w:tc>
        <w:tc>
          <w:tcPr>
            <w:tcW w:w="667" w:type="dxa"/>
            <w:vMerge w:val="continue"/>
            <w:tcBorders>
              <w:top w:val="nil"/>
            </w:tcBorders>
            <w:vAlign w:val="top"/>
          </w:tcPr>
          <w:p w14:paraId="20C76F79">
            <w:pPr>
              <w:rPr>
                <w:rFonts w:ascii="Arial"/>
                <w:sz w:val="21"/>
              </w:rPr>
            </w:pPr>
          </w:p>
        </w:tc>
        <w:tc>
          <w:tcPr>
            <w:tcW w:w="1089" w:type="dxa"/>
            <w:vAlign w:val="top"/>
          </w:tcPr>
          <w:p w14:paraId="06CD7A65">
            <w:pPr>
              <w:pStyle w:val="6"/>
              <w:spacing w:before="123" w:line="228" w:lineRule="auto"/>
              <w:ind w:left="125"/>
              <w:rPr>
                <w:sz w:val="20"/>
                <w:szCs w:val="20"/>
              </w:rPr>
            </w:pPr>
            <w:r>
              <w:rPr>
                <w:spacing w:val="7"/>
                <w:sz w:val="20"/>
                <w:szCs w:val="20"/>
              </w:rPr>
              <w:t>盥洗废水</w:t>
            </w:r>
          </w:p>
        </w:tc>
        <w:tc>
          <w:tcPr>
            <w:tcW w:w="5214" w:type="dxa"/>
            <w:vAlign w:val="top"/>
          </w:tcPr>
          <w:p w14:paraId="6A6376DD">
            <w:pPr>
              <w:pStyle w:val="6"/>
              <w:spacing w:before="123" w:line="228" w:lineRule="auto"/>
              <w:ind w:left="409"/>
              <w:rPr>
                <w:sz w:val="20"/>
                <w:szCs w:val="20"/>
              </w:rPr>
            </w:pPr>
            <w:r>
              <w:rPr>
                <w:spacing w:val="9"/>
                <w:sz w:val="20"/>
                <w:szCs w:val="20"/>
              </w:rPr>
              <w:t>盥洗废水排入井场设置的环保厕所，定期清掏。</w:t>
            </w:r>
          </w:p>
        </w:tc>
        <w:tc>
          <w:tcPr>
            <w:tcW w:w="825" w:type="dxa"/>
            <w:tcBorders>
              <w:right w:val="single" w:color="000000" w:sz="6" w:space="0"/>
            </w:tcBorders>
            <w:vAlign w:val="top"/>
          </w:tcPr>
          <w:p w14:paraId="645717FB">
            <w:pPr>
              <w:spacing w:before="161" w:line="195" w:lineRule="auto"/>
              <w:ind w:left="31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14:paraId="7F1AB4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486" w:type="dxa"/>
            <w:vMerge w:val="continue"/>
            <w:tcBorders>
              <w:top w:val="nil"/>
              <w:left w:val="single" w:color="000000" w:sz="6" w:space="0"/>
              <w:bottom w:val="nil"/>
            </w:tcBorders>
            <w:vAlign w:val="top"/>
          </w:tcPr>
          <w:p w14:paraId="6BB28D79">
            <w:pPr>
              <w:rPr>
                <w:rFonts w:ascii="Arial"/>
                <w:sz w:val="21"/>
              </w:rPr>
            </w:pPr>
          </w:p>
        </w:tc>
        <w:tc>
          <w:tcPr>
            <w:tcW w:w="620" w:type="dxa"/>
            <w:vMerge w:val="continue"/>
            <w:tcBorders>
              <w:top w:val="nil"/>
              <w:bottom w:val="nil"/>
            </w:tcBorders>
            <w:vAlign w:val="top"/>
          </w:tcPr>
          <w:p w14:paraId="47CD35DF">
            <w:pPr>
              <w:rPr>
                <w:rFonts w:ascii="Arial"/>
                <w:sz w:val="21"/>
              </w:rPr>
            </w:pPr>
          </w:p>
        </w:tc>
        <w:tc>
          <w:tcPr>
            <w:tcW w:w="667" w:type="dxa"/>
            <w:vAlign w:val="top"/>
          </w:tcPr>
          <w:p w14:paraId="3001DB1A">
            <w:pPr>
              <w:pStyle w:val="6"/>
              <w:spacing w:before="126" w:line="228" w:lineRule="auto"/>
              <w:ind w:left="132"/>
              <w:rPr>
                <w:sz w:val="20"/>
                <w:szCs w:val="20"/>
              </w:rPr>
            </w:pPr>
            <w:r>
              <w:rPr>
                <w:spacing w:val="-1"/>
                <w:sz w:val="20"/>
                <w:szCs w:val="20"/>
              </w:rPr>
              <w:t>噪声</w:t>
            </w:r>
          </w:p>
        </w:tc>
        <w:tc>
          <w:tcPr>
            <w:tcW w:w="1089" w:type="dxa"/>
            <w:vAlign w:val="top"/>
          </w:tcPr>
          <w:p w14:paraId="33C0D11A">
            <w:pPr>
              <w:pStyle w:val="6"/>
              <w:spacing w:before="126" w:line="228" w:lineRule="auto"/>
              <w:ind w:left="135"/>
              <w:rPr>
                <w:sz w:val="20"/>
                <w:szCs w:val="20"/>
              </w:rPr>
            </w:pPr>
            <w:r>
              <w:rPr>
                <w:spacing w:val="4"/>
                <w:sz w:val="20"/>
                <w:szCs w:val="20"/>
              </w:rPr>
              <w:t>噪声治理</w:t>
            </w:r>
          </w:p>
        </w:tc>
        <w:tc>
          <w:tcPr>
            <w:tcW w:w="5214" w:type="dxa"/>
            <w:vAlign w:val="top"/>
          </w:tcPr>
          <w:p w14:paraId="7F704E07">
            <w:pPr>
              <w:pStyle w:val="6"/>
              <w:spacing w:before="125" w:line="228" w:lineRule="auto"/>
              <w:ind w:left="1039"/>
              <w:rPr>
                <w:sz w:val="20"/>
                <w:szCs w:val="20"/>
              </w:rPr>
            </w:pPr>
            <w:r>
              <w:rPr>
                <w:spacing w:val="8"/>
                <w:sz w:val="20"/>
                <w:szCs w:val="20"/>
              </w:rPr>
              <w:t>使用低噪声设备，设置减振基础。</w:t>
            </w:r>
          </w:p>
        </w:tc>
        <w:tc>
          <w:tcPr>
            <w:tcW w:w="825" w:type="dxa"/>
            <w:tcBorders>
              <w:right w:val="single" w:color="000000" w:sz="6" w:space="0"/>
            </w:tcBorders>
            <w:vAlign w:val="top"/>
          </w:tcPr>
          <w:p w14:paraId="10168723">
            <w:pPr>
              <w:spacing w:before="162" w:line="195" w:lineRule="auto"/>
              <w:ind w:left="33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02AB07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486" w:type="dxa"/>
            <w:vMerge w:val="continue"/>
            <w:tcBorders>
              <w:top w:val="nil"/>
              <w:left w:val="single" w:color="000000" w:sz="6" w:space="0"/>
              <w:bottom w:val="nil"/>
            </w:tcBorders>
            <w:vAlign w:val="top"/>
          </w:tcPr>
          <w:p w14:paraId="2BCD4B1D">
            <w:pPr>
              <w:rPr>
                <w:rFonts w:ascii="Arial"/>
                <w:sz w:val="21"/>
              </w:rPr>
            </w:pPr>
          </w:p>
        </w:tc>
        <w:tc>
          <w:tcPr>
            <w:tcW w:w="620" w:type="dxa"/>
            <w:vMerge w:val="continue"/>
            <w:tcBorders>
              <w:top w:val="nil"/>
              <w:bottom w:val="nil"/>
            </w:tcBorders>
            <w:vAlign w:val="top"/>
          </w:tcPr>
          <w:p w14:paraId="22864933">
            <w:pPr>
              <w:rPr>
                <w:rFonts w:ascii="Arial"/>
                <w:sz w:val="21"/>
              </w:rPr>
            </w:pPr>
          </w:p>
        </w:tc>
        <w:tc>
          <w:tcPr>
            <w:tcW w:w="667" w:type="dxa"/>
            <w:vMerge w:val="restart"/>
            <w:tcBorders>
              <w:bottom w:val="nil"/>
            </w:tcBorders>
            <w:vAlign w:val="top"/>
          </w:tcPr>
          <w:p w14:paraId="513CFD47">
            <w:pPr>
              <w:spacing w:line="265" w:lineRule="auto"/>
              <w:rPr>
                <w:rFonts w:ascii="Arial"/>
                <w:sz w:val="21"/>
              </w:rPr>
            </w:pPr>
          </w:p>
          <w:p w14:paraId="005A05D2">
            <w:pPr>
              <w:spacing w:line="265" w:lineRule="auto"/>
              <w:rPr>
                <w:rFonts w:ascii="Arial"/>
                <w:sz w:val="21"/>
              </w:rPr>
            </w:pPr>
          </w:p>
          <w:p w14:paraId="38013145">
            <w:pPr>
              <w:spacing w:line="266" w:lineRule="auto"/>
              <w:rPr>
                <w:rFonts w:ascii="Arial"/>
                <w:sz w:val="21"/>
              </w:rPr>
            </w:pPr>
          </w:p>
          <w:p w14:paraId="22C99EB3">
            <w:pPr>
              <w:spacing w:line="266" w:lineRule="auto"/>
              <w:rPr>
                <w:rFonts w:ascii="Arial"/>
                <w:sz w:val="21"/>
              </w:rPr>
            </w:pPr>
          </w:p>
          <w:p w14:paraId="53A17273">
            <w:pPr>
              <w:pStyle w:val="6"/>
              <w:spacing w:before="65" w:line="228" w:lineRule="auto"/>
              <w:ind w:left="141"/>
              <w:rPr>
                <w:sz w:val="20"/>
                <w:szCs w:val="20"/>
              </w:rPr>
            </w:pPr>
            <w:r>
              <w:rPr>
                <w:spacing w:val="-5"/>
                <w:sz w:val="20"/>
                <w:szCs w:val="20"/>
              </w:rPr>
              <w:t>固废</w:t>
            </w:r>
          </w:p>
        </w:tc>
        <w:tc>
          <w:tcPr>
            <w:tcW w:w="1089" w:type="dxa"/>
            <w:vAlign w:val="top"/>
          </w:tcPr>
          <w:p w14:paraId="4B64E090">
            <w:pPr>
              <w:pStyle w:val="6"/>
              <w:spacing w:before="171" w:line="254" w:lineRule="auto"/>
              <w:ind w:left="125" w:right="57" w:hanging="106"/>
              <w:rPr>
                <w:sz w:val="20"/>
                <w:szCs w:val="20"/>
              </w:rPr>
            </w:pPr>
            <w:r>
              <w:rPr>
                <w:spacing w:val="1"/>
                <w:sz w:val="20"/>
                <w:szCs w:val="20"/>
              </w:rPr>
              <w:t>废弃泥浆、</w:t>
            </w:r>
            <w:r>
              <w:rPr>
                <w:spacing w:val="7"/>
                <w:sz w:val="20"/>
                <w:szCs w:val="20"/>
              </w:rPr>
              <w:t>钻井岩屑</w:t>
            </w:r>
          </w:p>
        </w:tc>
        <w:tc>
          <w:tcPr>
            <w:tcW w:w="5214" w:type="dxa"/>
            <w:vAlign w:val="top"/>
          </w:tcPr>
          <w:p w14:paraId="0F5A4FFD">
            <w:pPr>
              <w:pStyle w:val="6"/>
              <w:spacing w:before="36" w:line="228" w:lineRule="auto"/>
              <w:jc w:val="right"/>
              <w:rPr>
                <w:sz w:val="20"/>
                <w:szCs w:val="20"/>
              </w:rPr>
            </w:pPr>
            <w:r>
              <w:rPr>
                <w:spacing w:val="8"/>
                <w:sz w:val="20"/>
                <w:szCs w:val="20"/>
              </w:rPr>
              <w:t>含钻井废水的废弃泥浆、钻井岩屑收集可移动废水罐，定</w:t>
            </w:r>
          </w:p>
          <w:p w14:paraId="19BB36D9">
            <w:pPr>
              <w:pStyle w:val="6"/>
              <w:spacing w:before="24" w:line="227" w:lineRule="auto"/>
              <w:ind w:left="95"/>
              <w:rPr>
                <w:sz w:val="20"/>
                <w:szCs w:val="20"/>
              </w:rPr>
            </w:pPr>
            <w:r>
              <w:rPr>
                <w:spacing w:val="9"/>
                <w:sz w:val="20"/>
                <w:szCs w:val="20"/>
              </w:rPr>
              <w:t>期拉运至内蒙古众宁环保科技有限公司油气田废弃物集</w:t>
            </w:r>
          </w:p>
          <w:p w14:paraId="3C029F9F">
            <w:pPr>
              <w:pStyle w:val="6"/>
              <w:spacing w:before="25" w:line="214" w:lineRule="auto"/>
              <w:ind w:left="1897"/>
              <w:rPr>
                <w:sz w:val="20"/>
                <w:szCs w:val="20"/>
              </w:rPr>
            </w:pPr>
            <w:r>
              <w:rPr>
                <w:spacing w:val="4"/>
                <w:sz w:val="20"/>
                <w:szCs w:val="20"/>
              </w:rPr>
              <w:t>中处理厂处理。</w:t>
            </w:r>
          </w:p>
        </w:tc>
        <w:tc>
          <w:tcPr>
            <w:tcW w:w="825" w:type="dxa"/>
            <w:tcBorders>
              <w:right w:val="single" w:color="000000" w:sz="6" w:space="0"/>
            </w:tcBorders>
            <w:vAlign w:val="top"/>
          </w:tcPr>
          <w:p w14:paraId="66889BCC">
            <w:pPr>
              <w:spacing w:line="284" w:lineRule="auto"/>
              <w:rPr>
                <w:rFonts w:ascii="Arial"/>
                <w:sz w:val="21"/>
              </w:rPr>
            </w:pPr>
          </w:p>
          <w:p w14:paraId="66983D01">
            <w:pPr>
              <w:spacing w:before="57" w:line="195" w:lineRule="auto"/>
              <w:ind w:left="260"/>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r>
      <w:tr w14:paraId="51E6D3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486" w:type="dxa"/>
            <w:vMerge w:val="continue"/>
            <w:tcBorders>
              <w:top w:val="nil"/>
              <w:left w:val="single" w:color="000000" w:sz="6" w:space="0"/>
              <w:bottom w:val="nil"/>
            </w:tcBorders>
            <w:vAlign w:val="top"/>
          </w:tcPr>
          <w:p w14:paraId="278D17A9">
            <w:pPr>
              <w:rPr>
                <w:rFonts w:ascii="Arial"/>
                <w:sz w:val="21"/>
              </w:rPr>
            </w:pPr>
          </w:p>
        </w:tc>
        <w:tc>
          <w:tcPr>
            <w:tcW w:w="620" w:type="dxa"/>
            <w:vMerge w:val="continue"/>
            <w:tcBorders>
              <w:top w:val="nil"/>
              <w:bottom w:val="nil"/>
            </w:tcBorders>
            <w:vAlign w:val="top"/>
          </w:tcPr>
          <w:p w14:paraId="473F37F9">
            <w:pPr>
              <w:rPr>
                <w:rFonts w:ascii="Arial"/>
                <w:sz w:val="21"/>
              </w:rPr>
            </w:pPr>
          </w:p>
        </w:tc>
        <w:tc>
          <w:tcPr>
            <w:tcW w:w="667" w:type="dxa"/>
            <w:vMerge w:val="continue"/>
            <w:tcBorders>
              <w:top w:val="nil"/>
              <w:bottom w:val="nil"/>
            </w:tcBorders>
            <w:vAlign w:val="top"/>
          </w:tcPr>
          <w:p w14:paraId="7994D4D7">
            <w:pPr>
              <w:rPr>
                <w:rFonts w:ascii="Arial"/>
                <w:sz w:val="21"/>
              </w:rPr>
            </w:pPr>
          </w:p>
        </w:tc>
        <w:tc>
          <w:tcPr>
            <w:tcW w:w="1089" w:type="dxa"/>
            <w:vAlign w:val="top"/>
          </w:tcPr>
          <w:p w14:paraId="1A5BC9DD">
            <w:pPr>
              <w:pStyle w:val="6"/>
              <w:spacing w:before="37" w:line="251" w:lineRule="auto"/>
              <w:ind w:left="129" w:right="128" w:firstLine="101"/>
              <w:rPr>
                <w:sz w:val="20"/>
                <w:szCs w:val="20"/>
              </w:rPr>
            </w:pPr>
            <w:r>
              <w:rPr>
                <w:spacing w:val="7"/>
                <w:sz w:val="20"/>
                <w:szCs w:val="20"/>
              </w:rPr>
              <w:t>废润滑</w:t>
            </w:r>
            <w:r>
              <w:rPr>
                <w:spacing w:val="6"/>
                <w:sz w:val="20"/>
                <w:szCs w:val="20"/>
              </w:rPr>
              <w:t>油、落地</w:t>
            </w:r>
          </w:p>
          <w:p w14:paraId="470732C0">
            <w:pPr>
              <w:pStyle w:val="6"/>
              <w:spacing w:line="232" w:lineRule="auto"/>
              <w:ind w:left="232" w:right="128" w:hanging="103"/>
              <w:rPr>
                <w:sz w:val="20"/>
                <w:szCs w:val="20"/>
              </w:rPr>
            </w:pPr>
            <w:r>
              <w:rPr>
                <w:spacing w:val="6"/>
                <w:sz w:val="20"/>
                <w:szCs w:val="20"/>
              </w:rPr>
              <w:t>油及废防渗材料</w:t>
            </w:r>
          </w:p>
        </w:tc>
        <w:tc>
          <w:tcPr>
            <w:tcW w:w="5214" w:type="dxa"/>
            <w:vAlign w:val="top"/>
          </w:tcPr>
          <w:p w14:paraId="1B4519E9">
            <w:pPr>
              <w:pStyle w:val="6"/>
              <w:spacing w:before="170" w:line="227" w:lineRule="auto"/>
              <w:ind w:left="109"/>
              <w:rPr>
                <w:sz w:val="20"/>
                <w:szCs w:val="20"/>
              </w:rPr>
            </w:pPr>
            <w:r>
              <w:rPr>
                <w:spacing w:val="8"/>
                <w:sz w:val="20"/>
                <w:szCs w:val="20"/>
              </w:rPr>
              <w:t>井场设置撬装式危废贮存点。废润滑油、及废防渗材料</w:t>
            </w:r>
          </w:p>
          <w:p w14:paraId="096BDDBA">
            <w:pPr>
              <w:pStyle w:val="6"/>
              <w:spacing w:before="27" w:line="228" w:lineRule="auto"/>
              <w:ind w:left="116"/>
              <w:rPr>
                <w:sz w:val="20"/>
                <w:szCs w:val="20"/>
              </w:rPr>
            </w:pPr>
            <w:r>
              <w:rPr>
                <w:spacing w:val="8"/>
                <w:sz w:val="20"/>
                <w:szCs w:val="20"/>
              </w:rPr>
              <w:t>收集后，暂存在井场撬装式危废贮存点，定期交有</w:t>
            </w:r>
            <w:r>
              <w:rPr>
                <w:spacing w:val="7"/>
                <w:sz w:val="20"/>
                <w:szCs w:val="20"/>
              </w:rPr>
              <w:t>资质</w:t>
            </w:r>
          </w:p>
          <w:p w14:paraId="0F89A41A">
            <w:pPr>
              <w:pStyle w:val="6"/>
              <w:spacing w:before="24" w:line="228" w:lineRule="auto"/>
              <w:ind w:left="1880"/>
              <w:rPr>
                <w:sz w:val="20"/>
                <w:szCs w:val="20"/>
              </w:rPr>
            </w:pPr>
            <w:r>
              <w:rPr>
                <w:spacing w:val="6"/>
                <w:sz w:val="20"/>
                <w:szCs w:val="20"/>
              </w:rPr>
              <w:t>单位拉运处置。</w:t>
            </w:r>
          </w:p>
        </w:tc>
        <w:tc>
          <w:tcPr>
            <w:tcW w:w="825" w:type="dxa"/>
            <w:tcBorders>
              <w:right w:val="single" w:color="000000" w:sz="6" w:space="0"/>
            </w:tcBorders>
            <w:vAlign w:val="top"/>
          </w:tcPr>
          <w:p w14:paraId="145B6033">
            <w:pPr>
              <w:spacing w:line="422" w:lineRule="auto"/>
              <w:rPr>
                <w:rFonts w:ascii="Arial"/>
                <w:sz w:val="21"/>
              </w:rPr>
            </w:pPr>
          </w:p>
          <w:p w14:paraId="591F7D3A">
            <w:pPr>
              <w:spacing w:before="58" w:line="192" w:lineRule="auto"/>
              <w:ind w:left="31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14:paraId="1A13FA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486" w:type="dxa"/>
            <w:vMerge w:val="continue"/>
            <w:tcBorders>
              <w:top w:val="nil"/>
              <w:left w:val="single" w:color="000000" w:sz="6" w:space="0"/>
              <w:bottom w:val="nil"/>
            </w:tcBorders>
            <w:vAlign w:val="top"/>
          </w:tcPr>
          <w:p w14:paraId="48DE4175">
            <w:pPr>
              <w:rPr>
                <w:rFonts w:ascii="Arial"/>
                <w:sz w:val="21"/>
              </w:rPr>
            </w:pPr>
          </w:p>
        </w:tc>
        <w:tc>
          <w:tcPr>
            <w:tcW w:w="620" w:type="dxa"/>
            <w:vMerge w:val="continue"/>
            <w:tcBorders>
              <w:top w:val="nil"/>
              <w:bottom w:val="nil"/>
            </w:tcBorders>
            <w:vAlign w:val="top"/>
          </w:tcPr>
          <w:p w14:paraId="167A1E29">
            <w:pPr>
              <w:rPr>
                <w:rFonts w:ascii="Arial"/>
                <w:sz w:val="21"/>
              </w:rPr>
            </w:pPr>
          </w:p>
        </w:tc>
        <w:tc>
          <w:tcPr>
            <w:tcW w:w="667" w:type="dxa"/>
            <w:vMerge w:val="continue"/>
            <w:tcBorders>
              <w:top w:val="nil"/>
            </w:tcBorders>
            <w:vAlign w:val="top"/>
          </w:tcPr>
          <w:p w14:paraId="799CD7C6">
            <w:pPr>
              <w:rPr>
                <w:rFonts w:ascii="Arial"/>
                <w:sz w:val="21"/>
              </w:rPr>
            </w:pPr>
          </w:p>
        </w:tc>
        <w:tc>
          <w:tcPr>
            <w:tcW w:w="1089" w:type="dxa"/>
            <w:vAlign w:val="top"/>
          </w:tcPr>
          <w:p w14:paraId="0C22B37F">
            <w:pPr>
              <w:pStyle w:val="6"/>
              <w:spacing w:before="171" w:line="228" w:lineRule="auto"/>
              <w:ind w:left="127"/>
              <w:rPr>
                <w:sz w:val="20"/>
                <w:szCs w:val="20"/>
              </w:rPr>
            </w:pPr>
            <w:r>
              <w:rPr>
                <w:spacing w:val="6"/>
                <w:sz w:val="20"/>
                <w:szCs w:val="20"/>
              </w:rPr>
              <w:t>生活垃圾</w:t>
            </w:r>
          </w:p>
        </w:tc>
        <w:tc>
          <w:tcPr>
            <w:tcW w:w="5214" w:type="dxa"/>
            <w:vAlign w:val="top"/>
          </w:tcPr>
          <w:p w14:paraId="7FE5A2F4">
            <w:pPr>
              <w:pStyle w:val="6"/>
              <w:spacing w:before="35" w:line="228" w:lineRule="auto"/>
              <w:ind w:left="33"/>
              <w:rPr>
                <w:sz w:val="20"/>
                <w:szCs w:val="20"/>
              </w:rPr>
            </w:pPr>
            <w:r>
              <w:rPr>
                <w:spacing w:val="6"/>
                <w:sz w:val="20"/>
                <w:szCs w:val="20"/>
              </w:rPr>
              <w:t>设置生活垃圾箱，集中收集后，拉运至当地乡镇生活垃圾</w:t>
            </w:r>
          </w:p>
          <w:p w14:paraId="2191103E">
            <w:pPr>
              <w:pStyle w:val="6"/>
              <w:spacing w:before="24" w:line="213" w:lineRule="auto"/>
              <w:ind w:left="1363"/>
              <w:rPr>
                <w:sz w:val="20"/>
                <w:szCs w:val="20"/>
              </w:rPr>
            </w:pPr>
            <w:r>
              <w:rPr>
                <w:spacing w:val="3"/>
                <w:sz w:val="20"/>
                <w:szCs w:val="20"/>
              </w:rPr>
              <w:t>点，</w:t>
            </w:r>
            <w:r>
              <w:rPr>
                <w:spacing w:val="-47"/>
                <w:sz w:val="20"/>
                <w:szCs w:val="20"/>
              </w:rPr>
              <w:t xml:space="preserve"> </w:t>
            </w:r>
            <w:r>
              <w:rPr>
                <w:spacing w:val="3"/>
                <w:sz w:val="20"/>
                <w:szCs w:val="20"/>
              </w:rPr>
              <w:t>由当地环卫部门处理。</w:t>
            </w:r>
          </w:p>
        </w:tc>
        <w:tc>
          <w:tcPr>
            <w:tcW w:w="825" w:type="dxa"/>
            <w:tcBorders>
              <w:right w:val="single" w:color="000000" w:sz="6" w:space="0"/>
            </w:tcBorders>
            <w:vAlign w:val="top"/>
          </w:tcPr>
          <w:p w14:paraId="575A15D7">
            <w:pPr>
              <w:spacing w:before="209" w:line="195" w:lineRule="auto"/>
              <w:ind w:left="31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14:paraId="1B02A0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486" w:type="dxa"/>
            <w:vMerge w:val="continue"/>
            <w:tcBorders>
              <w:top w:val="nil"/>
              <w:left w:val="single" w:color="000000" w:sz="6" w:space="0"/>
              <w:bottom w:val="nil"/>
            </w:tcBorders>
            <w:vAlign w:val="top"/>
          </w:tcPr>
          <w:p w14:paraId="5634E528">
            <w:pPr>
              <w:rPr>
                <w:rFonts w:ascii="Arial"/>
                <w:sz w:val="21"/>
              </w:rPr>
            </w:pPr>
          </w:p>
        </w:tc>
        <w:tc>
          <w:tcPr>
            <w:tcW w:w="620" w:type="dxa"/>
            <w:vMerge w:val="continue"/>
            <w:tcBorders>
              <w:top w:val="nil"/>
              <w:bottom w:val="nil"/>
            </w:tcBorders>
            <w:vAlign w:val="top"/>
          </w:tcPr>
          <w:p w14:paraId="5F3B270D">
            <w:pPr>
              <w:rPr>
                <w:rFonts w:ascii="Arial"/>
                <w:sz w:val="21"/>
              </w:rPr>
            </w:pPr>
          </w:p>
        </w:tc>
        <w:tc>
          <w:tcPr>
            <w:tcW w:w="667" w:type="dxa"/>
            <w:vMerge w:val="restart"/>
            <w:tcBorders>
              <w:bottom w:val="nil"/>
            </w:tcBorders>
            <w:vAlign w:val="top"/>
          </w:tcPr>
          <w:p w14:paraId="16BFD5CA">
            <w:pPr>
              <w:spacing w:line="267" w:lineRule="auto"/>
              <w:rPr>
                <w:rFonts w:ascii="Arial"/>
                <w:sz w:val="21"/>
              </w:rPr>
            </w:pPr>
          </w:p>
          <w:p w14:paraId="0156A2A5">
            <w:pPr>
              <w:spacing w:line="268" w:lineRule="auto"/>
              <w:rPr>
                <w:rFonts w:ascii="Arial"/>
                <w:sz w:val="21"/>
              </w:rPr>
            </w:pPr>
          </w:p>
          <w:p w14:paraId="07769A87">
            <w:pPr>
              <w:spacing w:line="268" w:lineRule="auto"/>
              <w:rPr>
                <w:rFonts w:ascii="Arial"/>
                <w:sz w:val="21"/>
              </w:rPr>
            </w:pPr>
          </w:p>
          <w:p w14:paraId="130AE4DF">
            <w:pPr>
              <w:spacing w:line="268" w:lineRule="auto"/>
              <w:rPr>
                <w:rFonts w:ascii="Arial"/>
                <w:sz w:val="21"/>
              </w:rPr>
            </w:pPr>
          </w:p>
          <w:p w14:paraId="0D5211A0">
            <w:pPr>
              <w:spacing w:line="268" w:lineRule="auto"/>
              <w:rPr>
                <w:rFonts w:ascii="Arial"/>
                <w:sz w:val="21"/>
              </w:rPr>
            </w:pPr>
          </w:p>
          <w:p w14:paraId="1AE1EDFF">
            <w:pPr>
              <w:spacing w:line="268" w:lineRule="auto"/>
              <w:rPr>
                <w:rFonts w:ascii="Arial"/>
                <w:sz w:val="21"/>
              </w:rPr>
            </w:pPr>
          </w:p>
          <w:p w14:paraId="40559AB3">
            <w:pPr>
              <w:pStyle w:val="6"/>
              <w:spacing w:before="65" w:line="228" w:lineRule="auto"/>
              <w:ind w:left="136"/>
              <w:rPr>
                <w:sz w:val="20"/>
                <w:szCs w:val="20"/>
              </w:rPr>
            </w:pPr>
            <w:r>
              <w:rPr>
                <w:spacing w:val="-2"/>
                <w:sz w:val="20"/>
                <w:szCs w:val="20"/>
              </w:rPr>
              <w:t>防渗</w:t>
            </w:r>
          </w:p>
        </w:tc>
        <w:tc>
          <w:tcPr>
            <w:tcW w:w="1089" w:type="dxa"/>
            <w:vAlign w:val="top"/>
          </w:tcPr>
          <w:p w14:paraId="6846162E">
            <w:pPr>
              <w:spacing w:line="379" w:lineRule="auto"/>
              <w:rPr>
                <w:rFonts w:ascii="Arial"/>
                <w:sz w:val="21"/>
              </w:rPr>
            </w:pPr>
          </w:p>
          <w:p w14:paraId="4A744FD7">
            <w:pPr>
              <w:pStyle w:val="6"/>
              <w:spacing w:before="65" w:line="256" w:lineRule="auto"/>
              <w:ind w:left="455" w:right="128" w:hanging="329"/>
              <w:rPr>
                <w:sz w:val="20"/>
                <w:szCs w:val="20"/>
              </w:rPr>
            </w:pPr>
            <w:r>
              <w:rPr>
                <w:spacing w:val="7"/>
                <w:sz w:val="20"/>
                <w:szCs w:val="20"/>
              </w:rPr>
              <w:t>重点防渗</w:t>
            </w:r>
            <w:r>
              <w:rPr>
                <w:sz w:val="20"/>
                <w:szCs w:val="20"/>
              </w:rPr>
              <w:t>区</w:t>
            </w:r>
          </w:p>
        </w:tc>
        <w:tc>
          <w:tcPr>
            <w:tcW w:w="5214" w:type="dxa"/>
            <w:vAlign w:val="top"/>
          </w:tcPr>
          <w:p w14:paraId="65CCFB1B">
            <w:pPr>
              <w:pStyle w:val="6"/>
              <w:spacing w:before="39" w:line="243" w:lineRule="auto"/>
              <w:ind w:left="109" w:right="46"/>
              <w:jc w:val="both"/>
              <w:rPr>
                <w:sz w:val="20"/>
                <w:szCs w:val="20"/>
              </w:rPr>
            </w:pPr>
            <w:r>
              <w:rPr>
                <w:spacing w:val="10"/>
                <w:sz w:val="20"/>
                <w:szCs w:val="20"/>
              </w:rPr>
              <w:t>钻井平台、泥浆不落地循环系统装置区、泥浆储罐区、</w:t>
            </w:r>
            <w:r>
              <w:rPr>
                <w:spacing w:val="8"/>
                <w:sz w:val="20"/>
                <w:szCs w:val="20"/>
              </w:rPr>
              <w:t>柴油罐区、撬装式危废贮存点、储液罐区、放喷池（即</w:t>
            </w:r>
            <w:r>
              <w:rPr>
                <w:spacing w:val="-1"/>
                <w:sz w:val="20"/>
                <w:szCs w:val="20"/>
              </w:rPr>
              <w:t>应急池）等四周加设高度为</w:t>
            </w:r>
            <w:r>
              <w:rPr>
                <w:spacing w:val="-44"/>
                <w:sz w:val="20"/>
                <w:szCs w:val="20"/>
              </w:rPr>
              <w:t xml:space="preserve"> </w:t>
            </w:r>
            <w:r>
              <w:rPr>
                <w:rFonts w:ascii="Times New Roman" w:hAnsi="Times New Roman" w:eastAsia="Times New Roman" w:cs="Times New Roman"/>
                <w:spacing w:val="-1"/>
                <w:sz w:val="20"/>
                <w:szCs w:val="20"/>
              </w:rPr>
              <w:t>20cm</w:t>
            </w:r>
            <w:r>
              <w:rPr>
                <w:rFonts w:ascii="Times New Roman" w:hAnsi="Times New Roman" w:eastAsia="Times New Roman" w:cs="Times New Roman"/>
                <w:spacing w:val="16"/>
                <w:w w:val="101"/>
                <w:sz w:val="20"/>
                <w:szCs w:val="20"/>
              </w:rPr>
              <w:t xml:space="preserve"> </w:t>
            </w:r>
            <w:r>
              <w:rPr>
                <w:spacing w:val="-1"/>
                <w:sz w:val="20"/>
                <w:szCs w:val="20"/>
              </w:rPr>
              <w:t>的围堰，铺设双层</w:t>
            </w:r>
            <w:r>
              <w:rPr>
                <w:spacing w:val="-55"/>
                <w:sz w:val="20"/>
                <w:szCs w:val="20"/>
              </w:rPr>
              <w:t xml:space="preserve"> </w:t>
            </w:r>
            <w:r>
              <w:rPr>
                <w:rFonts w:ascii="Times New Roman" w:hAnsi="Times New Roman" w:eastAsia="Times New Roman" w:cs="Times New Roman"/>
                <w:spacing w:val="-1"/>
                <w:sz w:val="20"/>
                <w:szCs w:val="20"/>
              </w:rPr>
              <w:t>2mm</w:t>
            </w:r>
            <w:r>
              <w:rPr>
                <w:spacing w:val="6"/>
                <w:sz w:val="20"/>
                <w:szCs w:val="20"/>
              </w:rPr>
              <w:t>厚高密度聚乙烯防渗膜（覆盖围堰并外延</w:t>
            </w:r>
            <w:r>
              <w:rPr>
                <w:spacing w:val="-39"/>
                <w:sz w:val="20"/>
                <w:szCs w:val="20"/>
              </w:rPr>
              <w:t xml:space="preserve"> </w:t>
            </w:r>
            <w:r>
              <w:rPr>
                <w:rFonts w:ascii="Times New Roman" w:hAnsi="Times New Roman" w:eastAsia="Times New Roman" w:cs="Times New Roman"/>
                <w:spacing w:val="6"/>
                <w:sz w:val="20"/>
                <w:szCs w:val="20"/>
              </w:rPr>
              <w:t>0.5m</w:t>
            </w:r>
            <w:r>
              <w:rPr>
                <w:rFonts w:ascii="Times New Roman" w:hAnsi="Times New Roman" w:eastAsia="Times New Roman" w:cs="Times New Roman"/>
                <w:spacing w:val="35"/>
                <w:sz w:val="20"/>
                <w:szCs w:val="20"/>
              </w:rPr>
              <w:t xml:space="preserve"> </w:t>
            </w:r>
            <w:r>
              <w:rPr>
                <w:spacing w:val="6"/>
                <w:sz w:val="20"/>
                <w:szCs w:val="20"/>
              </w:rPr>
              <w:t>以上</w:t>
            </w:r>
            <w:r>
              <w:rPr>
                <w:spacing w:val="-22"/>
                <w:sz w:val="20"/>
                <w:szCs w:val="20"/>
              </w:rPr>
              <w:t>），</w:t>
            </w:r>
            <w:r>
              <w:rPr>
                <w:spacing w:val="5"/>
                <w:sz w:val="20"/>
                <w:szCs w:val="20"/>
              </w:rPr>
              <w:t>等效黏土防渗层</w:t>
            </w:r>
            <w:r>
              <w:rPr>
                <w:spacing w:val="-30"/>
                <w:sz w:val="20"/>
                <w:szCs w:val="20"/>
              </w:rPr>
              <w:t xml:space="preserve"> </w:t>
            </w:r>
            <w:r>
              <w:rPr>
                <w:rFonts w:ascii="Times New Roman" w:hAnsi="Times New Roman" w:eastAsia="Times New Roman" w:cs="Times New Roman"/>
                <w:sz w:val="20"/>
                <w:szCs w:val="20"/>
              </w:rPr>
              <w:t>Mb</w:t>
            </w:r>
            <w:r>
              <w:rPr>
                <w:rFonts w:ascii="Times New Roman" w:hAnsi="Times New Roman" w:eastAsia="Times New Roman" w:cs="Times New Roman"/>
                <w:spacing w:val="5"/>
                <w:sz w:val="20"/>
                <w:szCs w:val="20"/>
              </w:rPr>
              <w:t>≥6.0m</w:t>
            </w:r>
            <w:r>
              <w:rPr>
                <w:rFonts w:ascii="Times New Roman" w:hAnsi="Times New Roman" w:eastAsia="Times New Roman" w:cs="Times New Roman"/>
                <w:spacing w:val="-24"/>
                <w:sz w:val="20"/>
                <w:szCs w:val="20"/>
              </w:rPr>
              <w:t xml:space="preserve"> </w:t>
            </w:r>
            <w:r>
              <w:rPr>
                <w:spacing w:val="5"/>
                <w:sz w:val="20"/>
                <w:szCs w:val="20"/>
              </w:rPr>
              <w:t>，</w:t>
            </w:r>
            <w:r>
              <w:rPr>
                <w:rFonts w:ascii="Times New Roman" w:hAnsi="Times New Roman" w:eastAsia="Times New Roman" w:cs="Times New Roman"/>
                <w:spacing w:val="5"/>
                <w:sz w:val="20"/>
                <w:szCs w:val="20"/>
              </w:rPr>
              <w:t>K≤1×10</w:t>
            </w:r>
            <w:r>
              <w:rPr>
                <w:rFonts w:ascii="Times New Roman" w:hAnsi="Times New Roman" w:eastAsia="Times New Roman" w:cs="Times New Roman"/>
                <w:spacing w:val="5"/>
                <w:position w:val="6"/>
                <w:sz w:val="13"/>
                <w:szCs w:val="13"/>
              </w:rPr>
              <w:t>-10</w:t>
            </w:r>
            <w:r>
              <w:rPr>
                <w:rFonts w:ascii="Times New Roman" w:hAnsi="Times New Roman" w:eastAsia="Times New Roman" w:cs="Times New Roman"/>
                <w:sz w:val="20"/>
                <w:szCs w:val="20"/>
              </w:rPr>
              <w:t>cm</w:t>
            </w:r>
            <w:r>
              <w:rPr>
                <w:rFonts w:ascii="Times New Roman" w:hAnsi="Times New Roman" w:eastAsia="Times New Roman" w:cs="Times New Roman"/>
                <w:spacing w:val="5"/>
                <w:sz w:val="20"/>
                <w:szCs w:val="20"/>
              </w:rPr>
              <w:t>/s</w:t>
            </w:r>
            <w:r>
              <w:rPr>
                <w:spacing w:val="5"/>
                <w:sz w:val="20"/>
                <w:szCs w:val="20"/>
              </w:rPr>
              <w:t>。</w:t>
            </w:r>
          </w:p>
        </w:tc>
        <w:tc>
          <w:tcPr>
            <w:tcW w:w="825" w:type="dxa"/>
            <w:tcBorders>
              <w:right w:val="single" w:color="000000" w:sz="6" w:space="0"/>
            </w:tcBorders>
            <w:vAlign w:val="top"/>
          </w:tcPr>
          <w:p w14:paraId="5787C07F">
            <w:pPr>
              <w:spacing w:line="278" w:lineRule="auto"/>
              <w:rPr>
                <w:rFonts w:ascii="Arial"/>
                <w:sz w:val="21"/>
              </w:rPr>
            </w:pPr>
          </w:p>
          <w:p w14:paraId="48BD7E72">
            <w:pPr>
              <w:spacing w:line="279" w:lineRule="auto"/>
              <w:rPr>
                <w:rFonts w:ascii="Arial"/>
                <w:sz w:val="21"/>
              </w:rPr>
            </w:pPr>
          </w:p>
          <w:p w14:paraId="775244D7">
            <w:pPr>
              <w:spacing w:before="57" w:line="195" w:lineRule="auto"/>
              <w:ind w:left="2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r>
      <w:tr w14:paraId="5BC4BA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7" w:hRule="atLeast"/>
        </w:trPr>
        <w:tc>
          <w:tcPr>
            <w:tcW w:w="486" w:type="dxa"/>
            <w:vMerge w:val="continue"/>
            <w:tcBorders>
              <w:top w:val="nil"/>
              <w:left w:val="single" w:color="000000" w:sz="6" w:space="0"/>
              <w:bottom w:val="nil"/>
            </w:tcBorders>
            <w:vAlign w:val="top"/>
          </w:tcPr>
          <w:p w14:paraId="4ECA2547">
            <w:pPr>
              <w:rPr>
                <w:rFonts w:ascii="Arial"/>
                <w:sz w:val="21"/>
              </w:rPr>
            </w:pPr>
          </w:p>
        </w:tc>
        <w:tc>
          <w:tcPr>
            <w:tcW w:w="620" w:type="dxa"/>
            <w:vMerge w:val="continue"/>
            <w:tcBorders>
              <w:top w:val="nil"/>
              <w:bottom w:val="nil"/>
            </w:tcBorders>
            <w:vAlign w:val="top"/>
          </w:tcPr>
          <w:p w14:paraId="62F3709F">
            <w:pPr>
              <w:rPr>
                <w:rFonts w:ascii="Arial"/>
                <w:sz w:val="21"/>
              </w:rPr>
            </w:pPr>
          </w:p>
        </w:tc>
        <w:tc>
          <w:tcPr>
            <w:tcW w:w="667" w:type="dxa"/>
            <w:vMerge w:val="continue"/>
            <w:tcBorders>
              <w:top w:val="nil"/>
              <w:bottom w:val="nil"/>
            </w:tcBorders>
            <w:vAlign w:val="top"/>
          </w:tcPr>
          <w:p w14:paraId="0570CE78">
            <w:pPr>
              <w:rPr>
                <w:rFonts w:ascii="Arial"/>
                <w:sz w:val="21"/>
              </w:rPr>
            </w:pPr>
          </w:p>
        </w:tc>
        <w:tc>
          <w:tcPr>
            <w:tcW w:w="1089" w:type="dxa"/>
            <w:vAlign w:val="top"/>
          </w:tcPr>
          <w:p w14:paraId="21470CA5">
            <w:pPr>
              <w:spacing w:line="257" w:lineRule="auto"/>
              <w:rPr>
                <w:rFonts w:ascii="Arial"/>
                <w:sz w:val="21"/>
              </w:rPr>
            </w:pPr>
          </w:p>
          <w:p w14:paraId="5BAAF6D6">
            <w:pPr>
              <w:spacing w:line="257" w:lineRule="auto"/>
              <w:rPr>
                <w:rFonts w:ascii="Arial"/>
                <w:sz w:val="21"/>
              </w:rPr>
            </w:pPr>
          </w:p>
          <w:p w14:paraId="6EF61CAD">
            <w:pPr>
              <w:pStyle w:val="6"/>
              <w:spacing w:before="65" w:line="256" w:lineRule="auto"/>
              <w:ind w:left="455" w:right="128" w:hanging="326"/>
              <w:rPr>
                <w:sz w:val="20"/>
                <w:szCs w:val="20"/>
              </w:rPr>
            </w:pPr>
            <w:r>
              <w:rPr>
                <w:spacing w:val="6"/>
                <w:sz w:val="20"/>
                <w:szCs w:val="20"/>
              </w:rPr>
              <w:t>一般防渗</w:t>
            </w:r>
            <w:r>
              <w:rPr>
                <w:sz w:val="20"/>
                <w:szCs w:val="20"/>
              </w:rPr>
              <w:t>区</w:t>
            </w:r>
          </w:p>
        </w:tc>
        <w:tc>
          <w:tcPr>
            <w:tcW w:w="5214" w:type="dxa"/>
            <w:vAlign w:val="top"/>
          </w:tcPr>
          <w:p w14:paraId="54AE7611">
            <w:pPr>
              <w:pStyle w:val="6"/>
              <w:spacing w:before="41" w:line="244" w:lineRule="auto"/>
              <w:ind w:left="105" w:right="101" w:firstLine="8"/>
              <w:rPr>
                <w:sz w:val="20"/>
                <w:szCs w:val="20"/>
              </w:rPr>
            </w:pPr>
            <w:r>
              <w:rPr>
                <w:spacing w:val="8"/>
                <w:sz w:val="20"/>
                <w:szCs w:val="20"/>
              </w:rPr>
              <w:t>原材料堆存区、可移动废水罐、移动厕所等为一般防渗</w:t>
            </w:r>
            <w:r>
              <w:rPr>
                <w:spacing w:val="9"/>
                <w:sz w:val="20"/>
                <w:szCs w:val="20"/>
              </w:rPr>
              <w:t>区，原材料堆存区、可移动废水罐等四周加设高度为</w:t>
            </w:r>
            <w:r>
              <w:rPr>
                <w:spacing w:val="8"/>
                <w:sz w:val="20"/>
                <w:szCs w:val="20"/>
              </w:rPr>
              <w:t xml:space="preserve"> </w:t>
            </w:r>
            <w:r>
              <w:rPr>
                <w:rFonts w:ascii="Times New Roman" w:hAnsi="Times New Roman" w:eastAsia="Times New Roman" w:cs="Times New Roman"/>
                <w:spacing w:val="6"/>
                <w:sz w:val="20"/>
                <w:szCs w:val="20"/>
              </w:rPr>
              <w:t>20</w:t>
            </w:r>
            <w:r>
              <w:rPr>
                <w:rFonts w:ascii="Times New Roman" w:hAnsi="Times New Roman" w:eastAsia="Times New Roman" w:cs="Times New Roman"/>
                <w:sz w:val="20"/>
                <w:szCs w:val="20"/>
              </w:rPr>
              <w:t>cm</w:t>
            </w:r>
            <w:r>
              <w:rPr>
                <w:rFonts w:ascii="Times New Roman" w:hAnsi="Times New Roman" w:eastAsia="Times New Roman" w:cs="Times New Roman"/>
                <w:spacing w:val="46"/>
                <w:w w:val="101"/>
                <w:sz w:val="20"/>
                <w:szCs w:val="20"/>
              </w:rPr>
              <w:t xml:space="preserve"> </w:t>
            </w:r>
            <w:r>
              <w:rPr>
                <w:spacing w:val="6"/>
                <w:sz w:val="20"/>
                <w:szCs w:val="20"/>
              </w:rPr>
              <w:t>的围堰，铺设双层</w:t>
            </w:r>
            <w:r>
              <w:rPr>
                <w:spacing w:val="-23"/>
                <w:sz w:val="20"/>
                <w:szCs w:val="20"/>
              </w:rPr>
              <w:t xml:space="preserve"> </w:t>
            </w:r>
            <w:r>
              <w:rPr>
                <w:rFonts w:ascii="Times New Roman" w:hAnsi="Times New Roman" w:eastAsia="Times New Roman" w:cs="Times New Roman"/>
                <w:spacing w:val="6"/>
                <w:sz w:val="20"/>
                <w:szCs w:val="20"/>
              </w:rPr>
              <w:t>1.5</w:t>
            </w:r>
            <w:r>
              <w:rPr>
                <w:rFonts w:ascii="Times New Roman" w:hAnsi="Times New Roman" w:eastAsia="Times New Roman" w:cs="Times New Roman"/>
                <w:sz w:val="20"/>
                <w:szCs w:val="20"/>
              </w:rPr>
              <w:t>mm</w:t>
            </w:r>
            <w:r>
              <w:rPr>
                <w:rFonts w:ascii="Times New Roman" w:hAnsi="Times New Roman" w:eastAsia="Times New Roman" w:cs="Times New Roman"/>
                <w:spacing w:val="19"/>
                <w:w w:val="101"/>
                <w:sz w:val="20"/>
                <w:szCs w:val="20"/>
              </w:rPr>
              <w:t xml:space="preserve"> </w:t>
            </w:r>
            <w:r>
              <w:rPr>
                <w:spacing w:val="6"/>
                <w:sz w:val="20"/>
                <w:szCs w:val="20"/>
              </w:rPr>
              <w:t>厚高密度聚乙烯防渗膜（覆盖围堰并外延</w:t>
            </w:r>
            <w:r>
              <w:rPr>
                <w:spacing w:val="-37"/>
                <w:sz w:val="20"/>
                <w:szCs w:val="20"/>
              </w:rPr>
              <w:t xml:space="preserve"> </w:t>
            </w:r>
            <w:r>
              <w:rPr>
                <w:rFonts w:ascii="Times New Roman" w:hAnsi="Times New Roman" w:eastAsia="Times New Roman" w:cs="Times New Roman"/>
                <w:spacing w:val="6"/>
                <w:sz w:val="20"/>
                <w:szCs w:val="20"/>
              </w:rPr>
              <w:t>0.5m</w:t>
            </w:r>
            <w:r>
              <w:rPr>
                <w:rFonts w:ascii="Times New Roman" w:hAnsi="Times New Roman" w:eastAsia="Times New Roman" w:cs="Times New Roman"/>
                <w:spacing w:val="33"/>
                <w:sz w:val="20"/>
                <w:szCs w:val="20"/>
              </w:rPr>
              <w:t xml:space="preserve"> </w:t>
            </w:r>
            <w:r>
              <w:rPr>
                <w:spacing w:val="6"/>
                <w:sz w:val="20"/>
                <w:szCs w:val="20"/>
              </w:rPr>
              <w:t>以上</w:t>
            </w:r>
            <w:r>
              <w:rPr>
                <w:spacing w:val="22"/>
                <w:sz w:val="20"/>
                <w:szCs w:val="20"/>
              </w:rPr>
              <w:t>），</w:t>
            </w:r>
            <w:r>
              <w:rPr>
                <w:spacing w:val="6"/>
                <w:sz w:val="20"/>
                <w:szCs w:val="20"/>
              </w:rPr>
              <w:t>移动厕所为一体化结</w:t>
            </w:r>
            <w:r>
              <w:rPr>
                <w:spacing w:val="10"/>
                <w:sz w:val="20"/>
                <w:szCs w:val="20"/>
              </w:rPr>
              <w:t>构，整体防水密封，等效黏土防渗层</w:t>
            </w:r>
            <w:r>
              <w:rPr>
                <w:rFonts w:ascii="Times New Roman" w:hAnsi="Times New Roman" w:eastAsia="Times New Roman" w:cs="Times New Roman"/>
                <w:sz w:val="20"/>
                <w:szCs w:val="20"/>
              </w:rPr>
              <w:t>Mb</w:t>
            </w:r>
            <w:r>
              <w:rPr>
                <w:spacing w:val="10"/>
                <w:sz w:val="20"/>
                <w:szCs w:val="20"/>
              </w:rPr>
              <w:t>≥</w:t>
            </w:r>
            <w:r>
              <w:rPr>
                <w:rFonts w:ascii="Times New Roman" w:hAnsi="Times New Roman" w:eastAsia="Times New Roman" w:cs="Times New Roman"/>
                <w:spacing w:val="10"/>
                <w:sz w:val="20"/>
                <w:szCs w:val="20"/>
              </w:rPr>
              <w:t>1.5m</w:t>
            </w:r>
            <w:r>
              <w:rPr>
                <w:rFonts w:ascii="Times New Roman" w:hAnsi="Times New Roman" w:eastAsia="Times New Roman" w:cs="Times New Roman"/>
                <w:spacing w:val="-13"/>
                <w:sz w:val="20"/>
                <w:szCs w:val="20"/>
              </w:rPr>
              <w:t xml:space="preserve"> </w:t>
            </w:r>
            <w:r>
              <w:rPr>
                <w:spacing w:val="10"/>
                <w:sz w:val="20"/>
                <w:szCs w:val="20"/>
              </w:rPr>
              <w:t>，</w:t>
            </w:r>
            <w:r>
              <w:rPr>
                <w:rFonts w:ascii="Times New Roman" w:hAnsi="Times New Roman" w:eastAsia="Times New Roman" w:cs="Times New Roman"/>
                <w:spacing w:val="10"/>
                <w:sz w:val="20"/>
                <w:szCs w:val="20"/>
              </w:rPr>
              <w:t>K</w:t>
            </w:r>
            <w:r>
              <w:rPr>
                <w:spacing w:val="10"/>
                <w:sz w:val="20"/>
                <w:szCs w:val="20"/>
              </w:rPr>
              <w:t>≤</w:t>
            </w:r>
            <w:r>
              <w:rPr>
                <w:sz w:val="20"/>
                <w:szCs w:val="20"/>
              </w:rPr>
              <w:t xml:space="preserve"> </w:t>
            </w:r>
            <w:r>
              <w:rPr>
                <w:rFonts w:ascii="Times New Roman" w:hAnsi="Times New Roman" w:eastAsia="Times New Roman" w:cs="Times New Roman"/>
                <w:spacing w:val="4"/>
                <w:sz w:val="20"/>
                <w:szCs w:val="20"/>
              </w:rPr>
              <w:t>1×10</w:t>
            </w:r>
            <w:r>
              <w:rPr>
                <w:rFonts w:ascii="Times New Roman" w:hAnsi="Times New Roman" w:eastAsia="Times New Roman" w:cs="Times New Roman"/>
                <w:spacing w:val="4"/>
                <w:position w:val="6"/>
                <w:sz w:val="13"/>
                <w:szCs w:val="13"/>
              </w:rPr>
              <w:t>-7</w:t>
            </w:r>
            <w:r>
              <w:rPr>
                <w:rFonts w:ascii="Times New Roman" w:hAnsi="Times New Roman" w:eastAsia="Times New Roman" w:cs="Times New Roman"/>
                <w:sz w:val="20"/>
                <w:szCs w:val="20"/>
              </w:rPr>
              <w:t>cm</w:t>
            </w:r>
            <w:r>
              <w:rPr>
                <w:rFonts w:ascii="Times New Roman" w:hAnsi="Times New Roman" w:eastAsia="Times New Roman" w:cs="Times New Roman"/>
                <w:spacing w:val="4"/>
                <w:sz w:val="20"/>
                <w:szCs w:val="20"/>
              </w:rPr>
              <w:t>/s</w:t>
            </w:r>
            <w:r>
              <w:rPr>
                <w:spacing w:val="4"/>
                <w:sz w:val="20"/>
                <w:szCs w:val="20"/>
              </w:rPr>
              <w:t>。</w:t>
            </w:r>
          </w:p>
        </w:tc>
        <w:tc>
          <w:tcPr>
            <w:tcW w:w="825" w:type="dxa"/>
            <w:tcBorders>
              <w:right w:val="single" w:color="000000" w:sz="6" w:space="0"/>
            </w:tcBorders>
            <w:vAlign w:val="top"/>
          </w:tcPr>
          <w:p w14:paraId="43FB745F">
            <w:pPr>
              <w:spacing w:line="346" w:lineRule="auto"/>
              <w:rPr>
                <w:rFonts w:ascii="Arial"/>
                <w:sz w:val="21"/>
              </w:rPr>
            </w:pPr>
          </w:p>
          <w:p w14:paraId="7ED604F6">
            <w:pPr>
              <w:spacing w:line="346" w:lineRule="auto"/>
              <w:rPr>
                <w:rFonts w:ascii="Arial"/>
                <w:sz w:val="21"/>
              </w:rPr>
            </w:pPr>
          </w:p>
          <w:p w14:paraId="184479E7">
            <w:pPr>
              <w:spacing w:before="58"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r>
      <w:tr w14:paraId="767A9F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86" w:type="dxa"/>
            <w:vMerge w:val="continue"/>
            <w:tcBorders>
              <w:top w:val="nil"/>
              <w:left w:val="single" w:color="000000" w:sz="6" w:space="0"/>
              <w:bottom w:val="nil"/>
            </w:tcBorders>
            <w:vAlign w:val="top"/>
          </w:tcPr>
          <w:p w14:paraId="77823098">
            <w:pPr>
              <w:rPr>
                <w:rFonts w:ascii="Arial"/>
                <w:sz w:val="21"/>
              </w:rPr>
            </w:pPr>
          </w:p>
        </w:tc>
        <w:tc>
          <w:tcPr>
            <w:tcW w:w="620" w:type="dxa"/>
            <w:vMerge w:val="continue"/>
            <w:tcBorders>
              <w:top w:val="nil"/>
              <w:bottom w:val="nil"/>
            </w:tcBorders>
            <w:vAlign w:val="top"/>
          </w:tcPr>
          <w:p w14:paraId="421EC3DD">
            <w:pPr>
              <w:rPr>
                <w:rFonts w:ascii="Arial"/>
                <w:sz w:val="21"/>
              </w:rPr>
            </w:pPr>
          </w:p>
        </w:tc>
        <w:tc>
          <w:tcPr>
            <w:tcW w:w="667" w:type="dxa"/>
            <w:vMerge w:val="continue"/>
            <w:tcBorders>
              <w:top w:val="nil"/>
            </w:tcBorders>
            <w:vAlign w:val="top"/>
          </w:tcPr>
          <w:p w14:paraId="6C240DB8">
            <w:pPr>
              <w:rPr>
                <w:rFonts w:ascii="Arial"/>
                <w:sz w:val="21"/>
              </w:rPr>
            </w:pPr>
          </w:p>
        </w:tc>
        <w:tc>
          <w:tcPr>
            <w:tcW w:w="1089" w:type="dxa"/>
            <w:vAlign w:val="top"/>
          </w:tcPr>
          <w:p w14:paraId="2B1F4ECD">
            <w:pPr>
              <w:pStyle w:val="6"/>
              <w:spacing w:before="40" w:line="230" w:lineRule="auto"/>
              <w:ind w:left="454" w:right="128" w:hanging="325"/>
              <w:rPr>
                <w:sz w:val="20"/>
                <w:szCs w:val="20"/>
              </w:rPr>
            </w:pPr>
            <w:r>
              <w:rPr>
                <w:spacing w:val="6"/>
                <w:sz w:val="20"/>
                <w:szCs w:val="20"/>
              </w:rPr>
              <w:t>简易防渗</w:t>
            </w:r>
            <w:r>
              <w:rPr>
                <w:sz w:val="20"/>
                <w:szCs w:val="20"/>
              </w:rPr>
              <w:t>区</w:t>
            </w:r>
          </w:p>
        </w:tc>
        <w:tc>
          <w:tcPr>
            <w:tcW w:w="5214" w:type="dxa"/>
            <w:vAlign w:val="top"/>
          </w:tcPr>
          <w:p w14:paraId="1AB95E3D">
            <w:pPr>
              <w:pStyle w:val="6"/>
              <w:spacing w:before="175" w:line="227" w:lineRule="auto"/>
              <w:ind w:left="113"/>
              <w:rPr>
                <w:sz w:val="20"/>
                <w:szCs w:val="20"/>
              </w:rPr>
            </w:pPr>
            <w:r>
              <w:rPr>
                <w:spacing w:val="9"/>
                <w:sz w:val="20"/>
                <w:szCs w:val="20"/>
              </w:rPr>
              <w:t>办公室、值班室、机房等采用压实方式进行</w:t>
            </w:r>
            <w:r>
              <w:rPr>
                <w:spacing w:val="8"/>
                <w:sz w:val="20"/>
                <w:szCs w:val="20"/>
              </w:rPr>
              <w:t>防渗。</w:t>
            </w:r>
          </w:p>
        </w:tc>
        <w:tc>
          <w:tcPr>
            <w:tcW w:w="825" w:type="dxa"/>
            <w:tcBorders>
              <w:right w:val="single" w:color="000000" w:sz="6" w:space="0"/>
            </w:tcBorders>
            <w:vAlign w:val="top"/>
          </w:tcPr>
          <w:p w14:paraId="4FB98C9E">
            <w:pPr>
              <w:spacing w:before="211" w:line="195" w:lineRule="auto"/>
              <w:ind w:left="315"/>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r>
      <w:tr w14:paraId="218B2A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486" w:type="dxa"/>
            <w:vMerge w:val="continue"/>
            <w:tcBorders>
              <w:top w:val="nil"/>
              <w:left w:val="single" w:color="000000" w:sz="6" w:space="0"/>
              <w:bottom w:val="nil"/>
            </w:tcBorders>
            <w:vAlign w:val="top"/>
          </w:tcPr>
          <w:p w14:paraId="5EE765FF">
            <w:pPr>
              <w:rPr>
                <w:rFonts w:ascii="Arial"/>
                <w:sz w:val="21"/>
              </w:rPr>
            </w:pPr>
          </w:p>
        </w:tc>
        <w:tc>
          <w:tcPr>
            <w:tcW w:w="620" w:type="dxa"/>
            <w:vMerge w:val="continue"/>
            <w:tcBorders>
              <w:top w:val="nil"/>
            </w:tcBorders>
            <w:vAlign w:val="top"/>
          </w:tcPr>
          <w:p w14:paraId="2F67FF2C">
            <w:pPr>
              <w:rPr>
                <w:rFonts w:ascii="Arial"/>
                <w:sz w:val="21"/>
              </w:rPr>
            </w:pPr>
          </w:p>
        </w:tc>
        <w:tc>
          <w:tcPr>
            <w:tcW w:w="1756" w:type="dxa"/>
            <w:gridSpan w:val="2"/>
            <w:vAlign w:val="top"/>
          </w:tcPr>
          <w:p w14:paraId="6AB94073">
            <w:pPr>
              <w:spacing w:line="246" w:lineRule="auto"/>
              <w:rPr>
                <w:rFonts w:ascii="Arial"/>
                <w:sz w:val="21"/>
              </w:rPr>
            </w:pPr>
          </w:p>
          <w:p w14:paraId="4DA4A3A7">
            <w:pPr>
              <w:pStyle w:val="6"/>
              <w:spacing w:before="65" w:line="228" w:lineRule="auto"/>
              <w:ind w:left="459"/>
              <w:rPr>
                <w:sz w:val="20"/>
                <w:szCs w:val="20"/>
              </w:rPr>
            </w:pPr>
            <w:r>
              <w:rPr>
                <w:spacing w:val="7"/>
                <w:sz w:val="20"/>
                <w:szCs w:val="20"/>
              </w:rPr>
              <w:t>环境风险</w:t>
            </w:r>
          </w:p>
        </w:tc>
        <w:tc>
          <w:tcPr>
            <w:tcW w:w="5214" w:type="dxa"/>
            <w:vAlign w:val="top"/>
          </w:tcPr>
          <w:p w14:paraId="4939979D">
            <w:pPr>
              <w:pStyle w:val="6"/>
              <w:spacing w:before="40" w:line="237" w:lineRule="auto"/>
              <w:ind w:left="111" w:right="101"/>
              <w:jc w:val="both"/>
              <w:rPr>
                <w:sz w:val="20"/>
                <w:szCs w:val="20"/>
              </w:rPr>
            </w:pPr>
            <w:r>
              <w:rPr>
                <w:spacing w:val="8"/>
                <w:sz w:val="20"/>
                <w:szCs w:val="20"/>
              </w:rPr>
              <w:t>成立环境风险管理机构，安装防井喷装置，落实各项风险应急物资，制定钻井现场井喷、火灾等处置方案并定</w:t>
            </w:r>
            <w:r>
              <w:rPr>
                <w:spacing w:val="6"/>
                <w:sz w:val="20"/>
                <w:szCs w:val="20"/>
              </w:rPr>
              <w:t>期进行演练。</w:t>
            </w:r>
          </w:p>
        </w:tc>
        <w:tc>
          <w:tcPr>
            <w:tcW w:w="825" w:type="dxa"/>
            <w:tcBorders>
              <w:right w:val="single" w:color="000000" w:sz="6" w:space="0"/>
            </w:tcBorders>
            <w:vAlign w:val="top"/>
          </w:tcPr>
          <w:p w14:paraId="5176BD78">
            <w:pPr>
              <w:spacing w:line="289" w:lineRule="auto"/>
              <w:rPr>
                <w:rFonts w:ascii="Arial"/>
                <w:sz w:val="21"/>
              </w:rPr>
            </w:pPr>
          </w:p>
          <w:p w14:paraId="37AB6D26">
            <w:pPr>
              <w:spacing w:before="58" w:line="195" w:lineRule="auto"/>
              <w:ind w:left="315"/>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r>
      <w:tr w14:paraId="0A8275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86" w:type="dxa"/>
            <w:vMerge w:val="continue"/>
            <w:tcBorders>
              <w:top w:val="nil"/>
              <w:left w:val="single" w:color="000000" w:sz="6" w:space="0"/>
              <w:bottom w:val="nil"/>
            </w:tcBorders>
            <w:vAlign w:val="top"/>
          </w:tcPr>
          <w:p w14:paraId="1B23F903">
            <w:pPr>
              <w:rPr>
                <w:rFonts w:ascii="Arial"/>
                <w:sz w:val="21"/>
              </w:rPr>
            </w:pPr>
          </w:p>
        </w:tc>
        <w:tc>
          <w:tcPr>
            <w:tcW w:w="620" w:type="dxa"/>
            <w:vMerge w:val="restart"/>
            <w:tcBorders>
              <w:bottom w:val="nil"/>
            </w:tcBorders>
            <w:textDirection w:val="tbRlV"/>
            <w:vAlign w:val="top"/>
          </w:tcPr>
          <w:p w14:paraId="3ECD1C05">
            <w:pPr>
              <w:pStyle w:val="6"/>
              <w:spacing w:before="155" w:line="217" w:lineRule="auto"/>
              <w:ind w:left="773"/>
              <w:rPr>
                <w:sz w:val="20"/>
                <w:szCs w:val="20"/>
              </w:rPr>
            </w:pPr>
            <w:r>
              <w:rPr>
                <w:spacing w:val="8"/>
                <w:sz w:val="20"/>
                <w:szCs w:val="20"/>
              </w:rPr>
              <w:t>封</w:t>
            </w:r>
            <w:r>
              <w:rPr>
                <w:spacing w:val="-37"/>
                <w:sz w:val="20"/>
                <w:szCs w:val="20"/>
              </w:rPr>
              <w:t xml:space="preserve"> </w:t>
            </w:r>
            <w:r>
              <w:rPr>
                <w:spacing w:val="8"/>
                <w:sz w:val="20"/>
                <w:szCs w:val="20"/>
              </w:rPr>
              <w:t>井</w:t>
            </w:r>
            <w:r>
              <w:rPr>
                <w:spacing w:val="-37"/>
                <w:sz w:val="20"/>
                <w:szCs w:val="20"/>
              </w:rPr>
              <w:t xml:space="preserve"> </w:t>
            </w:r>
            <w:r>
              <w:rPr>
                <w:spacing w:val="8"/>
                <w:sz w:val="20"/>
                <w:szCs w:val="20"/>
              </w:rPr>
              <w:t>后</w:t>
            </w:r>
          </w:p>
        </w:tc>
        <w:tc>
          <w:tcPr>
            <w:tcW w:w="1756" w:type="dxa"/>
            <w:gridSpan w:val="2"/>
            <w:vMerge w:val="restart"/>
            <w:tcBorders>
              <w:bottom w:val="nil"/>
            </w:tcBorders>
            <w:vAlign w:val="top"/>
          </w:tcPr>
          <w:p w14:paraId="467F26BB">
            <w:pPr>
              <w:spacing w:line="281" w:lineRule="auto"/>
              <w:rPr>
                <w:rFonts w:ascii="Arial"/>
                <w:sz w:val="21"/>
              </w:rPr>
            </w:pPr>
          </w:p>
          <w:p w14:paraId="53BAE06D">
            <w:pPr>
              <w:spacing w:line="282" w:lineRule="auto"/>
              <w:rPr>
                <w:rFonts w:ascii="Arial"/>
                <w:sz w:val="21"/>
              </w:rPr>
            </w:pPr>
          </w:p>
          <w:p w14:paraId="6D8FEE57">
            <w:pPr>
              <w:pStyle w:val="6"/>
              <w:spacing w:before="65" w:line="228" w:lineRule="auto"/>
              <w:ind w:left="460"/>
              <w:rPr>
                <w:sz w:val="20"/>
                <w:szCs w:val="20"/>
              </w:rPr>
            </w:pPr>
            <w:r>
              <w:rPr>
                <w:spacing w:val="6"/>
                <w:sz w:val="20"/>
                <w:szCs w:val="20"/>
              </w:rPr>
              <w:t>生态环境</w:t>
            </w:r>
          </w:p>
        </w:tc>
        <w:tc>
          <w:tcPr>
            <w:tcW w:w="5214" w:type="dxa"/>
            <w:vAlign w:val="top"/>
          </w:tcPr>
          <w:p w14:paraId="4822B42C">
            <w:pPr>
              <w:pStyle w:val="6"/>
              <w:spacing w:before="82" w:line="247" w:lineRule="auto"/>
              <w:ind w:left="122" w:right="98" w:hanging="14"/>
              <w:rPr>
                <w:sz w:val="20"/>
                <w:szCs w:val="20"/>
              </w:rPr>
            </w:pPr>
            <w:r>
              <w:rPr>
                <w:spacing w:val="8"/>
                <w:sz w:val="20"/>
                <w:szCs w:val="20"/>
              </w:rPr>
              <w:t>表土剥离，剥离厚度为</w:t>
            </w:r>
            <w:r>
              <w:rPr>
                <w:spacing w:val="-37"/>
                <w:sz w:val="20"/>
                <w:szCs w:val="20"/>
              </w:rPr>
              <w:t xml:space="preserve"> </w:t>
            </w:r>
            <w:r>
              <w:rPr>
                <w:rFonts w:ascii="Times New Roman" w:hAnsi="Times New Roman" w:eastAsia="Times New Roman" w:cs="Times New Roman"/>
                <w:spacing w:val="8"/>
                <w:sz w:val="20"/>
                <w:szCs w:val="20"/>
              </w:rPr>
              <w:t>0.30m</w:t>
            </w:r>
            <w:r>
              <w:rPr>
                <w:rFonts w:ascii="Times New Roman" w:hAnsi="Times New Roman" w:eastAsia="Times New Roman" w:cs="Times New Roman"/>
                <w:spacing w:val="-23"/>
                <w:sz w:val="20"/>
                <w:szCs w:val="20"/>
              </w:rPr>
              <w:t xml:space="preserve"> </w:t>
            </w:r>
            <w:r>
              <w:rPr>
                <w:spacing w:val="8"/>
                <w:sz w:val="20"/>
                <w:szCs w:val="20"/>
              </w:rPr>
              <w:t>。在表土堆存期间</w:t>
            </w:r>
            <w:r>
              <w:rPr>
                <w:spacing w:val="7"/>
                <w:sz w:val="20"/>
                <w:szCs w:val="20"/>
              </w:rPr>
              <w:t>，为了</w:t>
            </w:r>
            <w:r>
              <w:rPr>
                <w:spacing w:val="8"/>
                <w:sz w:val="20"/>
                <w:szCs w:val="20"/>
              </w:rPr>
              <w:t>防止水力与风力的侵蚀，用密目网遮盖。</w:t>
            </w:r>
          </w:p>
        </w:tc>
        <w:tc>
          <w:tcPr>
            <w:tcW w:w="825" w:type="dxa"/>
            <w:tcBorders>
              <w:right w:val="single" w:color="000000" w:sz="6" w:space="0"/>
            </w:tcBorders>
            <w:vAlign w:val="top"/>
          </w:tcPr>
          <w:p w14:paraId="628C3B86">
            <w:pPr>
              <w:spacing w:before="255" w:line="195" w:lineRule="auto"/>
              <w:ind w:left="31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14:paraId="114F21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486" w:type="dxa"/>
            <w:vMerge w:val="continue"/>
            <w:tcBorders>
              <w:top w:val="nil"/>
              <w:left w:val="single" w:color="000000" w:sz="6" w:space="0"/>
              <w:bottom w:val="nil"/>
            </w:tcBorders>
            <w:vAlign w:val="top"/>
          </w:tcPr>
          <w:p w14:paraId="26B6CDAF">
            <w:pPr>
              <w:rPr>
                <w:rFonts w:ascii="Arial"/>
                <w:sz w:val="21"/>
              </w:rPr>
            </w:pPr>
          </w:p>
        </w:tc>
        <w:tc>
          <w:tcPr>
            <w:tcW w:w="620" w:type="dxa"/>
            <w:vMerge w:val="continue"/>
            <w:tcBorders>
              <w:top w:val="nil"/>
              <w:bottom w:val="nil"/>
            </w:tcBorders>
            <w:textDirection w:val="tbRlV"/>
            <w:vAlign w:val="top"/>
          </w:tcPr>
          <w:p w14:paraId="562E0D5C">
            <w:pPr>
              <w:rPr>
                <w:rFonts w:ascii="Arial"/>
                <w:sz w:val="21"/>
              </w:rPr>
            </w:pPr>
          </w:p>
        </w:tc>
        <w:tc>
          <w:tcPr>
            <w:tcW w:w="1756" w:type="dxa"/>
            <w:gridSpan w:val="2"/>
            <w:vMerge w:val="continue"/>
            <w:tcBorders>
              <w:top w:val="nil"/>
            </w:tcBorders>
            <w:vAlign w:val="top"/>
          </w:tcPr>
          <w:p w14:paraId="5DFD3F75">
            <w:pPr>
              <w:rPr>
                <w:rFonts w:ascii="Arial"/>
                <w:sz w:val="21"/>
              </w:rPr>
            </w:pPr>
          </w:p>
        </w:tc>
        <w:tc>
          <w:tcPr>
            <w:tcW w:w="5214" w:type="dxa"/>
            <w:vAlign w:val="top"/>
          </w:tcPr>
          <w:p w14:paraId="6CAC5894">
            <w:pPr>
              <w:pStyle w:val="6"/>
              <w:spacing w:before="44" w:line="228" w:lineRule="auto"/>
              <w:ind w:left="110"/>
              <w:rPr>
                <w:sz w:val="20"/>
                <w:szCs w:val="20"/>
              </w:rPr>
            </w:pPr>
            <w:r>
              <w:rPr>
                <w:spacing w:val="8"/>
                <w:sz w:val="20"/>
                <w:szCs w:val="20"/>
              </w:rPr>
              <w:t>严格限制施工作业范围，禁止破坏施工作业外的地表植</w:t>
            </w:r>
          </w:p>
          <w:p w14:paraId="03DD0BDA">
            <w:pPr>
              <w:pStyle w:val="6"/>
              <w:spacing w:before="24" w:line="227" w:lineRule="auto"/>
              <w:ind w:left="109"/>
              <w:rPr>
                <w:sz w:val="20"/>
                <w:szCs w:val="20"/>
              </w:rPr>
            </w:pPr>
            <w:r>
              <w:rPr>
                <w:spacing w:val="8"/>
                <w:sz w:val="20"/>
                <w:szCs w:val="20"/>
              </w:rPr>
              <w:t>被。井场、井场道路等临时占地封井后恢复原貌，进行</w:t>
            </w:r>
          </w:p>
          <w:p w14:paraId="4A694417">
            <w:pPr>
              <w:pStyle w:val="6"/>
              <w:spacing w:before="25" w:line="207" w:lineRule="auto"/>
              <w:ind w:left="1039"/>
              <w:rPr>
                <w:sz w:val="20"/>
                <w:szCs w:val="20"/>
              </w:rPr>
            </w:pPr>
            <w:r>
              <w:rPr>
                <w:spacing w:val="8"/>
                <w:sz w:val="20"/>
                <w:szCs w:val="20"/>
              </w:rPr>
              <w:t>植被恢复，满足原土地性质要求。</w:t>
            </w:r>
          </w:p>
        </w:tc>
        <w:tc>
          <w:tcPr>
            <w:tcW w:w="825" w:type="dxa"/>
            <w:tcBorders>
              <w:right w:val="single" w:color="000000" w:sz="6" w:space="0"/>
            </w:tcBorders>
            <w:vAlign w:val="top"/>
          </w:tcPr>
          <w:p w14:paraId="3A3867CB">
            <w:pPr>
              <w:spacing w:line="292" w:lineRule="auto"/>
              <w:rPr>
                <w:rFonts w:ascii="Arial"/>
                <w:sz w:val="21"/>
              </w:rPr>
            </w:pPr>
          </w:p>
          <w:p w14:paraId="123179A4">
            <w:pPr>
              <w:spacing w:before="57" w:line="195" w:lineRule="auto"/>
              <w:ind w:left="2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r>
      <w:tr w14:paraId="7786E4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486" w:type="dxa"/>
            <w:vMerge w:val="continue"/>
            <w:tcBorders>
              <w:top w:val="nil"/>
              <w:left w:val="single" w:color="000000" w:sz="6" w:space="0"/>
              <w:bottom w:val="nil"/>
            </w:tcBorders>
            <w:vAlign w:val="top"/>
          </w:tcPr>
          <w:p w14:paraId="4C6143B2">
            <w:pPr>
              <w:rPr>
                <w:rFonts w:ascii="Arial"/>
                <w:sz w:val="21"/>
              </w:rPr>
            </w:pPr>
          </w:p>
        </w:tc>
        <w:tc>
          <w:tcPr>
            <w:tcW w:w="620" w:type="dxa"/>
            <w:vMerge w:val="continue"/>
            <w:tcBorders>
              <w:top w:val="nil"/>
            </w:tcBorders>
            <w:textDirection w:val="tbRlV"/>
            <w:vAlign w:val="top"/>
          </w:tcPr>
          <w:p w14:paraId="0574E6C4">
            <w:pPr>
              <w:rPr>
                <w:rFonts w:ascii="Arial"/>
                <w:sz w:val="21"/>
              </w:rPr>
            </w:pPr>
          </w:p>
        </w:tc>
        <w:tc>
          <w:tcPr>
            <w:tcW w:w="1756" w:type="dxa"/>
            <w:gridSpan w:val="2"/>
            <w:vAlign w:val="top"/>
          </w:tcPr>
          <w:p w14:paraId="5F864051">
            <w:pPr>
              <w:pStyle w:val="6"/>
              <w:spacing w:before="181" w:line="253" w:lineRule="auto"/>
              <w:ind w:left="771" w:right="145" w:hanging="628"/>
              <w:rPr>
                <w:sz w:val="20"/>
                <w:szCs w:val="20"/>
              </w:rPr>
            </w:pPr>
            <w:r>
              <w:rPr>
                <w:spacing w:val="8"/>
                <w:sz w:val="20"/>
                <w:szCs w:val="20"/>
              </w:rPr>
              <w:t>废弃探孔封孔措</w:t>
            </w:r>
            <w:r>
              <w:rPr>
                <w:spacing w:val="1"/>
                <w:sz w:val="20"/>
                <w:szCs w:val="20"/>
              </w:rPr>
              <w:t>施</w:t>
            </w:r>
          </w:p>
        </w:tc>
        <w:tc>
          <w:tcPr>
            <w:tcW w:w="5214" w:type="dxa"/>
            <w:vAlign w:val="top"/>
          </w:tcPr>
          <w:p w14:paraId="3CC55340">
            <w:pPr>
              <w:pStyle w:val="6"/>
              <w:spacing w:before="44" w:line="236" w:lineRule="auto"/>
              <w:ind w:left="109" w:right="101" w:firstLine="1"/>
              <w:jc w:val="both"/>
              <w:rPr>
                <w:sz w:val="20"/>
                <w:szCs w:val="20"/>
              </w:rPr>
            </w:pPr>
            <w:r>
              <w:rPr>
                <w:spacing w:val="8"/>
                <w:sz w:val="20"/>
                <w:szCs w:val="20"/>
              </w:rPr>
              <w:t>恢复地貌，去掉井口装置和割掉一定深度以上的表层套管，并使废弃井和土地使用的矛盾最小化。并在井眼安</w:t>
            </w:r>
            <w:r>
              <w:rPr>
                <w:spacing w:val="9"/>
                <w:sz w:val="20"/>
                <w:szCs w:val="20"/>
              </w:rPr>
              <w:t>装可供识别的标志，加以保护，防止人为破坏。</w:t>
            </w:r>
          </w:p>
        </w:tc>
        <w:tc>
          <w:tcPr>
            <w:tcW w:w="825" w:type="dxa"/>
            <w:tcBorders>
              <w:right w:val="single" w:color="000000" w:sz="6" w:space="0"/>
            </w:tcBorders>
            <w:vAlign w:val="top"/>
          </w:tcPr>
          <w:p w14:paraId="2DCA0ADF">
            <w:pPr>
              <w:spacing w:line="294" w:lineRule="auto"/>
              <w:rPr>
                <w:rFonts w:ascii="Arial"/>
                <w:sz w:val="21"/>
              </w:rPr>
            </w:pPr>
          </w:p>
          <w:p w14:paraId="163C36AB">
            <w:pPr>
              <w:spacing w:before="58" w:line="192" w:lineRule="auto"/>
              <w:ind w:left="31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14:paraId="6F514F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486" w:type="dxa"/>
            <w:vMerge w:val="continue"/>
            <w:tcBorders>
              <w:top w:val="nil"/>
              <w:left w:val="single" w:color="000000" w:sz="6" w:space="0"/>
              <w:bottom w:val="single" w:color="000000" w:sz="6" w:space="0"/>
            </w:tcBorders>
            <w:vAlign w:val="top"/>
          </w:tcPr>
          <w:p w14:paraId="747CA1FC">
            <w:pPr>
              <w:rPr>
                <w:rFonts w:ascii="Arial"/>
                <w:sz w:val="21"/>
              </w:rPr>
            </w:pPr>
          </w:p>
        </w:tc>
        <w:tc>
          <w:tcPr>
            <w:tcW w:w="7590" w:type="dxa"/>
            <w:gridSpan w:val="4"/>
            <w:tcBorders>
              <w:bottom w:val="single" w:color="000000" w:sz="6" w:space="0"/>
            </w:tcBorders>
            <w:vAlign w:val="top"/>
          </w:tcPr>
          <w:p w14:paraId="00F055CC">
            <w:pPr>
              <w:pStyle w:val="6"/>
              <w:spacing w:before="221" w:line="229" w:lineRule="auto"/>
              <w:ind w:left="3645"/>
              <w:rPr>
                <w:sz w:val="20"/>
                <w:szCs w:val="20"/>
              </w:rPr>
            </w:pPr>
            <w:r>
              <w:rPr>
                <w:spacing w:val="4"/>
                <w:sz w:val="20"/>
                <w:szCs w:val="20"/>
              </w:rPr>
              <w:t>合计</w:t>
            </w:r>
          </w:p>
        </w:tc>
        <w:tc>
          <w:tcPr>
            <w:tcW w:w="825" w:type="dxa"/>
            <w:tcBorders>
              <w:bottom w:val="single" w:color="000000" w:sz="6" w:space="0"/>
              <w:right w:val="single" w:color="000000" w:sz="6" w:space="0"/>
            </w:tcBorders>
            <w:vAlign w:val="top"/>
          </w:tcPr>
          <w:p w14:paraId="60B56837">
            <w:pPr>
              <w:spacing w:before="257" w:line="195" w:lineRule="auto"/>
              <w:ind w:left="22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r>
    </w:tbl>
    <w:p w14:paraId="421149FC">
      <w:pPr>
        <w:rPr>
          <w:rFonts w:ascii="Arial"/>
          <w:sz w:val="21"/>
        </w:rPr>
      </w:pPr>
    </w:p>
    <w:p w14:paraId="2B607CF8">
      <w:pPr>
        <w:rPr>
          <w:rFonts w:ascii="Arial" w:hAnsi="Arial" w:eastAsia="Arial" w:cs="Arial"/>
          <w:sz w:val="21"/>
          <w:szCs w:val="21"/>
        </w:rPr>
        <w:sectPr>
          <w:footerReference r:id="rId116" w:type="default"/>
          <w:pgSz w:w="11906" w:h="16839"/>
          <w:pgMar w:top="400" w:right="1410" w:bottom="1240" w:left="1579" w:header="0" w:footer="1078" w:gutter="0"/>
          <w:cols w:space="720" w:num="1"/>
        </w:sectPr>
      </w:pPr>
    </w:p>
    <w:p w14:paraId="1D5A4577">
      <w:pPr>
        <w:spacing w:line="282" w:lineRule="auto"/>
        <w:rPr>
          <w:rFonts w:ascii="Arial"/>
          <w:sz w:val="21"/>
        </w:rPr>
      </w:pPr>
    </w:p>
    <w:p w14:paraId="39FA0FBC">
      <w:pPr>
        <w:spacing w:line="282" w:lineRule="auto"/>
        <w:rPr>
          <w:rFonts w:ascii="Arial"/>
          <w:sz w:val="21"/>
        </w:rPr>
      </w:pPr>
    </w:p>
    <w:p w14:paraId="1A66DDB5">
      <w:pPr>
        <w:spacing w:line="282" w:lineRule="auto"/>
        <w:rPr>
          <w:rFonts w:ascii="Arial"/>
          <w:sz w:val="21"/>
        </w:rPr>
      </w:pPr>
    </w:p>
    <w:p w14:paraId="7983D9C8">
      <w:pPr>
        <w:spacing w:line="282" w:lineRule="auto"/>
        <w:rPr>
          <w:rFonts w:ascii="Arial"/>
          <w:sz w:val="21"/>
        </w:rPr>
      </w:pPr>
    </w:p>
    <w:p w14:paraId="44DE6B46">
      <w:pPr>
        <w:pStyle w:val="2"/>
        <w:spacing w:before="97" w:line="212" w:lineRule="auto"/>
        <w:ind w:left="2068"/>
        <w:outlineLvl w:val="0"/>
        <w:rPr>
          <w:sz w:val="30"/>
          <w:szCs w:val="30"/>
        </w:rPr>
      </w:pPr>
      <w:bookmarkStart w:id="6" w:name="bookmark6"/>
      <w:bookmarkEnd w:id="6"/>
      <w:r>
        <w:rPr>
          <w:b/>
          <w:bCs/>
          <w:spacing w:val="-3"/>
          <w:sz w:val="30"/>
          <w:szCs w:val="30"/>
        </w:rPr>
        <w:t>六、生态环境保护措施监督检查清单</w:t>
      </w:r>
    </w:p>
    <w:tbl>
      <w:tblPr>
        <w:tblStyle w:val="5"/>
        <w:tblW w:w="891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7"/>
        <w:gridCol w:w="3170"/>
        <w:gridCol w:w="2995"/>
        <w:gridCol w:w="850"/>
        <w:gridCol w:w="689"/>
      </w:tblGrid>
      <w:tr w14:paraId="4C1A6F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1207" w:type="dxa"/>
            <w:vMerge w:val="restart"/>
            <w:tcBorders>
              <w:top w:val="single" w:color="000000" w:sz="6" w:space="0"/>
              <w:left w:val="single" w:color="000000" w:sz="6" w:space="0"/>
              <w:bottom w:val="nil"/>
              <w:tl2br w:val="single" w:color="000000" w:sz="4" w:space="0"/>
            </w:tcBorders>
            <w:vAlign w:val="top"/>
          </w:tcPr>
          <w:p w14:paraId="12571E44">
            <w:pPr>
              <w:pStyle w:val="6"/>
              <w:spacing w:before="109" w:line="228" w:lineRule="auto"/>
              <w:ind w:left="661"/>
              <w:outlineLvl w:val="0"/>
              <w:rPr>
                <w:sz w:val="20"/>
                <w:szCs w:val="20"/>
              </w:rPr>
            </w:pPr>
            <w:r>
              <w:rPr>
                <w:b/>
                <w:bCs/>
                <w:spacing w:val="-9"/>
                <w:sz w:val="20"/>
                <w:szCs w:val="20"/>
              </w:rPr>
              <w:t>内容</w:t>
            </w:r>
          </w:p>
          <w:p w14:paraId="65F7839E">
            <w:pPr>
              <w:spacing w:line="354" w:lineRule="auto"/>
              <w:rPr>
                <w:rFonts w:ascii="Arial"/>
                <w:sz w:val="21"/>
              </w:rPr>
            </w:pPr>
          </w:p>
          <w:p w14:paraId="103193D6">
            <w:pPr>
              <w:spacing w:line="354" w:lineRule="auto"/>
              <w:rPr>
                <w:rFonts w:ascii="Arial"/>
                <w:sz w:val="21"/>
              </w:rPr>
            </w:pPr>
          </w:p>
          <w:p w14:paraId="433ECB1E">
            <w:pPr>
              <w:pStyle w:val="6"/>
              <w:spacing w:before="65" w:line="216" w:lineRule="auto"/>
              <w:ind w:left="111"/>
              <w:outlineLvl w:val="0"/>
              <w:rPr>
                <w:sz w:val="20"/>
                <w:szCs w:val="20"/>
              </w:rPr>
            </w:pPr>
            <w:r>
              <w:rPr>
                <w:b/>
                <w:bCs/>
                <w:spacing w:val="3"/>
                <w:sz w:val="20"/>
                <w:szCs w:val="20"/>
              </w:rPr>
              <w:t>要素</w:t>
            </w:r>
          </w:p>
        </w:tc>
        <w:tc>
          <w:tcPr>
            <w:tcW w:w="6165" w:type="dxa"/>
            <w:gridSpan w:val="2"/>
            <w:tcBorders>
              <w:top w:val="single" w:color="000000" w:sz="6" w:space="0"/>
            </w:tcBorders>
            <w:vAlign w:val="top"/>
          </w:tcPr>
          <w:p w14:paraId="6D9F2CD6">
            <w:pPr>
              <w:pStyle w:val="6"/>
              <w:spacing w:before="239" w:line="228" w:lineRule="auto"/>
              <w:ind w:left="2771"/>
              <w:outlineLvl w:val="0"/>
              <w:rPr>
                <w:sz w:val="20"/>
                <w:szCs w:val="20"/>
              </w:rPr>
            </w:pPr>
            <w:r>
              <w:rPr>
                <w:b/>
                <w:bCs/>
                <w:spacing w:val="5"/>
                <w:sz w:val="20"/>
                <w:szCs w:val="20"/>
              </w:rPr>
              <w:t>施工期</w:t>
            </w:r>
          </w:p>
        </w:tc>
        <w:tc>
          <w:tcPr>
            <w:tcW w:w="1539" w:type="dxa"/>
            <w:gridSpan w:val="2"/>
            <w:tcBorders>
              <w:top w:val="single" w:color="000000" w:sz="6" w:space="0"/>
              <w:right w:val="single" w:color="000000" w:sz="6" w:space="0"/>
            </w:tcBorders>
            <w:vAlign w:val="top"/>
          </w:tcPr>
          <w:p w14:paraId="75A39DF5">
            <w:pPr>
              <w:pStyle w:val="6"/>
              <w:spacing w:before="239" w:line="228" w:lineRule="auto"/>
              <w:ind w:left="459"/>
              <w:outlineLvl w:val="0"/>
              <w:rPr>
                <w:sz w:val="20"/>
                <w:szCs w:val="20"/>
              </w:rPr>
            </w:pPr>
            <w:r>
              <w:rPr>
                <w:b/>
                <w:bCs/>
                <w:spacing w:val="5"/>
                <w:sz w:val="20"/>
                <w:szCs w:val="20"/>
              </w:rPr>
              <w:t>运营期</w:t>
            </w:r>
          </w:p>
        </w:tc>
      </w:tr>
      <w:tr w14:paraId="5190D9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207" w:type="dxa"/>
            <w:vMerge w:val="continue"/>
            <w:tcBorders>
              <w:top w:val="nil"/>
              <w:left w:val="single" w:color="000000" w:sz="6" w:space="0"/>
              <w:tl2br w:val="single" w:color="000000" w:sz="4" w:space="0"/>
            </w:tcBorders>
            <w:vAlign w:val="top"/>
          </w:tcPr>
          <w:p w14:paraId="2FC7B9EB">
            <w:pPr>
              <w:rPr>
                <w:rFonts w:ascii="Arial"/>
                <w:sz w:val="21"/>
              </w:rPr>
            </w:pPr>
          </w:p>
        </w:tc>
        <w:tc>
          <w:tcPr>
            <w:tcW w:w="3170" w:type="dxa"/>
            <w:vAlign w:val="top"/>
          </w:tcPr>
          <w:p w14:paraId="2DC4E220">
            <w:pPr>
              <w:pStyle w:val="6"/>
              <w:spacing w:before="236" w:line="228" w:lineRule="auto"/>
              <w:ind w:left="955"/>
              <w:outlineLvl w:val="0"/>
              <w:rPr>
                <w:sz w:val="20"/>
                <w:szCs w:val="20"/>
              </w:rPr>
            </w:pPr>
            <w:r>
              <w:rPr>
                <w:b/>
                <w:bCs/>
                <w:spacing w:val="6"/>
                <w:sz w:val="20"/>
                <w:szCs w:val="20"/>
              </w:rPr>
              <w:t>环境保护措施</w:t>
            </w:r>
          </w:p>
        </w:tc>
        <w:tc>
          <w:tcPr>
            <w:tcW w:w="2995" w:type="dxa"/>
            <w:vAlign w:val="top"/>
          </w:tcPr>
          <w:p w14:paraId="286F53BA">
            <w:pPr>
              <w:pStyle w:val="6"/>
              <w:spacing w:before="235" w:line="228" w:lineRule="auto"/>
              <w:ind w:left="1082"/>
              <w:outlineLvl w:val="0"/>
              <w:rPr>
                <w:sz w:val="20"/>
                <w:szCs w:val="20"/>
              </w:rPr>
            </w:pPr>
            <w:r>
              <w:rPr>
                <w:b/>
                <w:bCs/>
                <w:spacing w:val="6"/>
                <w:sz w:val="20"/>
                <w:szCs w:val="20"/>
              </w:rPr>
              <w:t>验收要求</w:t>
            </w:r>
          </w:p>
        </w:tc>
        <w:tc>
          <w:tcPr>
            <w:tcW w:w="850" w:type="dxa"/>
            <w:vAlign w:val="top"/>
          </w:tcPr>
          <w:p w14:paraId="509A462C">
            <w:pPr>
              <w:pStyle w:val="6"/>
              <w:spacing w:before="99" w:line="228" w:lineRule="auto"/>
              <w:ind w:left="118"/>
              <w:rPr>
                <w:sz w:val="20"/>
                <w:szCs w:val="20"/>
              </w:rPr>
            </w:pPr>
            <w:r>
              <w:rPr>
                <w:b/>
                <w:bCs/>
                <w:spacing w:val="5"/>
                <w:sz w:val="20"/>
                <w:szCs w:val="20"/>
              </w:rPr>
              <w:t>环境保</w:t>
            </w:r>
          </w:p>
          <w:p w14:paraId="55113EAA">
            <w:pPr>
              <w:pStyle w:val="6"/>
              <w:spacing w:before="24" w:line="228" w:lineRule="auto"/>
              <w:ind w:left="119"/>
              <w:rPr>
                <w:sz w:val="20"/>
                <w:szCs w:val="20"/>
              </w:rPr>
            </w:pPr>
            <w:r>
              <w:rPr>
                <w:b/>
                <w:bCs/>
                <w:spacing w:val="5"/>
                <w:sz w:val="20"/>
                <w:szCs w:val="20"/>
              </w:rPr>
              <w:t>护措施</w:t>
            </w:r>
          </w:p>
        </w:tc>
        <w:tc>
          <w:tcPr>
            <w:tcW w:w="689" w:type="dxa"/>
            <w:tcBorders>
              <w:right w:val="single" w:color="000000" w:sz="6" w:space="0"/>
            </w:tcBorders>
            <w:vAlign w:val="top"/>
          </w:tcPr>
          <w:p w14:paraId="5D0BCD8F">
            <w:pPr>
              <w:pStyle w:val="6"/>
              <w:spacing w:before="99" w:line="228" w:lineRule="auto"/>
              <w:ind w:left="139"/>
              <w:rPr>
                <w:sz w:val="20"/>
                <w:szCs w:val="20"/>
              </w:rPr>
            </w:pPr>
            <w:r>
              <w:rPr>
                <w:b/>
                <w:bCs/>
                <w:spacing w:val="4"/>
                <w:sz w:val="20"/>
                <w:szCs w:val="20"/>
              </w:rPr>
              <w:t>验收</w:t>
            </w:r>
          </w:p>
          <w:p w14:paraId="53A4170C">
            <w:pPr>
              <w:pStyle w:val="6"/>
              <w:spacing w:before="24" w:line="229" w:lineRule="auto"/>
              <w:ind w:left="140"/>
              <w:rPr>
                <w:sz w:val="20"/>
                <w:szCs w:val="20"/>
              </w:rPr>
            </w:pPr>
            <w:r>
              <w:rPr>
                <w:b/>
                <w:bCs/>
                <w:spacing w:val="3"/>
                <w:sz w:val="20"/>
                <w:szCs w:val="20"/>
              </w:rPr>
              <w:t>要求</w:t>
            </w:r>
          </w:p>
        </w:tc>
      </w:tr>
      <w:tr w14:paraId="380D7B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1207" w:type="dxa"/>
            <w:vMerge w:val="restart"/>
            <w:tcBorders>
              <w:left w:val="single" w:color="000000" w:sz="6" w:space="0"/>
              <w:bottom w:val="nil"/>
            </w:tcBorders>
            <w:vAlign w:val="top"/>
          </w:tcPr>
          <w:p w14:paraId="024AC4F5">
            <w:pPr>
              <w:spacing w:line="279" w:lineRule="auto"/>
              <w:rPr>
                <w:rFonts w:ascii="Arial"/>
                <w:sz w:val="21"/>
              </w:rPr>
            </w:pPr>
          </w:p>
          <w:p w14:paraId="1A806CBF">
            <w:pPr>
              <w:spacing w:line="280" w:lineRule="auto"/>
              <w:rPr>
                <w:rFonts w:ascii="Arial"/>
                <w:sz w:val="21"/>
              </w:rPr>
            </w:pPr>
          </w:p>
          <w:p w14:paraId="478ACCBB">
            <w:pPr>
              <w:spacing w:line="280" w:lineRule="auto"/>
              <w:rPr>
                <w:rFonts w:ascii="Arial"/>
                <w:sz w:val="21"/>
              </w:rPr>
            </w:pPr>
          </w:p>
          <w:p w14:paraId="57ADD8D3">
            <w:pPr>
              <w:spacing w:line="280" w:lineRule="auto"/>
              <w:rPr>
                <w:rFonts w:ascii="Arial"/>
                <w:sz w:val="21"/>
              </w:rPr>
            </w:pPr>
          </w:p>
          <w:p w14:paraId="65E69334">
            <w:pPr>
              <w:spacing w:line="280" w:lineRule="auto"/>
              <w:rPr>
                <w:rFonts w:ascii="Arial"/>
                <w:sz w:val="21"/>
              </w:rPr>
            </w:pPr>
          </w:p>
          <w:p w14:paraId="45B81E83">
            <w:pPr>
              <w:spacing w:line="280" w:lineRule="auto"/>
              <w:rPr>
                <w:rFonts w:ascii="Arial"/>
                <w:sz w:val="21"/>
              </w:rPr>
            </w:pPr>
          </w:p>
          <w:p w14:paraId="3E4FE840">
            <w:pPr>
              <w:pStyle w:val="6"/>
              <w:spacing w:before="65" w:line="231" w:lineRule="auto"/>
              <w:ind w:left="191"/>
              <w:rPr>
                <w:sz w:val="20"/>
                <w:szCs w:val="20"/>
              </w:rPr>
            </w:pPr>
            <w:r>
              <w:rPr>
                <w:b/>
                <w:bCs/>
                <w:spacing w:val="3"/>
                <w:sz w:val="20"/>
                <w:szCs w:val="20"/>
              </w:rPr>
              <w:t>陆生生态</w:t>
            </w:r>
          </w:p>
        </w:tc>
        <w:tc>
          <w:tcPr>
            <w:tcW w:w="3170" w:type="dxa"/>
            <w:vAlign w:val="top"/>
          </w:tcPr>
          <w:p w14:paraId="6B5B3D15">
            <w:pPr>
              <w:pStyle w:val="6"/>
              <w:spacing w:before="34" w:line="228" w:lineRule="auto"/>
              <w:ind w:left="332"/>
              <w:rPr>
                <w:sz w:val="20"/>
                <w:szCs w:val="20"/>
              </w:rPr>
            </w:pPr>
            <w:r>
              <w:rPr>
                <w:spacing w:val="8"/>
                <w:sz w:val="20"/>
                <w:szCs w:val="20"/>
              </w:rPr>
              <w:t>实施表土剥离，剥离厚度为</w:t>
            </w:r>
          </w:p>
          <w:p w14:paraId="0F4AD738">
            <w:pPr>
              <w:pStyle w:val="6"/>
              <w:spacing w:before="23" w:line="228" w:lineRule="auto"/>
              <w:ind w:left="108"/>
              <w:rPr>
                <w:sz w:val="20"/>
                <w:szCs w:val="20"/>
              </w:rPr>
            </w:pPr>
            <w:r>
              <w:rPr>
                <w:rFonts w:ascii="Times New Roman" w:hAnsi="Times New Roman" w:eastAsia="Times New Roman" w:cs="Times New Roman"/>
                <w:spacing w:val="2"/>
                <w:sz w:val="20"/>
                <w:szCs w:val="20"/>
              </w:rPr>
              <w:t>0.30m</w:t>
            </w:r>
            <w:r>
              <w:rPr>
                <w:spacing w:val="2"/>
                <w:sz w:val="20"/>
                <w:szCs w:val="20"/>
              </w:rPr>
              <w:t>。在土壤堆存期间，为了防</w:t>
            </w:r>
          </w:p>
          <w:p w14:paraId="61BB033F">
            <w:pPr>
              <w:pStyle w:val="6"/>
              <w:spacing w:before="24" w:line="228" w:lineRule="auto"/>
              <w:ind w:left="119"/>
              <w:rPr>
                <w:sz w:val="20"/>
                <w:szCs w:val="20"/>
              </w:rPr>
            </w:pPr>
            <w:r>
              <w:rPr>
                <w:spacing w:val="9"/>
                <w:sz w:val="20"/>
                <w:szCs w:val="20"/>
              </w:rPr>
              <w:t>止水力与风力的侵蚀，堆土上铺</w:t>
            </w:r>
          </w:p>
          <w:p w14:paraId="3934659B">
            <w:pPr>
              <w:pStyle w:val="6"/>
              <w:spacing w:before="26" w:line="228" w:lineRule="auto"/>
              <w:ind w:left="121"/>
              <w:rPr>
                <w:sz w:val="20"/>
                <w:szCs w:val="20"/>
              </w:rPr>
            </w:pPr>
            <w:r>
              <w:rPr>
                <w:spacing w:val="9"/>
                <w:sz w:val="20"/>
                <w:szCs w:val="20"/>
              </w:rPr>
              <w:t>设密目网。大风季节应停止表土</w:t>
            </w:r>
          </w:p>
          <w:p w14:paraId="038A46B3">
            <w:pPr>
              <w:pStyle w:val="6"/>
              <w:spacing w:before="25" w:line="215" w:lineRule="auto"/>
              <w:ind w:left="749"/>
              <w:rPr>
                <w:sz w:val="20"/>
                <w:szCs w:val="20"/>
              </w:rPr>
            </w:pPr>
            <w:r>
              <w:rPr>
                <w:spacing w:val="7"/>
                <w:sz w:val="20"/>
                <w:szCs w:val="20"/>
              </w:rPr>
              <w:t>剥离等相关工作。</w:t>
            </w:r>
          </w:p>
        </w:tc>
        <w:tc>
          <w:tcPr>
            <w:tcW w:w="2995" w:type="dxa"/>
            <w:vMerge w:val="restart"/>
            <w:tcBorders>
              <w:bottom w:val="nil"/>
            </w:tcBorders>
            <w:vAlign w:val="top"/>
          </w:tcPr>
          <w:p w14:paraId="473DC5A2">
            <w:pPr>
              <w:spacing w:line="281" w:lineRule="auto"/>
              <w:rPr>
                <w:rFonts w:ascii="Arial"/>
                <w:sz w:val="21"/>
              </w:rPr>
            </w:pPr>
          </w:p>
          <w:p w14:paraId="4A1BB8A2">
            <w:pPr>
              <w:spacing w:line="282" w:lineRule="auto"/>
              <w:rPr>
                <w:rFonts w:ascii="Arial"/>
                <w:sz w:val="21"/>
              </w:rPr>
            </w:pPr>
          </w:p>
          <w:p w14:paraId="0417556B">
            <w:pPr>
              <w:spacing w:line="282" w:lineRule="auto"/>
              <w:rPr>
                <w:rFonts w:ascii="Arial"/>
                <w:sz w:val="21"/>
              </w:rPr>
            </w:pPr>
          </w:p>
          <w:p w14:paraId="411B58CF">
            <w:pPr>
              <w:spacing w:line="282" w:lineRule="auto"/>
              <w:rPr>
                <w:rFonts w:ascii="Arial"/>
                <w:sz w:val="21"/>
              </w:rPr>
            </w:pPr>
          </w:p>
          <w:p w14:paraId="74F6C6CF">
            <w:pPr>
              <w:spacing w:line="282" w:lineRule="auto"/>
              <w:rPr>
                <w:rFonts w:ascii="Arial"/>
                <w:sz w:val="21"/>
              </w:rPr>
            </w:pPr>
          </w:p>
          <w:p w14:paraId="44B199CE">
            <w:pPr>
              <w:pStyle w:val="6"/>
              <w:spacing w:before="65" w:line="228" w:lineRule="auto"/>
              <w:ind w:left="139"/>
              <w:rPr>
                <w:sz w:val="20"/>
                <w:szCs w:val="20"/>
              </w:rPr>
            </w:pPr>
            <w:r>
              <w:rPr>
                <w:spacing w:val="9"/>
                <w:sz w:val="20"/>
                <w:szCs w:val="20"/>
              </w:rPr>
              <w:t>表土剥离，妥善堆存。勘探完</w:t>
            </w:r>
          </w:p>
          <w:p w14:paraId="6ABD6779">
            <w:pPr>
              <w:pStyle w:val="6"/>
              <w:spacing w:before="24" w:line="228" w:lineRule="auto"/>
              <w:ind w:left="144"/>
              <w:rPr>
                <w:sz w:val="20"/>
                <w:szCs w:val="20"/>
              </w:rPr>
            </w:pPr>
            <w:r>
              <w:rPr>
                <w:spacing w:val="8"/>
                <w:sz w:val="20"/>
                <w:szCs w:val="20"/>
              </w:rPr>
              <w:t>毕临时用地全部恢复，土地复</w:t>
            </w:r>
          </w:p>
          <w:p w14:paraId="46B8364C">
            <w:pPr>
              <w:pStyle w:val="6"/>
              <w:spacing w:before="26" w:line="228" w:lineRule="auto"/>
              <w:ind w:left="919"/>
              <w:rPr>
                <w:sz w:val="20"/>
                <w:szCs w:val="20"/>
              </w:rPr>
            </w:pPr>
            <w:r>
              <w:rPr>
                <w:spacing w:val="1"/>
                <w:sz w:val="20"/>
                <w:szCs w:val="20"/>
              </w:rPr>
              <w:t>垦率</w:t>
            </w:r>
            <w:r>
              <w:rPr>
                <w:spacing w:val="-21"/>
                <w:sz w:val="20"/>
                <w:szCs w:val="20"/>
              </w:rPr>
              <w:t xml:space="preserve"> </w:t>
            </w:r>
            <w:r>
              <w:rPr>
                <w:rFonts w:ascii="Times New Roman" w:hAnsi="Times New Roman" w:eastAsia="Times New Roman" w:cs="Times New Roman"/>
                <w:spacing w:val="1"/>
                <w:sz w:val="20"/>
                <w:szCs w:val="20"/>
              </w:rPr>
              <w:t>100%</w:t>
            </w:r>
            <w:r>
              <w:rPr>
                <w:spacing w:val="1"/>
                <w:sz w:val="20"/>
                <w:szCs w:val="20"/>
              </w:rPr>
              <w:t>。</w:t>
            </w:r>
          </w:p>
        </w:tc>
        <w:tc>
          <w:tcPr>
            <w:tcW w:w="850" w:type="dxa"/>
            <w:vAlign w:val="top"/>
          </w:tcPr>
          <w:p w14:paraId="412AC917">
            <w:pPr>
              <w:spacing w:line="274" w:lineRule="auto"/>
              <w:rPr>
                <w:rFonts w:ascii="Arial"/>
                <w:sz w:val="21"/>
              </w:rPr>
            </w:pPr>
          </w:p>
          <w:p w14:paraId="7FC5C134">
            <w:pPr>
              <w:spacing w:line="274" w:lineRule="auto"/>
              <w:rPr>
                <w:rFonts w:ascii="Arial"/>
                <w:sz w:val="21"/>
              </w:rPr>
            </w:pPr>
          </w:p>
          <w:p w14:paraId="3436B4A2">
            <w:pPr>
              <w:spacing w:before="57" w:line="199"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89" w:type="dxa"/>
            <w:tcBorders>
              <w:right w:val="single" w:color="000000" w:sz="6" w:space="0"/>
            </w:tcBorders>
            <w:vAlign w:val="top"/>
          </w:tcPr>
          <w:p w14:paraId="1FDFFD59">
            <w:pPr>
              <w:spacing w:line="274" w:lineRule="auto"/>
              <w:rPr>
                <w:rFonts w:ascii="Arial"/>
                <w:sz w:val="21"/>
              </w:rPr>
            </w:pPr>
          </w:p>
          <w:p w14:paraId="65FDC859">
            <w:pPr>
              <w:spacing w:line="274" w:lineRule="auto"/>
              <w:rPr>
                <w:rFonts w:ascii="Arial"/>
                <w:sz w:val="21"/>
              </w:rPr>
            </w:pPr>
          </w:p>
          <w:p w14:paraId="284E9A87">
            <w:pPr>
              <w:spacing w:before="57" w:line="199"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7D4E4F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1207" w:type="dxa"/>
            <w:vMerge w:val="continue"/>
            <w:tcBorders>
              <w:top w:val="nil"/>
              <w:left w:val="single" w:color="000000" w:sz="6" w:space="0"/>
              <w:bottom w:val="nil"/>
            </w:tcBorders>
            <w:vAlign w:val="top"/>
          </w:tcPr>
          <w:p w14:paraId="794FD93C">
            <w:pPr>
              <w:rPr>
                <w:rFonts w:ascii="Arial"/>
                <w:sz w:val="21"/>
              </w:rPr>
            </w:pPr>
          </w:p>
        </w:tc>
        <w:tc>
          <w:tcPr>
            <w:tcW w:w="3170" w:type="dxa"/>
            <w:vAlign w:val="top"/>
          </w:tcPr>
          <w:p w14:paraId="1074F9B2">
            <w:pPr>
              <w:pStyle w:val="6"/>
              <w:spacing w:before="34" w:line="228" w:lineRule="auto"/>
              <w:ind w:left="119"/>
              <w:rPr>
                <w:sz w:val="20"/>
                <w:szCs w:val="20"/>
              </w:rPr>
            </w:pPr>
            <w:r>
              <w:rPr>
                <w:spacing w:val="9"/>
                <w:sz w:val="20"/>
                <w:szCs w:val="20"/>
              </w:rPr>
              <w:t>严格限制施工作业范围，禁止破</w:t>
            </w:r>
          </w:p>
          <w:p w14:paraId="299BE9EB">
            <w:pPr>
              <w:pStyle w:val="6"/>
              <w:spacing w:before="24" w:line="228" w:lineRule="auto"/>
              <w:ind w:left="118"/>
              <w:rPr>
                <w:sz w:val="20"/>
                <w:szCs w:val="20"/>
              </w:rPr>
            </w:pPr>
            <w:r>
              <w:rPr>
                <w:spacing w:val="9"/>
                <w:sz w:val="20"/>
                <w:szCs w:val="20"/>
              </w:rPr>
              <w:t>坏施工作业外的地表植被。施工</w:t>
            </w:r>
          </w:p>
          <w:p w14:paraId="46E072E1">
            <w:pPr>
              <w:pStyle w:val="6"/>
              <w:spacing w:before="24" w:line="227" w:lineRule="auto"/>
              <w:ind w:left="118"/>
              <w:rPr>
                <w:sz w:val="20"/>
                <w:szCs w:val="20"/>
              </w:rPr>
            </w:pPr>
            <w:r>
              <w:rPr>
                <w:spacing w:val="9"/>
                <w:sz w:val="20"/>
                <w:szCs w:val="20"/>
              </w:rPr>
              <w:t>井场采取压实方式处理并定期洒</w:t>
            </w:r>
          </w:p>
          <w:p w14:paraId="04B8850A">
            <w:pPr>
              <w:pStyle w:val="6"/>
              <w:spacing w:before="27" w:line="228" w:lineRule="auto"/>
              <w:ind w:left="120"/>
              <w:rPr>
                <w:sz w:val="20"/>
                <w:szCs w:val="20"/>
              </w:rPr>
            </w:pPr>
            <w:r>
              <w:rPr>
                <w:spacing w:val="9"/>
                <w:sz w:val="20"/>
                <w:szCs w:val="20"/>
              </w:rPr>
              <w:t>水抑尘，定期检查井场周围水土</w:t>
            </w:r>
          </w:p>
          <w:p w14:paraId="471AB98F">
            <w:pPr>
              <w:pStyle w:val="6"/>
              <w:spacing w:before="26" w:line="213" w:lineRule="auto"/>
              <w:ind w:left="1062"/>
              <w:rPr>
                <w:sz w:val="20"/>
                <w:szCs w:val="20"/>
              </w:rPr>
            </w:pPr>
            <w:r>
              <w:rPr>
                <w:spacing w:val="5"/>
                <w:sz w:val="20"/>
                <w:szCs w:val="20"/>
              </w:rPr>
              <w:t>流失情况。</w:t>
            </w:r>
          </w:p>
        </w:tc>
        <w:tc>
          <w:tcPr>
            <w:tcW w:w="2995" w:type="dxa"/>
            <w:vMerge w:val="continue"/>
            <w:tcBorders>
              <w:top w:val="nil"/>
              <w:bottom w:val="nil"/>
            </w:tcBorders>
            <w:vAlign w:val="top"/>
          </w:tcPr>
          <w:p w14:paraId="287A2083">
            <w:pPr>
              <w:rPr>
                <w:rFonts w:ascii="Arial"/>
                <w:sz w:val="21"/>
              </w:rPr>
            </w:pPr>
          </w:p>
        </w:tc>
        <w:tc>
          <w:tcPr>
            <w:tcW w:w="850" w:type="dxa"/>
            <w:vAlign w:val="top"/>
          </w:tcPr>
          <w:p w14:paraId="1BEE9ED7">
            <w:pPr>
              <w:spacing w:line="274" w:lineRule="auto"/>
              <w:rPr>
                <w:rFonts w:ascii="Arial"/>
                <w:sz w:val="21"/>
              </w:rPr>
            </w:pPr>
          </w:p>
          <w:p w14:paraId="4F7B1387">
            <w:pPr>
              <w:spacing w:line="274" w:lineRule="auto"/>
              <w:rPr>
                <w:rFonts w:ascii="Arial"/>
                <w:sz w:val="21"/>
              </w:rPr>
            </w:pPr>
          </w:p>
          <w:p w14:paraId="38956CD8">
            <w:pPr>
              <w:spacing w:before="57" w:line="199"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89" w:type="dxa"/>
            <w:tcBorders>
              <w:right w:val="single" w:color="000000" w:sz="6" w:space="0"/>
            </w:tcBorders>
            <w:vAlign w:val="top"/>
          </w:tcPr>
          <w:p w14:paraId="4C3D8C85">
            <w:pPr>
              <w:spacing w:line="274" w:lineRule="auto"/>
              <w:rPr>
                <w:rFonts w:ascii="Arial"/>
                <w:sz w:val="21"/>
              </w:rPr>
            </w:pPr>
          </w:p>
          <w:p w14:paraId="0A44C7A6">
            <w:pPr>
              <w:spacing w:line="274" w:lineRule="auto"/>
              <w:rPr>
                <w:rFonts w:ascii="Arial"/>
                <w:sz w:val="21"/>
              </w:rPr>
            </w:pPr>
          </w:p>
          <w:p w14:paraId="30A8DB99">
            <w:pPr>
              <w:spacing w:before="57" w:line="199"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6ED57E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1" w:hRule="atLeast"/>
        </w:trPr>
        <w:tc>
          <w:tcPr>
            <w:tcW w:w="1207" w:type="dxa"/>
            <w:vMerge w:val="continue"/>
            <w:tcBorders>
              <w:top w:val="nil"/>
              <w:left w:val="single" w:color="000000" w:sz="6" w:space="0"/>
            </w:tcBorders>
            <w:vAlign w:val="top"/>
          </w:tcPr>
          <w:p w14:paraId="03C5D367">
            <w:pPr>
              <w:rPr>
                <w:rFonts w:ascii="Arial"/>
                <w:sz w:val="21"/>
              </w:rPr>
            </w:pPr>
          </w:p>
        </w:tc>
        <w:tc>
          <w:tcPr>
            <w:tcW w:w="3170" w:type="dxa"/>
            <w:vAlign w:val="top"/>
          </w:tcPr>
          <w:p w14:paraId="440D4B60">
            <w:pPr>
              <w:pStyle w:val="6"/>
              <w:spacing w:before="114" w:line="252" w:lineRule="auto"/>
              <w:ind w:left="119" w:right="117"/>
              <w:jc w:val="both"/>
              <w:rPr>
                <w:sz w:val="20"/>
                <w:szCs w:val="20"/>
              </w:rPr>
            </w:pPr>
            <w:r>
              <w:rPr>
                <w:spacing w:val="9"/>
                <w:sz w:val="20"/>
                <w:szCs w:val="20"/>
              </w:rPr>
              <w:t>完钻后对临时占地恢复原貌，农用地以恢复耕地为主，同时进行</w:t>
            </w:r>
            <w:r>
              <w:rPr>
                <w:spacing w:val="8"/>
                <w:sz w:val="20"/>
                <w:szCs w:val="20"/>
              </w:rPr>
              <w:t>土壤培育，满足正常耕种要求。</w:t>
            </w:r>
          </w:p>
        </w:tc>
        <w:tc>
          <w:tcPr>
            <w:tcW w:w="2995" w:type="dxa"/>
            <w:vMerge w:val="continue"/>
            <w:tcBorders>
              <w:top w:val="nil"/>
            </w:tcBorders>
            <w:vAlign w:val="top"/>
          </w:tcPr>
          <w:p w14:paraId="56460E75">
            <w:pPr>
              <w:rPr>
                <w:rFonts w:ascii="Arial"/>
                <w:sz w:val="21"/>
              </w:rPr>
            </w:pPr>
          </w:p>
        </w:tc>
        <w:tc>
          <w:tcPr>
            <w:tcW w:w="850" w:type="dxa"/>
            <w:vAlign w:val="top"/>
          </w:tcPr>
          <w:p w14:paraId="4DE5C8C1">
            <w:pPr>
              <w:spacing w:line="360" w:lineRule="auto"/>
              <w:rPr>
                <w:rFonts w:ascii="Arial"/>
                <w:sz w:val="21"/>
              </w:rPr>
            </w:pPr>
          </w:p>
          <w:p w14:paraId="50FFC3C9">
            <w:pPr>
              <w:spacing w:before="57" w:line="199"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89" w:type="dxa"/>
            <w:tcBorders>
              <w:right w:val="single" w:color="000000" w:sz="6" w:space="0"/>
            </w:tcBorders>
            <w:vAlign w:val="top"/>
          </w:tcPr>
          <w:p w14:paraId="1E0E6530">
            <w:pPr>
              <w:spacing w:line="360" w:lineRule="auto"/>
              <w:rPr>
                <w:rFonts w:ascii="Arial"/>
                <w:sz w:val="21"/>
              </w:rPr>
            </w:pPr>
          </w:p>
          <w:p w14:paraId="356D51A4">
            <w:pPr>
              <w:spacing w:before="57" w:line="199"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7D49A7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1207" w:type="dxa"/>
            <w:tcBorders>
              <w:left w:val="single" w:color="000000" w:sz="6" w:space="0"/>
            </w:tcBorders>
            <w:vAlign w:val="top"/>
          </w:tcPr>
          <w:p w14:paraId="5D43928B">
            <w:pPr>
              <w:pStyle w:val="6"/>
              <w:spacing w:before="83" w:line="228" w:lineRule="auto"/>
              <w:ind w:left="182"/>
              <w:rPr>
                <w:sz w:val="20"/>
                <w:szCs w:val="20"/>
              </w:rPr>
            </w:pPr>
            <w:r>
              <w:rPr>
                <w:b/>
                <w:bCs/>
                <w:spacing w:val="5"/>
                <w:sz w:val="20"/>
                <w:szCs w:val="20"/>
              </w:rPr>
              <w:t>水生生态</w:t>
            </w:r>
          </w:p>
        </w:tc>
        <w:tc>
          <w:tcPr>
            <w:tcW w:w="3170" w:type="dxa"/>
            <w:vAlign w:val="top"/>
          </w:tcPr>
          <w:p w14:paraId="0B8A25FB">
            <w:pPr>
              <w:spacing w:before="118" w:line="199" w:lineRule="auto"/>
              <w:ind w:left="15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995" w:type="dxa"/>
            <w:vAlign w:val="top"/>
          </w:tcPr>
          <w:p w14:paraId="08AE1818">
            <w:pPr>
              <w:spacing w:before="118" w:line="199" w:lineRule="auto"/>
              <w:ind w:left="14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50" w:type="dxa"/>
            <w:vAlign w:val="top"/>
          </w:tcPr>
          <w:p w14:paraId="5D14A86A">
            <w:pPr>
              <w:spacing w:before="118" w:line="199"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89" w:type="dxa"/>
            <w:tcBorders>
              <w:right w:val="single" w:color="000000" w:sz="6" w:space="0"/>
            </w:tcBorders>
            <w:vAlign w:val="top"/>
          </w:tcPr>
          <w:p w14:paraId="127D05CA">
            <w:pPr>
              <w:spacing w:before="118" w:line="199"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6038F0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4" w:hRule="atLeast"/>
        </w:trPr>
        <w:tc>
          <w:tcPr>
            <w:tcW w:w="1207" w:type="dxa"/>
            <w:vMerge w:val="restart"/>
            <w:tcBorders>
              <w:left w:val="single" w:color="000000" w:sz="6" w:space="0"/>
              <w:bottom w:val="nil"/>
            </w:tcBorders>
            <w:vAlign w:val="top"/>
          </w:tcPr>
          <w:p w14:paraId="0B72A46A">
            <w:pPr>
              <w:spacing w:line="332" w:lineRule="auto"/>
              <w:rPr>
                <w:rFonts w:ascii="Arial"/>
                <w:sz w:val="21"/>
              </w:rPr>
            </w:pPr>
          </w:p>
          <w:p w14:paraId="230F69F0">
            <w:pPr>
              <w:spacing w:line="332" w:lineRule="auto"/>
              <w:rPr>
                <w:rFonts w:ascii="Arial"/>
                <w:sz w:val="21"/>
              </w:rPr>
            </w:pPr>
          </w:p>
          <w:p w14:paraId="624703F3">
            <w:pPr>
              <w:pStyle w:val="6"/>
              <w:spacing w:before="65" w:line="254" w:lineRule="auto"/>
              <w:ind w:left="497" w:right="182" w:hanging="317"/>
              <w:rPr>
                <w:sz w:val="20"/>
                <w:szCs w:val="20"/>
              </w:rPr>
            </w:pPr>
            <w:r>
              <w:rPr>
                <w:b/>
                <w:bCs/>
                <w:spacing w:val="6"/>
                <w:sz w:val="20"/>
                <w:szCs w:val="20"/>
              </w:rPr>
              <w:t>地表水环</w:t>
            </w:r>
            <w:r>
              <w:rPr>
                <w:b/>
                <w:bCs/>
                <w:spacing w:val="-3"/>
                <w:sz w:val="20"/>
                <w:szCs w:val="20"/>
              </w:rPr>
              <w:t>境</w:t>
            </w:r>
          </w:p>
        </w:tc>
        <w:tc>
          <w:tcPr>
            <w:tcW w:w="3170" w:type="dxa"/>
            <w:vAlign w:val="top"/>
          </w:tcPr>
          <w:p w14:paraId="5030FF4C">
            <w:pPr>
              <w:pStyle w:val="6"/>
              <w:spacing w:before="36" w:line="228" w:lineRule="auto"/>
              <w:ind w:left="118"/>
              <w:rPr>
                <w:sz w:val="20"/>
                <w:szCs w:val="20"/>
              </w:rPr>
            </w:pPr>
            <w:r>
              <w:rPr>
                <w:spacing w:val="8"/>
                <w:sz w:val="20"/>
                <w:szCs w:val="20"/>
              </w:rPr>
              <w:t>钻井过程中废水随同废弃泥浆、</w:t>
            </w:r>
          </w:p>
          <w:p w14:paraId="26E1D784">
            <w:pPr>
              <w:pStyle w:val="6"/>
              <w:spacing w:before="26" w:line="228" w:lineRule="auto"/>
              <w:ind w:left="118"/>
              <w:rPr>
                <w:sz w:val="20"/>
                <w:szCs w:val="20"/>
              </w:rPr>
            </w:pPr>
            <w:r>
              <w:rPr>
                <w:spacing w:val="8"/>
                <w:sz w:val="20"/>
                <w:szCs w:val="20"/>
              </w:rPr>
              <w:t>钻井岩屑收集至可移动废水罐，</w:t>
            </w:r>
          </w:p>
          <w:p w14:paraId="78CE5B5A">
            <w:pPr>
              <w:pStyle w:val="6"/>
              <w:spacing w:before="24" w:line="227" w:lineRule="auto"/>
              <w:ind w:left="123"/>
              <w:rPr>
                <w:sz w:val="20"/>
                <w:szCs w:val="20"/>
              </w:rPr>
            </w:pPr>
            <w:r>
              <w:rPr>
                <w:spacing w:val="8"/>
                <w:sz w:val="20"/>
                <w:szCs w:val="20"/>
              </w:rPr>
              <w:t>定期拉运至内蒙古众宁环保科技</w:t>
            </w:r>
          </w:p>
          <w:p w14:paraId="27D1E09C">
            <w:pPr>
              <w:pStyle w:val="6"/>
              <w:spacing w:before="27" w:line="228" w:lineRule="auto"/>
              <w:ind w:left="119"/>
              <w:rPr>
                <w:sz w:val="20"/>
                <w:szCs w:val="20"/>
              </w:rPr>
            </w:pPr>
            <w:r>
              <w:rPr>
                <w:spacing w:val="9"/>
                <w:sz w:val="20"/>
                <w:szCs w:val="20"/>
              </w:rPr>
              <w:t>有限公司油气田废弃物集中处理</w:t>
            </w:r>
          </w:p>
          <w:p w14:paraId="15B30310">
            <w:pPr>
              <w:pStyle w:val="6"/>
              <w:spacing w:before="24" w:line="210" w:lineRule="auto"/>
              <w:ind w:left="1169"/>
              <w:rPr>
                <w:sz w:val="20"/>
                <w:szCs w:val="20"/>
              </w:rPr>
            </w:pPr>
            <w:r>
              <w:rPr>
                <w:spacing w:val="4"/>
                <w:sz w:val="20"/>
                <w:szCs w:val="20"/>
              </w:rPr>
              <w:t>厂处理。</w:t>
            </w:r>
          </w:p>
        </w:tc>
        <w:tc>
          <w:tcPr>
            <w:tcW w:w="2995" w:type="dxa"/>
            <w:vMerge w:val="restart"/>
            <w:tcBorders>
              <w:bottom w:val="nil"/>
            </w:tcBorders>
            <w:vAlign w:val="top"/>
          </w:tcPr>
          <w:p w14:paraId="2EA7D3C9">
            <w:pPr>
              <w:spacing w:line="331" w:lineRule="auto"/>
              <w:rPr>
                <w:rFonts w:ascii="Arial"/>
                <w:sz w:val="21"/>
              </w:rPr>
            </w:pPr>
          </w:p>
          <w:p w14:paraId="45351CAE">
            <w:pPr>
              <w:spacing w:line="332" w:lineRule="auto"/>
              <w:rPr>
                <w:rFonts w:ascii="Arial"/>
                <w:sz w:val="21"/>
              </w:rPr>
            </w:pPr>
          </w:p>
          <w:p w14:paraId="183AAF7A">
            <w:pPr>
              <w:pStyle w:val="6"/>
              <w:spacing w:before="65" w:line="228" w:lineRule="auto"/>
              <w:ind w:left="142"/>
              <w:rPr>
                <w:sz w:val="20"/>
                <w:szCs w:val="20"/>
              </w:rPr>
            </w:pPr>
            <w:r>
              <w:rPr>
                <w:spacing w:val="9"/>
                <w:sz w:val="20"/>
                <w:szCs w:val="20"/>
              </w:rPr>
              <w:t>落实措施，废（污）水均得到</w:t>
            </w:r>
          </w:p>
          <w:p w14:paraId="0DBED254">
            <w:pPr>
              <w:pStyle w:val="6"/>
              <w:spacing w:before="27" w:line="228" w:lineRule="auto"/>
              <w:ind w:left="561"/>
              <w:rPr>
                <w:sz w:val="20"/>
                <w:szCs w:val="20"/>
              </w:rPr>
            </w:pPr>
            <w:r>
              <w:rPr>
                <w:spacing w:val="7"/>
                <w:sz w:val="20"/>
                <w:szCs w:val="20"/>
              </w:rPr>
              <w:t>有效处置，无外排。</w:t>
            </w:r>
          </w:p>
        </w:tc>
        <w:tc>
          <w:tcPr>
            <w:tcW w:w="850" w:type="dxa"/>
            <w:vAlign w:val="top"/>
          </w:tcPr>
          <w:p w14:paraId="6A0C3B04">
            <w:pPr>
              <w:spacing w:line="276" w:lineRule="auto"/>
              <w:rPr>
                <w:rFonts w:ascii="Arial"/>
                <w:sz w:val="21"/>
              </w:rPr>
            </w:pPr>
          </w:p>
          <w:p w14:paraId="3E3FF2D8">
            <w:pPr>
              <w:spacing w:line="276" w:lineRule="auto"/>
              <w:rPr>
                <w:rFonts w:ascii="Arial"/>
                <w:sz w:val="21"/>
              </w:rPr>
            </w:pPr>
          </w:p>
          <w:p w14:paraId="26C66B7F">
            <w:pPr>
              <w:spacing w:before="58" w:line="199"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89" w:type="dxa"/>
            <w:tcBorders>
              <w:right w:val="single" w:color="000000" w:sz="6" w:space="0"/>
            </w:tcBorders>
            <w:vAlign w:val="top"/>
          </w:tcPr>
          <w:p w14:paraId="2F441010">
            <w:pPr>
              <w:spacing w:line="276" w:lineRule="auto"/>
              <w:rPr>
                <w:rFonts w:ascii="Arial"/>
                <w:sz w:val="21"/>
              </w:rPr>
            </w:pPr>
          </w:p>
          <w:p w14:paraId="548D01C9">
            <w:pPr>
              <w:spacing w:line="276" w:lineRule="auto"/>
              <w:rPr>
                <w:rFonts w:ascii="Arial"/>
                <w:sz w:val="21"/>
              </w:rPr>
            </w:pPr>
          </w:p>
          <w:p w14:paraId="2938E532">
            <w:pPr>
              <w:spacing w:before="58" w:line="199"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153E73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207" w:type="dxa"/>
            <w:vMerge w:val="continue"/>
            <w:tcBorders>
              <w:top w:val="nil"/>
              <w:left w:val="single" w:color="000000" w:sz="6" w:space="0"/>
            </w:tcBorders>
            <w:vAlign w:val="top"/>
          </w:tcPr>
          <w:p w14:paraId="4E745CD3">
            <w:pPr>
              <w:rPr>
                <w:rFonts w:ascii="Arial"/>
                <w:sz w:val="21"/>
              </w:rPr>
            </w:pPr>
          </w:p>
        </w:tc>
        <w:tc>
          <w:tcPr>
            <w:tcW w:w="3170" w:type="dxa"/>
            <w:vAlign w:val="top"/>
          </w:tcPr>
          <w:p w14:paraId="119245AB">
            <w:pPr>
              <w:pStyle w:val="6"/>
              <w:spacing w:before="49" w:line="228" w:lineRule="auto"/>
              <w:ind w:left="118"/>
              <w:rPr>
                <w:sz w:val="20"/>
                <w:szCs w:val="20"/>
              </w:rPr>
            </w:pPr>
            <w:r>
              <w:rPr>
                <w:spacing w:val="9"/>
                <w:sz w:val="20"/>
                <w:szCs w:val="20"/>
              </w:rPr>
              <w:t>盥洗废水排入井场设置的环保厕</w:t>
            </w:r>
          </w:p>
          <w:p w14:paraId="4C67C01A">
            <w:pPr>
              <w:pStyle w:val="6"/>
              <w:spacing w:before="24" w:line="220" w:lineRule="auto"/>
              <w:ind w:left="852"/>
              <w:rPr>
                <w:sz w:val="20"/>
                <w:szCs w:val="20"/>
              </w:rPr>
            </w:pPr>
            <w:r>
              <w:rPr>
                <w:spacing w:val="7"/>
                <w:sz w:val="20"/>
                <w:szCs w:val="20"/>
              </w:rPr>
              <w:t>所，定期清掏。</w:t>
            </w:r>
          </w:p>
        </w:tc>
        <w:tc>
          <w:tcPr>
            <w:tcW w:w="2995" w:type="dxa"/>
            <w:vMerge w:val="continue"/>
            <w:tcBorders>
              <w:top w:val="nil"/>
            </w:tcBorders>
            <w:vAlign w:val="top"/>
          </w:tcPr>
          <w:p w14:paraId="110904D2">
            <w:pPr>
              <w:rPr>
                <w:rFonts w:ascii="Arial"/>
                <w:sz w:val="21"/>
              </w:rPr>
            </w:pPr>
          </w:p>
        </w:tc>
        <w:tc>
          <w:tcPr>
            <w:tcW w:w="850" w:type="dxa"/>
            <w:vAlign w:val="top"/>
          </w:tcPr>
          <w:p w14:paraId="109A46A7">
            <w:pPr>
              <w:spacing w:before="219" w:line="199"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89" w:type="dxa"/>
            <w:tcBorders>
              <w:right w:val="single" w:color="000000" w:sz="6" w:space="0"/>
            </w:tcBorders>
            <w:vAlign w:val="top"/>
          </w:tcPr>
          <w:p w14:paraId="7F8B0A91">
            <w:pPr>
              <w:spacing w:before="219" w:line="199"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292B94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7" w:hRule="atLeast"/>
        </w:trPr>
        <w:tc>
          <w:tcPr>
            <w:tcW w:w="1207" w:type="dxa"/>
            <w:tcBorders>
              <w:left w:val="single" w:color="000000" w:sz="6" w:space="0"/>
            </w:tcBorders>
            <w:vAlign w:val="top"/>
          </w:tcPr>
          <w:p w14:paraId="474982B7">
            <w:pPr>
              <w:spacing w:line="298" w:lineRule="auto"/>
              <w:rPr>
                <w:rFonts w:ascii="Arial"/>
                <w:sz w:val="21"/>
              </w:rPr>
            </w:pPr>
          </w:p>
          <w:p w14:paraId="7C73F32A">
            <w:pPr>
              <w:spacing w:line="298" w:lineRule="auto"/>
              <w:rPr>
                <w:rFonts w:ascii="Arial"/>
                <w:sz w:val="21"/>
              </w:rPr>
            </w:pPr>
          </w:p>
          <w:p w14:paraId="4202C8BB">
            <w:pPr>
              <w:spacing w:line="298" w:lineRule="auto"/>
              <w:rPr>
                <w:rFonts w:ascii="Arial"/>
                <w:sz w:val="21"/>
              </w:rPr>
            </w:pPr>
          </w:p>
          <w:p w14:paraId="3C0A2B0F">
            <w:pPr>
              <w:spacing w:line="299" w:lineRule="auto"/>
              <w:rPr>
                <w:rFonts w:ascii="Arial"/>
                <w:sz w:val="21"/>
              </w:rPr>
            </w:pPr>
          </w:p>
          <w:p w14:paraId="6C21C998">
            <w:pPr>
              <w:pStyle w:val="6"/>
              <w:spacing w:before="65" w:line="254" w:lineRule="auto"/>
              <w:ind w:left="180" w:right="182"/>
              <w:rPr>
                <w:sz w:val="20"/>
                <w:szCs w:val="20"/>
              </w:rPr>
            </w:pPr>
            <w:r>
              <w:rPr>
                <w:b/>
                <w:bCs/>
                <w:spacing w:val="6"/>
                <w:sz w:val="20"/>
                <w:szCs w:val="20"/>
              </w:rPr>
              <w:t>地下水及土壤环境</w:t>
            </w:r>
          </w:p>
        </w:tc>
        <w:tc>
          <w:tcPr>
            <w:tcW w:w="3170" w:type="dxa"/>
            <w:vAlign w:val="top"/>
          </w:tcPr>
          <w:p w14:paraId="2A44F8DA">
            <w:pPr>
              <w:spacing w:line="383" w:lineRule="auto"/>
              <w:rPr>
                <w:rFonts w:ascii="Arial"/>
                <w:sz w:val="21"/>
              </w:rPr>
            </w:pPr>
          </w:p>
          <w:p w14:paraId="1261C9E1">
            <w:pPr>
              <w:pStyle w:val="6"/>
              <w:spacing w:before="65" w:line="251" w:lineRule="auto"/>
              <w:ind w:left="109" w:right="107" w:firstLine="15"/>
              <w:rPr>
                <w:sz w:val="20"/>
                <w:szCs w:val="20"/>
              </w:rPr>
            </w:pPr>
            <w:r>
              <w:rPr>
                <w:rFonts w:ascii="Times New Roman" w:hAnsi="Times New Roman" w:eastAsia="Times New Roman" w:cs="Times New Roman"/>
                <w:spacing w:val="2"/>
                <w:sz w:val="20"/>
                <w:szCs w:val="20"/>
              </w:rPr>
              <w:t>1</w:t>
            </w:r>
            <w:r>
              <w:rPr>
                <w:spacing w:val="2"/>
                <w:sz w:val="20"/>
                <w:szCs w:val="20"/>
              </w:rPr>
              <w:t>、整个井身均采用了水泥固井和</w:t>
            </w:r>
            <w:r>
              <w:rPr>
                <w:spacing w:val="5"/>
                <w:sz w:val="20"/>
                <w:szCs w:val="20"/>
              </w:rPr>
              <w:t>套管固封；</w:t>
            </w:r>
          </w:p>
          <w:p w14:paraId="576410B8">
            <w:pPr>
              <w:pStyle w:val="6"/>
              <w:spacing w:line="251" w:lineRule="auto"/>
              <w:ind w:left="111" w:right="107" w:hanging="7"/>
              <w:rPr>
                <w:sz w:val="20"/>
                <w:szCs w:val="20"/>
              </w:rPr>
            </w:pPr>
            <w:r>
              <w:rPr>
                <w:rFonts w:ascii="Times New Roman" w:hAnsi="Times New Roman" w:eastAsia="Times New Roman" w:cs="Times New Roman"/>
                <w:spacing w:val="3"/>
                <w:sz w:val="20"/>
                <w:szCs w:val="20"/>
              </w:rPr>
              <w:t>2</w:t>
            </w:r>
            <w:r>
              <w:rPr>
                <w:spacing w:val="3"/>
                <w:sz w:val="20"/>
                <w:szCs w:val="20"/>
              </w:rPr>
              <w:t>、针对钻井工程特点，将井场进</w:t>
            </w:r>
            <w:r>
              <w:rPr>
                <w:spacing w:val="10"/>
                <w:sz w:val="20"/>
                <w:szCs w:val="20"/>
              </w:rPr>
              <w:t>行分区防渗，分为重点防渗区、</w:t>
            </w:r>
            <w:r>
              <w:rPr>
                <w:spacing w:val="8"/>
                <w:sz w:val="20"/>
                <w:szCs w:val="20"/>
              </w:rPr>
              <w:t>一般防渗区和简单防渗区；</w:t>
            </w:r>
          </w:p>
          <w:p w14:paraId="7EE11726">
            <w:pPr>
              <w:pStyle w:val="6"/>
              <w:spacing w:before="1" w:line="252" w:lineRule="auto"/>
              <w:ind w:left="107" w:right="52" w:firstLine="1"/>
              <w:rPr>
                <w:sz w:val="20"/>
                <w:szCs w:val="20"/>
              </w:rPr>
            </w:pPr>
            <w:r>
              <w:rPr>
                <w:rFonts w:ascii="Times New Roman" w:hAnsi="Times New Roman" w:eastAsia="Times New Roman" w:cs="Times New Roman"/>
                <w:spacing w:val="3"/>
                <w:sz w:val="20"/>
                <w:szCs w:val="20"/>
              </w:rPr>
              <w:t>3</w:t>
            </w:r>
            <w:r>
              <w:rPr>
                <w:spacing w:val="3"/>
                <w:sz w:val="20"/>
                <w:szCs w:val="20"/>
              </w:rPr>
              <w:t>、选用合理钻井泥浆密度，实现</w:t>
            </w:r>
            <w:r>
              <w:rPr>
                <w:sz w:val="20"/>
                <w:szCs w:val="20"/>
              </w:rPr>
              <w:t>近平衡压力钻井，采用井控措施，</w:t>
            </w:r>
            <w:r>
              <w:rPr>
                <w:spacing w:val="6"/>
                <w:sz w:val="20"/>
                <w:szCs w:val="20"/>
              </w:rPr>
              <w:t>防止井喷等。</w:t>
            </w:r>
          </w:p>
        </w:tc>
        <w:tc>
          <w:tcPr>
            <w:tcW w:w="2995" w:type="dxa"/>
            <w:vAlign w:val="top"/>
          </w:tcPr>
          <w:p w14:paraId="1C8E0757">
            <w:pPr>
              <w:pStyle w:val="6"/>
              <w:spacing w:before="41" w:line="226" w:lineRule="auto"/>
              <w:ind w:left="34"/>
              <w:rPr>
                <w:sz w:val="20"/>
                <w:szCs w:val="20"/>
              </w:rPr>
            </w:pPr>
            <w:r>
              <w:rPr>
                <w:spacing w:val="9"/>
                <w:sz w:val="20"/>
                <w:szCs w:val="20"/>
              </w:rPr>
              <w:t>井场防渗满足《环境影响评价技</w:t>
            </w:r>
          </w:p>
          <w:p w14:paraId="15800578">
            <w:pPr>
              <w:pStyle w:val="6"/>
              <w:spacing w:before="25" w:line="228" w:lineRule="auto"/>
              <w:ind w:left="562"/>
              <w:rPr>
                <w:sz w:val="20"/>
                <w:szCs w:val="20"/>
              </w:rPr>
            </w:pPr>
            <w:r>
              <w:rPr>
                <w:spacing w:val="7"/>
                <w:sz w:val="20"/>
                <w:szCs w:val="20"/>
              </w:rPr>
              <w:t>术导则地下水环境》</w:t>
            </w:r>
          </w:p>
          <w:p w14:paraId="1252A0C4">
            <w:pPr>
              <w:pStyle w:val="6"/>
              <w:spacing w:before="27" w:line="229" w:lineRule="auto"/>
              <w:ind w:left="52"/>
              <w:rPr>
                <w:sz w:val="20"/>
                <w:szCs w:val="20"/>
              </w:rPr>
            </w:pPr>
            <w:r>
              <w:rPr>
                <w:spacing w:val="6"/>
                <w:sz w:val="20"/>
                <w:szCs w:val="20"/>
              </w:rPr>
              <w:t>（</w:t>
            </w:r>
            <w:r>
              <w:rPr>
                <w:rFonts w:ascii="Times New Roman" w:hAnsi="Times New Roman" w:eastAsia="Times New Roman" w:cs="Times New Roman"/>
                <w:sz w:val="20"/>
                <w:szCs w:val="20"/>
              </w:rPr>
              <w:t>HJ</w:t>
            </w:r>
            <w:r>
              <w:rPr>
                <w:rFonts w:ascii="Times New Roman" w:hAnsi="Times New Roman" w:eastAsia="Times New Roman" w:cs="Times New Roman"/>
                <w:spacing w:val="6"/>
                <w:sz w:val="20"/>
                <w:szCs w:val="20"/>
              </w:rPr>
              <w:t>610-2016</w:t>
            </w:r>
            <w:r>
              <w:rPr>
                <w:spacing w:val="6"/>
                <w:sz w:val="20"/>
                <w:szCs w:val="20"/>
              </w:rPr>
              <w:t>）和《石油化工工</w:t>
            </w:r>
          </w:p>
          <w:p w14:paraId="38EF090E">
            <w:pPr>
              <w:pStyle w:val="6"/>
              <w:spacing w:before="22" w:line="228" w:lineRule="auto"/>
              <w:ind w:left="665"/>
              <w:rPr>
                <w:sz w:val="20"/>
                <w:szCs w:val="20"/>
              </w:rPr>
            </w:pPr>
            <w:r>
              <w:rPr>
                <w:spacing w:val="7"/>
                <w:sz w:val="20"/>
                <w:szCs w:val="20"/>
              </w:rPr>
              <w:t>程防渗技术规范》</w:t>
            </w:r>
          </w:p>
          <w:p w14:paraId="6253D3E3">
            <w:pPr>
              <w:pStyle w:val="6"/>
              <w:spacing w:before="27" w:line="228" w:lineRule="auto"/>
              <w:jc w:val="right"/>
              <w:rPr>
                <w:sz w:val="20"/>
                <w:szCs w:val="20"/>
              </w:rPr>
            </w:pPr>
            <w:r>
              <w:rPr>
                <w:spacing w:val="-3"/>
                <w:sz w:val="20"/>
                <w:szCs w:val="20"/>
              </w:rPr>
              <w:t>（</w:t>
            </w:r>
            <w:r>
              <w:rPr>
                <w:rFonts w:ascii="Times New Roman" w:hAnsi="Times New Roman" w:eastAsia="Times New Roman" w:cs="Times New Roman"/>
                <w:spacing w:val="-3"/>
                <w:sz w:val="20"/>
                <w:szCs w:val="20"/>
              </w:rPr>
              <w:t>GB/T50934-2013</w:t>
            </w:r>
            <w:r>
              <w:rPr>
                <w:spacing w:val="-3"/>
                <w:sz w:val="20"/>
                <w:szCs w:val="20"/>
              </w:rPr>
              <w:t>）的相关要求，</w:t>
            </w:r>
          </w:p>
          <w:p w14:paraId="66A47DA3">
            <w:pPr>
              <w:pStyle w:val="6"/>
              <w:spacing w:before="24" w:line="228" w:lineRule="auto"/>
              <w:ind w:left="37"/>
              <w:rPr>
                <w:sz w:val="20"/>
                <w:szCs w:val="20"/>
              </w:rPr>
            </w:pPr>
            <w:r>
              <w:rPr>
                <w:spacing w:val="9"/>
                <w:sz w:val="20"/>
                <w:szCs w:val="20"/>
              </w:rPr>
              <w:t>危废贮存点防渗满足《危险废物</w:t>
            </w:r>
          </w:p>
          <w:p w14:paraId="06023725">
            <w:pPr>
              <w:pStyle w:val="6"/>
              <w:spacing w:before="26" w:line="228" w:lineRule="auto"/>
              <w:ind w:left="561"/>
              <w:rPr>
                <w:sz w:val="20"/>
                <w:szCs w:val="20"/>
              </w:rPr>
            </w:pPr>
            <w:r>
              <w:rPr>
                <w:spacing w:val="7"/>
                <w:sz w:val="20"/>
                <w:szCs w:val="20"/>
              </w:rPr>
              <w:t>贮存污染控制标准》</w:t>
            </w:r>
          </w:p>
          <w:p w14:paraId="1E3BF134">
            <w:pPr>
              <w:pStyle w:val="6"/>
              <w:spacing w:before="25" w:line="228" w:lineRule="auto"/>
              <w:ind w:right="1"/>
              <w:jc w:val="right"/>
              <w:rPr>
                <w:sz w:val="20"/>
                <w:szCs w:val="20"/>
              </w:rPr>
            </w:pPr>
            <w:r>
              <w:rPr>
                <w:spacing w:val="6"/>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6"/>
                <w:sz w:val="20"/>
                <w:szCs w:val="20"/>
              </w:rPr>
              <w:t>18597-2023</w:t>
            </w:r>
            <w:r>
              <w:rPr>
                <w:spacing w:val="6"/>
                <w:sz w:val="20"/>
                <w:szCs w:val="20"/>
              </w:rPr>
              <w:t>）相关要求。施</w:t>
            </w:r>
          </w:p>
          <w:p w14:paraId="4AF5692E">
            <w:pPr>
              <w:pStyle w:val="6"/>
              <w:spacing w:before="24" w:line="228" w:lineRule="auto"/>
              <w:ind w:left="37"/>
              <w:rPr>
                <w:sz w:val="20"/>
                <w:szCs w:val="20"/>
              </w:rPr>
            </w:pPr>
            <w:r>
              <w:rPr>
                <w:spacing w:val="9"/>
                <w:sz w:val="20"/>
                <w:szCs w:val="20"/>
              </w:rPr>
              <w:t>工作业不对地下水、土壤产生污</w:t>
            </w:r>
          </w:p>
          <w:p w14:paraId="01AF37AD">
            <w:pPr>
              <w:pStyle w:val="6"/>
              <w:spacing w:before="26" w:line="228" w:lineRule="auto"/>
              <w:ind w:left="38"/>
              <w:rPr>
                <w:sz w:val="20"/>
                <w:szCs w:val="20"/>
              </w:rPr>
            </w:pPr>
            <w:r>
              <w:rPr>
                <w:spacing w:val="9"/>
                <w:sz w:val="20"/>
                <w:szCs w:val="20"/>
              </w:rPr>
              <w:t>染影响，不影响区域居民生产生</w:t>
            </w:r>
          </w:p>
          <w:p w14:paraId="0128A7A2">
            <w:pPr>
              <w:pStyle w:val="6"/>
              <w:spacing w:before="24" w:line="207" w:lineRule="auto"/>
              <w:ind w:left="143"/>
              <w:rPr>
                <w:sz w:val="20"/>
                <w:szCs w:val="20"/>
              </w:rPr>
            </w:pPr>
            <w:r>
              <w:rPr>
                <w:spacing w:val="8"/>
                <w:sz w:val="20"/>
                <w:szCs w:val="20"/>
              </w:rPr>
              <w:t>活正常用水及土壤种植要求。</w:t>
            </w:r>
          </w:p>
        </w:tc>
        <w:tc>
          <w:tcPr>
            <w:tcW w:w="850" w:type="dxa"/>
            <w:vAlign w:val="top"/>
          </w:tcPr>
          <w:p w14:paraId="550C4AD0">
            <w:pPr>
              <w:spacing w:line="273" w:lineRule="auto"/>
              <w:rPr>
                <w:rFonts w:ascii="Arial"/>
                <w:sz w:val="21"/>
              </w:rPr>
            </w:pPr>
          </w:p>
          <w:p w14:paraId="7AA7A7DB">
            <w:pPr>
              <w:spacing w:line="273" w:lineRule="auto"/>
              <w:rPr>
                <w:rFonts w:ascii="Arial"/>
                <w:sz w:val="21"/>
              </w:rPr>
            </w:pPr>
          </w:p>
          <w:p w14:paraId="442CAE22">
            <w:pPr>
              <w:spacing w:line="274" w:lineRule="auto"/>
              <w:rPr>
                <w:rFonts w:ascii="Arial"/>
                <w:sz w:val="21"/>
              </w:rPr>
            </w:pPr>
          </w:p>
          <w:p w14:paraId="7D9C2862">
            <w:pPr>
              <w:spacing w:line="274" w:lineRule="auto"/>
              <w:rPr>
                <w:rFonts w:ascii="Arial"/>
                <w:sz w:val="21"/>
              </w:rPr>
            </w:pPr>
          </w:p>
          <w:p w14:paraId="72A342D9">
            <w:pPr>
              <w:spacing w:line="274" w:lineRule="auto"/>
              <w:rPr>
                <w:rFonts w:ascii="Arial"/>
                <w:sz w:val="21"/>
              </w:rPr>
            </w:pPr>
          </w:p>
          <w:p w14:paraId="4C247D8C">
            <w:pPr>
              <w:spacing w:before="58" w:line="199"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89" w:type="dxa"/>
            <w:tcBorders>
              <w:right w:val="single" w:color="000000" w:sz="6" w:space="0"/>
            </w:tcBorders>
            <w:vAlign w:val="top"/>
          </w:tcPr>
          <w:p w14:paraId="6EFC3D6F">
            <w:pPr>
              <w:spacing w:line="273" w:lineRule="auto"/>
              <w:rPr>
                <w:rFonts w:ascii="Arial"/>
                <w:sz w:val="21"/>
              </w:rPr>
            </w:pPr>
          </w:p>
          <w:p w14:paraId="117FB782">
            <w:pPr>
              <w:spacing w:line="273" w:lineRule="auto"/>
              <w:rPr>
                <w:rFonts w:ascii="Arial"/>
                <w:sz w:val="21"/>
              </w:rPr>
            </w:pPr>
          </w:p>
          <w:p w14:paraId="75D56E06">
            <w:pPr>
              <w:spacing w:line="274" w:lineRule="auto"/>
              <w:rPr>
                <w:rFonts w:ascii="Arial"/>
                <w:sz w:val="21"/>
              </w:rPr>
            </w:pPr>
          </w:p>
          <w:p w14:paraId="2530D00F">
            <w:pPr>
              <w:spacing w:line="274" w:lineRule="auto"/>
              <w:rPr>
                <w:rFonts w:ascii="Arial"/>
                <w:sz w:val="21"/>
              </w:rPr>
            </w:pPr>
          </w:p>
          <w:p w14:paraId="0BF2C23A">
            <w:pPr>
              <w:spacing w:line="274" w:lineRule="auto"/>
              <w:rPr>
                <w:rFonts w:ascii="Arial"/>
                <w:sz w:val="21"/>
              </w:rPr>
            </w:pPr>
          </w:p>
          <w:p w14:paraId="2C69E79E">
            <w:pPr>
              <w:spacing w:before="58" w:line="199"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1A8B54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5" w:hRule="atLeast"/>
        </w:trPr>
        <w:tc>
          <w:tcPr>
            <w:tcW w:w="1207" w:type="dxa"/>
            <w:tcBorders>
              <w:left w:val="single" w:color="000000" w:sz="6" w:space="0"/>
            </w:tcBorders>
            <w:vAlign w:val="top"/>
          </w:tcPr>
          <w:p w14:paraId="7CDB36E5">
            <w:pPr>
              <w:spacing w:line="476" w:lineRule="auto"/>
              <w:rPr>
                <w:rFonts w:ascii="Arial"/>
                <w:sz w:val="21"/>
              </w:rPr>
            </w:pPr>
          </w:p>
          <w:p w14:paraId="3B219CE3">
            <w:pPr>
              <w:pStyle w:val="6"/>
              <w:spacing w:before="65" w:line="228" w:lineRule="auto"/>
              <w:ind w:left="290"/>
              <w:rPr>
                <w:sz w:val="20"/>
                <w:szCs w:val="20"/>
              </w:rPr>
            </w:pPr>
            <w:r>
              <w:rPr>
                <w:b/>
                <w:bCs/>
                <w:spacing w:val="4"/>
                <w:sz w:val="20"/>
                <w:szCs w:val="20"/>
              </w:rPr>
              <w:t>声环境</w:t>
            </w:r>
          </w:p>
        </w:tc>
        <w:tc>
          <w:tcPr>
            <w:tcW w:w="3170" w:type="dxa"/>
            <w:vAlign w:val="top"/>
          </w:tcPr>
          <w:p w14:paraId="48A658B2">
            <w:pPr>
              <w:pStyle w:val="6"/>
              <w:spacing w:before="136" w:line="251" w:lineRule="auto"/>
              <w:ind w:left="107" w:right="55" w:firstLine="17"/>
              <w:rPr>
                <w:sz w:val="20"/>
                <w:szCs w:val="20"/>
              </w:rPr>
            </w:pPr>
            <w:r>
              <w:rPr>
                <w:rFonts w:ascii="Times New Roman" w:hAnsi="Times New Roman" w:eastAsia="Times New Roman" w:cs="Times New Roman"/>
                <w:spacing w:val="2"/>
                <w:sz w:val="20"/>
                <w:szCs w:val="20"/>
              </w:rPr>
              <w:t>1</w:t>
            </w:r>
            <w:r>
              <w:rPr>
                <w:spacing w:val="2"/>
                <w:sz w:val="20"/>
                <w:szCs w:val="20"/>
              </w:rPr>
              <w:t>、钻机、钻井泥浆泵等主要噪声</w:t>
            </w:r>
            <w:r>
              <w:rPr>
                <w:sz w:val="20"/>
                <w:szCs w:val="20"/>
              </w:rPr>
              <w:t>源设置减振基础，定期维护保养；</w:t>
            </w:r>
          </w:p>
          <w:p w14:paraId="7BFF09F8">
            <w:pPr>
              <w:pStyle w:val="6"/>
              <w:spacing w:line="252" w:lineRule="auto"/>
              <w:ind w:left="108" w:right="107" w:hanging="4"/>
              <w:rPr>
                <w:sz w:val="20"/>
                <w:szCs w:val="20"/>
              </w:rPr>
            </w:pPr>
            <w:r>
              <w:rPr>
                <w:rFonts w:ascii="Times New Roman" w:hAnsi="Times New Roman" w:eastAsia="Times New Roman" w:cs="Times New Roman"/>
                <w:spacing w:val="3"/>
                <w:sz w:val="20"/>
                <w:szCs w:val="20"/>
              </w:rPr>
              <w:t>2</w:t>
            </w:r>
            <w:r>
              <w:rPr>
                <w:spacing w:val="3"/>
                <w:sz w:val="20"/>
                <w:szCs w:val="20"/>
              </w:rPr>
              <w:t>、加强施工管理工作，车辆减速</w:t>
            </w:r>
            <w:r>
              <w:rPr>
                <w:spacing w:val="2"/>
                <w:sz w:val="20"/>
                <w:szCs w:val="20"/>
              </w:rPr>
              <w:t>慢行。</w:t>
            </w:r>
          </w:p>
        </w:tc>
        <w:tc>
          <w:tcPr>
            <w:tcW w:w="2995" w:type="dxa"/>
            <w:vAlign w:val="top"/>
          </w:tcPr>
          <w:p w14:paraId="6F8D5308">
            <w:pPr>
              <w:pStyle w:val="6"/>
              <w:spacing w:before="273" w:line="251" w:lineRule="auto"/>
              <w:ind w:left="116" w:right="31" w:firstLine="23"/>
              <w:jc w:val="both"/>
              <w:rPr>
                <w:sz w:val="20"/>
                <w:szCs w:val="20"/>
              </w:rPr>
            </w:pPr>
            <w:r>
              <w:rPr>
                <w:spacing w:val="9"/>
                <w:sz w:val="20"/>
                <w:szCs w:val="20"/>
              </w:rPr>
              <w:t>场界噪声满足《建筑施工噪声</w:t>
            </w:r>
            <w:r>
              <w:rPr>
                <w:spacing w:val="6"/>
                <w:sz w:val="20"/>
                <w:szCs w:val="20"/>
              </w:rPr>
              <w:t>排放标准》（</w:t>
            </w:r>
            <w:r>
              <w:rPr>
                <w:rFonts w:ascii="Times New Roman" w:hAnsi="Times New Roman" w:eastAsia="Times New Roman" w:cs="Times New Roman"/>
                <w:sz w:val="20"/>
                <w:szCs w:val="20"/>
              </w:rPr>
              <w:t>GB</w:t>
            </w:r>
            <w:r>
              <w:rPr>
                <w:rFonts w:ascii="Times New Roman" w:hAnsi="Times New Roman" w:eastAsia="Times New Roman" w:cs="Times New Roman"/>
                <w:spacing w:val="6"/>
                <w:sz w:val="20"/>
                <w:szCs w:val="20"/>
              </w:rPr>
              <w:t>12523-2025</w:t>
            </w:r>
            <w:r>
              <w:rPr>
                <w:spacing w:val="6"/>
                <w:sz w:val="20"/>
                <w:szCs w:val="20"/>
              </w:rPr>
              <w:t>）</w:t>
            </w:r>
            <w:r>
              <w:rPr>
                <w:spacing w:val="3"/>
                <w:sz w:val="20"/>
                <w:szCs w:val="20"/>
              </w:rPr>
              <w:t>中限值要求，未发生扰民事件。</w:t>
            </w:r>
          </w:p>
        </w:tc>
        <w:tc>
          <w:tcPr>
            <w:tcW w:w="850" w:type="dxa"/>
            <w:vAlign w:val="top"/>
          </w:tcPr>
          <w:p w14:paraId="3795F040">
            <w:pPr>
              <w:spacing w:line="257" w:lineRule="auto"/>
              <w:rPr>
                <w:rFonts w:ascii="Arial"/>
                <w:sz w:val="21"/>
              </w:rPr>
            </w:pPr>
          </w:p>
          <w:p w14:paraId="66BC28C8">
            <w:pPr>
              <w:spacing w:line="258" w:lineRule="auto"/>
              <w:rPr>
                <w:rFonts w:ascii="Arial"/>
                <w:sz w:val="21"/>
              </w:rPr>
            </w:pPr>
          </w:p>
          <w:p w14:paraId="28806C8D">
            <w:pPr>
              <w:spacing w:before="57" w:line="199"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89" w:type="dxa"/>
            <w:tcBorders>
              <w:right w:val="single" w:color="000000" w:sz="6" w:space="0"/>
            </w:tcBorders>
            <w:vAlign w:val="top"/>
          </w:tcPr>
          <w:p w14:paraId="7A3E4777">
            <w:pPr>
              <w:spacing w:line="257" w:lineRule="auto"/>
              <w:rPr>
                <w:rFonts w:ascii="Arial"/>
                <w:sz w:val="21"/>
              </w:rPr>
            </w:pPr>
          </w:p>
          <w:p w14:paraId="163D5B96">
            <w:pPr>
              <w:spacing w:line="258" w:lineRule="auto"/>
              <w:rPr>
                <w:rFonts w:ascii="Arial"/>
                <w:sz w:val="21"/>
              </w:rPr>
            </w:pPr>
          </w:p>
          <w:p w14:paraId="0D17A082">
            <w:pPr>
              <w:spacing w:before="57" w:line="199"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1AA272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1207" w:type="dxa"/>
            <w:tcBorders>
              <w:left w:val="single" w:color="000000" w:sz="6" w:space="0"/>
              <w:bottom w:val="single" w:color="000000" w:sz="6" w:space="0"/>
            </w:tcBorders>
            <w:vAlign w:val="top"/>
          </w:tcPr>
          <w:p w14:paraId="413A6E2A">
            <w:pPr>
              <w:pStyle w:val="6"/>
              <w:spacing w:before="120" w:line="228" w:lineRule="auto"/>
              <w:ind w:left="390"/>
              <w:rPr>
                <w:sz w:val="20"/>
                <w:szCs w:val="20"/>
              </w:rPr>
            </w:pPr>
            <w:r>
              <w:rPr>
                <w:b/>
                <w:bCs/>
                <w:spacing w:val="4"/>
                <w:sz w:val="20"/>
                <w:szCs w:val="20"/>
              </w:rPr>
              <w:t>振动</w:t>
            </w:r>
          </w:p>
        </w:tc>
        <w:tc>
          <w:tcPr>
            <w:tcW w:w="3170" w:type="dxa"/>
            <w:tcBorders>
              <w:bottom w:val="single" w:color="000000" w:sz="6" w:space="0"/>
            </w:tcBorders>
            <w:vAlign w:val="top"/>
          </w:tcPr>
          <w:p w14:paraId="0196C761">
            <w:pPr>
              <w:spacing w:before="154" w:line="199" w:lineRule="auto"/>
              <w:ind w:left="15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995" w:type="dxa"/>
            <w:tcBorders>
              <w:bottom w:val="single" w:color="000000" w:sz="6" w:space="0"/>
            </w:tcBorders>
            <w:vAlign w:val="top"/>
          </w:tcPr>
          <w:p w14:paraId="4D49277B">
            <w:pPr>
              <w:spacing w:before="154" w:line="199" w:lineRule="auto"/>
              <w:ind w:left="14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50" w:type="dxa"/>
            <w:tcBorders>
              <w:bottom w:val="single" w:color="000000" w:sz="6" w:space="0"/>
            </w:tcBorders>
            <w:vAlign w:val="top"/>
          </w:tcPr>
          <w:p w14:paraId="7694C984">
            <w:pPr>
              <w:spacing w:before="154" w:line="199"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89" w:type="dxa"/>
            <w:tcBorders>
              <w:bottom w:val="single" w:color="000000" w:sz="6" w:space="0"/>
              <w:right w:val="single" w:color="000000" w:sz="6" w:space="0"/>
            </w:tcBorders>
            <w:vAlign w:val="top"/>
          </w:tcPr>
          <w:p w14:paraId="6D019171">
            <w:pPr>
              <w:spacing w:before="154" w:line="199"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bl>
    <w:p w14:paraId="7E1ED973">
      <w:pPr>
        <w:rPr>
          <w:rFonts w:ascii="Arial"/>
          <w:sz w:val="21"/>
        </w:rPr>
      </w:pPr>
    </w:p>
    <w:p w14:paraId="31FB592A">
      <w:pPr>
        <w:rPr>
          <w:rFonts w:ascii="Arial" w:hAnsi="Arial" w:eastAsia="Arial" w:cs="Arial"/>
          <w:sz w:val="21"/>
          <w:szCs w:val="21"/>
        </w:rPr>
        <w:sectPr>
          <w:footerReference r:id="rId117" w:type="default"/>
          <w:pgSz w:w="11906" w:h="16839"/>
          <w:pgMar w:top="400" w:right="1405" w:bottom="1240" w:left="1574" w:header="0" w:footer="1078" w:gutter="0"/>
          <w:cols w:space="720" w:num="1"/>
        </w:sectPr>
      </w:pPr>
    </w:p>
    <w:p w14:paraId="710CFC29">
      <w:pPr>
        <w:spacing w:before="56"/>
      </w:pPr>
    </w:p>
    <w:p w14:paraId="3208E34E">
      <w:pPr>
        <w:spacing w:before="56"/>
      </w:pPr>
    </w:p>
    <w:p w14:paraId="06883198">
      <w:pPr>
        <w:spacing w:before="55"/>
      </w:pPr>
    </w:p>
    <w:p w14:paraId="418C8C1E">
      <w:pPr>
        <w:spacing w:before="55"/>
      </w:pPr>
    </w:p>
    <w:tbl>
      <w:tblPr>
        <w:tblStyle w:val="5"/>
        <w:tblW w:w="891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7"/>
        <w:gridCol w:w="3170"/>
        <w:gridCol w:w="2995"/>
        <w:gridCol w:w="850"/>
        <w:gridCol w:w="689"/>
      </w:tblGrid>
      <w:tr w14:paraId="2EC844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9" w:hRule="atLeast"/>
        </w:trPr>
        <w:tc>
          <w:tcPr>
            <w:tcW w:w="1207" w:type="dxa"/>
            <w:vMerge w:val="restart"/>
            <w:tcBorders>
              <w:top w:val="single" w:color="000000" w:sz="6" w:space="0"/>
              <w:left w:val="single" w:color="000000" w:sz="6" w:space="0"/>
              <w:bottom w:val="nil"/>
            </w:tcBorders>
            <w:vAlign w:val="top"/>
          </w:tcPr>
          <w:p w14:paraId="253F434D">
            <w:pPr>
              <w:spacing w:line="246" w:lineRule="auto"/>
              <w:rPr>
                <w:rFonts w:ascii="Arial"/>
                <w:sz w:val="21"/>
              </w:rPr>
            </w:pPr>
          </w:p>
          <w:p w14:paraId="7666B31D">
            <w:pPr>
              <w:spacing w:line="247" w:lineRule="auto"/>
              <w:rPr>
                <w:rFonts w:ascii="Arial"/>
                <w:sz w:val="21"/>
              </w:rPr>
            </w:pPr>
          </w:p>
          <w:p w14:paraId="34285977">
            <w:pPr>
              <w:spacing w:line="247" w:lineRule="auto"/>
              <w:rPr>
                <w:rFonts w:ascii="Arial"/>
                <w:sz w:val="21"/>
              </w:rPr>
            </w:pPr>
          </w:p>
          <w:p w14:paraId="12097F20">
            <w:pPr>
              <w:spacing w:line="247" w:lineRule="auto"/>
              <w:rPr>
                <w:rFonts w:ascii="Arial"/>
                <w:sz w:val="21"/>
              </w:rPr>
            </w:pPr>
          </w:p>
          <w:p w14:paraId="75FDA4FA">
            <w:pPr>
              <w:spacing w:line="247" w:lineRule="auto"/>
              <w:rPr>
                <w:rFonts w:ascii="Arial"/>
                <w:sz w:val="21"/>
              </w:rPr>
            </w:pPr>
          </w:p>
          <w:p w14:paraId="57A4B5B3">
            <w:pPr>
              <w:spacing w:line="247" w:lineRule="auto"/>
              <w:rPr>
                <w:rFonts w:ascii="Arial"/>
                <w:sz w:val="21"/>
              </w:rPr>
            </w:pPr>
          </w:p>
          <w:p w14:paraId="783EB3F7">
            <w:pPr>
              <w:spacing w:line="247" w:lineRule="auto"/>
              <w:rPr>
                <w:rFonts w:ascii="Arial"/>
                <w:sz w:val="21"/>
              </w:rPr>
            </w:pPr>
          </w:p>
          <w:p w14:paraId="2E55630A">
            <w:pPr>
              <w:spacing w:line="247" w:lineRule="auto"/>
              <w:rPr>
                <w:rFonts w:ascii="Arial"/>
                <w:sz w:val="21"/>
              </w:rPr>
            </w:pPr>
          </w:p>
          <w:p w14:paraId="7B75EF24">
            <w:pPr>
              <w:spacing w:line="247" w:lineRule="auto"/>
              <w:rPr>
                <w:rFonts w:ascii="Arial"/>
                <w:sz w:val="21"/>
              </w:rPr>
            </w:pPr>
          </w:p>
          <w:p w14:paraId="4930B492">
            <w:pPr>
              <w:spacing w:line="247" w:lineRule="auto"/>
              <w:rPr>
                <w:rFonts w:ascii="Arial"/>
                <w:sz w:val="21"/>
              </w:rPr>
            </w:pPr>
          </w:p>
          <w:p w14:paraId="0F60C507">
            <w:pPr>
              <w:spacing w:line="247" w:lineRule="auto"/>
              <w:rPr>
                <w:rFonts w:ascii="Arial"/>
                <w:sz w:val="21"/>
              </w:rPr>
            </w:pPr>
          </w:p>
          <w:p w14:paraId="1416C490">
            <w:pPr>
              <w:pStyle w:val="6"/>
              <w:spacing w:before="65" w:line="228" w:lineRule="auto"/>
              <w:ind w:left="182"/>
              <w:rPr>
                <w:sz w:val="20"/>
                <w:szCs w:val="20"/>
              </w:rPr>
            </w:pPr>
            <w:r>
              <w:rPr>
                <w:b/>
                <w:bCs/>
                <w:spacing w:val="5"/>
                <w:sz w:val="20"/>
                <w:szCs w:val="20"/>
              </w:rPr>
              <w:t>大气环境</w:t>
            </w:r>
          </w:p>
        </w:tc>
        <w:tc>
          <w:tcPr>
            <w:tcW w:w="3170" w:type="dxa"/>
            <w:tcBorders>
              <w:top w:val="single" w:color="000000" w:sz="6" w:space="0"/>
            </w:tcBorders>
            <w:vAlign w:val="top"/>
          </w:tcPr>
          <w:p w14:paraId="742D838F">
            <w:pPr>
              <w:spacing w:line="272" w:lineRule="auto"/>
              <w:rPr>
                <w:rFonts w:ascii="Arial"/>
                <w:sz w:val="21"/>
              </w:rPr>
            </w:pPr>
          </w:p>
          <w:p w14:paraId="7D1EE019">
            <w:pPr>
              <w:spacing w:line="273" w:lineRule="auto"/>
              <w:rPr>
                <w:rFonts w:ascii="Arial"/>
                <w:sz w:val="21"/>
              </w:rPr>
            </w:pPr>
          </w:p>
          <w:p w14:paraId="23AFEF22">
            <w:pPr>
              <w:pStyle w:val="6"/>
              <w:spacing w:before="65" w:line="227" w:lineRule="auto"/>
              <w:ind w:left="117"/>
              <w:rPr>
                <w:sz w:val="20"/>
                <w:szCs w:val="20"/>
              </w:rPr>
            </w:pPr>
            <w:r>
              <w:rPr>
                <w:spacing w:val="9"/>
                <w:sz w:val="20"/>
                <w:szCs w:val="20"/>
              </w:rPr>
              <w:t>施工扬尘采取洒水抑尘、车辆减</w:t>
            </w:r>
          </w:p>
          <w:p w14:paraId="25F36C73">
            <w:pPr>
              <w:pStyle w:val="6"/>
              <w:spacing w:before="28" w:line="228" w:lineRule="auto"/>
              <w:ind w:left="640"/>
              <w:rPr>
                <w:sz w:val="20"/>
                <w:szCs w:val="20"/>
              </w:rPr>
            </w:pPr>
            <w:r>
              <w:rPr>
                <w:spacing w:val="7"/>
                <w:sz w:val="20"/>
                <w:szCs w:val="20"/>
              </w:rPr>
              <w:t>速慢行、物料遮盖。</w:t>
            </w:r>
          </w:p>
        </w:tc>
        <w:tc>
          <w:tcPr>
            <w:tcW w:w="2995" w:type="dxa"/>
            <w:tcBorders>
              <w:top w:val="single" w:color="000000" w:sz="6" w:space="0"/>
            </w:tcBorders>
            <w:vAlign w:val="top"/>
          </w:tcPr>
          <w:p w14:paraId="32401242">
            <w:pPr>
              <w:pStyle w:val="6"/>
              <w:spacing w:before="68" w:line="228" w:lineRule="auto"/>
              <w:ind w:left="139"/>
              <w:rPr>
                <w:sz w:val="20"/>
                <w:szCs w:val="20"/>
              </w:rPr>
            </w:pPr>
            <w:r>
              <w:rPr>
                <w:spacing w:val="9"/>
                <w:sz w:val="20"/>
                <w:szCs w:val="20"/>
              </w:rPr>
              <w:t>颗粒物周界外浓度最高点满足</w:t>
            </w:r>
          </w:p>
          <w:p w14:paraId="31863B11">
            <w:pPr>
              <w:pStyle w:val="6"/>
              <w:spacing w:before="27" w:line="228" w:lineRule="auto"/>
              <w:ind w:left="145"/>
              <w:rPr>
                <w:sz w:val="20"/>
                <w:szCs w:val="20"/>
              </w:rPr>
            </w:pPr>
            <w:r>
              <w:rPr>
                <w:spacing w:val="8"/>
                <w:sz w:val="20"/>
                <w:szCs w:val="20"/>
              </w:rPr>
              <w:t>《大气污染物综合排放标准》</w:t>
            </w:r>
          </w:p>
          <w:p w14:paraId="4FC183B5">
            <w:pPr>
              <w:pStyle w:val="6"/>
              <w:spacing w:before="24" w:line="228" w:lineRule="auto"/>
              <w:ind w:left="113"/>
              <w:rPr>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2"/>
                <w:sz w:val="20"/>
                <w:szCs w:val="20"/>
              </w:rPr>
              <w:t>16297-</w:t>
            </w:r>
            <w:r>
              <w:rPr>
                <w:rFonts w:ascii="Times New Roman" w:hAnsi="Times New Roman" w:eastAsia="Times New Roman" w:cs="Times New Roman"/>
                <w:spacing w:val="-17"/>
                <w:sz w:val="20"/>
                <w:szCs w:val="20"/>
              </w:rPr>
              <w:t xml:space="preserve"> </w:t>
            </w:r>
            <w:r>
              <w:rPr>
                <w:rFonts w:ascii="Times New Roman" w:hAnsi="Times New Roman" w:eastAsia="Times New Roman" w:cs="Times New Roman"/>
                <w:spacing w:val="2"/>
                <w:sz w:val="20"/>
                <w:szCs w:val="20"/>
              </w:rPr>
              <w:t>1996</w:t>
            </w:r>
            <w:r>
              <w:rPr>
                <w:rFonts w:ascii="Times New Roman" w:hAnsi="Times New Roman" w:eastAsia="Times New Roman" w:cs="Times New Roman"/>
                <w:spacing w:val="17"/>
                <w:sz w:val="20"/>
                <w:szCs w:val="20"/>
              </w:rPr>
              <w:t xml:space="preserve"> </w:t>
            </w:r>
            <w:r>
              <w:rPr>
                <w:spacing w:val="2"/>
                <w:sz w:val="20"/>
                <w:szCs w:val="20"/>
              </w:rPr>
              <w:t>中表</w:t>
            </w:r>
            <w:r>
              <w:rPr>
                <w:spacing w:val="-57"/>
                <w:sz w:val="20"/>
                <w:szCs w:val="20"/>
              </w:rPr>
              <w:t xml:space="preserve"> </w:t>
            </w:r>
            <w:r>
              <w:rPr>
                <w:rFonts w:ascii="Times New Roman" w:hAnsi="Times New Roman" w:eastAsia="Times New Roman" w:cs="Times New Roman"/>
                <w:spacing w:val="2"/>
                <w:sz w:val="20"/>
                <w:szCs w:val="20"/>
              </w:rPr>
              <w:t xml:space="preserve">2 </w:t>
            </w:r>
            <w:r>
              <w:rPr>
                <w:spacing w:val="2"/>
                <w:sz w:val="20"/>
                <w:szCs w:val="20"/>
              </w:rPr>
              <w:t>新污染源</w:t>
            </w:r>
          </w:p>
          <w:p w14:paraId="23ED98D0">
            <w:pPr>
              <w:pStyle w:val="6"/>
              <w:spacing w:before="25" w:line="228" w:lineRule="auto"/>
              <w:ind w:left="142"/>
              <w:rPr>
                <w:sz w:val="20"/>
                <w:szCs w:val="20"/>
              </w:rPr>
            </w:pPr>
            <w:r>
              <w:rPr>
                <w:spacing w:val="9"/>
                <w:sz w:val="20"/>
                <w:szCs w:val="20"/>
              </w:rPr>
              <w:t>大气污染物排放限值中的颗粒</w:t>
            </w:r>
          </w:p>
          <w:p w14:paraId="7813C71F">
            <w:pPr>
              <w:pStyle w:val="6"/>
              <w:spacing w:before="24" w:line="228" w:lineRule="auto"/>
              <w:ind w:left="140"/>
              <w:rPr>
                <w:sz w:val="20"/>
                <w:szCs w:val="20"/>
              </w:rPr>
            </w:pPr>
            <w:r>
              <w:rPr>
                <w:spacing w:val="9"/>
                <w:sz w:val="20"/>
                <w:szCs w:val="20"/>
              </w:rPr>
              <w:t>物无组织排放监控浓度限值要</w:t>
            </w:r>
          </w:p>
          <w:p w14:paraId="27C6FC06">
            <w:pPr>
              <w:pStyle w:val="6"/>
              <w:spacing w:before="24" w:line="229" w:lineRule="auto"/>
              <w:ind w:left="1296"/>
              <w:rPr>
                <w:sz w:val="20"/>
                <w:szCs w:val="20"/>
              </w:rPr>
            </w:pPr>
            <w:r>
              <w:rPr>
                <w:spacing w:val="-1"/>
                <w:sz w:val="20"/>
                <w:szCs w:val="20"/>
              </w:rPr>
              <w:t>求。</w:t>
            </w:r>
          </w:p>
        </w:tc>
        <w:tc>
          <w:tcPr>
            <w:tcW w:w="850" w:type="dxa"/>
            <w:tcBorders>
              <w:top w:val="single" w:color="000000" w:sz="6" w:space="0"/>
            </w:tcBorders>
            <w:vAlign w:val="top"/>
          </w:tcPr>
          <w:p w14:paraId="2AFC3786">
            <w:pPr>
              <w:rPr>
                <w:rFonts w:ascii="Arial"/>
                <w:sz w:val="21"/>
              </w:rPr>
            </w:pPr>
          </w:p>
          <w:p w14:paraId="03B3AD56">
            <w:pPr>
              <w:rPr>
                <w:rFonts w:ascii="Arial"/>
                <w:sz w:val="21"/>
              </w:rPr>
            </w:pPr>
          </w:p>
          <w:p w14:paraId="1ACC4C82">
            <w:pPr>
              <w:rPr>
                <w:rFonts w:ascii="Arial"/>
                <w:sz w:val="21"/>
              </w:rPr>
            </w:pPr>
          </w:p>
          <w:p w14:paraId="64AC6D86">
            <w:pPr>
              <w:spacing w:before="58" w:line="199"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89" w:type="dxa"/>
            <w:tcBorders>
              <w:top w:val="single" w:color="000000" w:sz="6" w:space="0"/>
              <w:right w:val="single" w:color="000000" w:sz="6" w:space="0"/>
            </w:tcBorders>
            <w:vAlign w:val="top"/>
          </w:tcPr>
          <w:p w14:paraId="7C5E5FE1">
            <w:pPr>
              <w:rPr>
                <w:rFonts w:ascii="Arial"/>
                <w:sz w:val="21"/>
              </w:rPr>
            </w:pPr>
          </w:p>
          <w:p w14:paraId="620A462E">
            <w:pPr>
              <w:rPr>
                <w:rFonts w:ascii="Arial"/>
                <w:sz w:val="21"/>
              </w:rPr>
            </w:pPr>
          </w:p>
          <w:p w14:paraId="5B3F875F">
            <w:pPr>
              <w:rPr>
                <w:rFonts w:ascii="Arial"/>
                <w:sz w:val="21"/>
              </w:rPr>
            </w:pPr>
          </w:p>
          <w:p w14:paraId="174250BA">
            <w:pPr>
              <w:spacing w:before="58" w:line="199"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0B176F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1" w:hRule="atLeast"/>
        </w:trPr>
        <w:tc>
          <w:tcPr>
            <w:tcW w:w="1207" w:type="dxa"/>
            <w:vMerge w:val="continue"/>
            <w:tcBorders>
              <w:top w:val="nil"/>
              <w:left w:val="single" w:color="000000" w:sz="6" w:space="0"/>
              <w:bottom w:val="nil"/>
            </w:tcBorders>
            <w:vAlign w:val="top"/>
          </w:tcPr>
          <w:p w14:paraId="1354DCFB">
            <w:pPr>
              <w:rPr>
                <w:rFonts w:ascii="Arial"/>
                <w:sz w:val="21"/>
              </w:rPr>
            </w:pPr>
          </w:p>
        </w:tc>
        <w:tc>
          <w:tcPr>
            <w:tcW w:w="3170" w:type="dxa"/>
            <w:vAlign w:val="top"/>
          </w:tcPr>
          <w:p w14:paraId="4C22191F">
            <w:pPr>
              <w:pStyle w:val="6"/>
              <w:spacing w:before="253" w:line="227" w:lineRule="auto"/>
              <w:ind w:left="118"/>
              <w:rPr>
                <w:sz w:val="20"/>
                <w:szCs w:val="20"/>
              </w:rPr>
            </w:pPr>
            <w:r>
              <w:rPr>
                <w:spacing w:val="9"/>
                <w:sz w:val="20"/>
                <w:szCs w:val="20"/>
              </w:rPr>
              <w:t>柴油发电机组使用轻质柴油，定</w:t>
            </w:r>
          </w:p>
          <w:p w14:paraId="7F80002B">
            <w:pPr>
              <w:pStyle w:val="6"/>
              <w:spacing w:before="24" w:line="228" w:lineRule="auto"/>
              <w:ind w:left="120"/>
              <w:rPr>
                <w:sz w:val="20"/>
                <w:szCs w:val="20"/>
              </w:rPr>
            </w:pPr>
            <w:r>
              <w:rPr>
                <w:spacing w:val="9"/>
                <w:sz w:val="20"/>
                <w:szCs w:val="20"/>
              </w:rPr>
              <w:t>期检修，保持设备运行良好，使</w:t>
            </w:r>
          </w:p>
          <w:p w14:paraId="610EA529">
            <w:pPr>
              <w:pStyle w:val="6"/>
              <w:spacing w:before="26" w:line="228" w:lineRule="auto"/>
              <w:ind w:left="540"/>
              <w:rPr>
                <w:sz w:val="20"/>
                <w:szCs w:val="20"/>
              </w:rPr>
            </w:pPr>
            <w:r>
              <w:rPr>
                <w:spacing w:val="7"/>
                <w:sz w:val="20"/>
                <w:szCs w:val="20"/>
              </w:rPr>
              <w:t>用自带的排气筒排放。</w:t>
            </w:r>
          </w:p>
        </w:tc>
        <w:tc>
          <w:tcPr>
            <w:tcW w:w="2995" w:type="dxa"/>
            <w:vAlign w:val="top"/>
          </w:tcPr>
          <w:p w14:paraId="3C28C494">
            <w:pPr>
              <w:pStyle w:val="6"/>
              <w:spacing w:before="116" w:line="227" w:lineRule="auto"/>
              <w:ind w:left="140"/>
              <w:rPr>
                <w:sz w:val="20"/>
                <w:szCs w:val="20"/>
              </w:rPr>
            </w:pPr>
            <w:r>
              <w:rPr>
                <w:spacing w:val="9"/>
                <w:sz w:val="20"/>
                <w:szCs w:val="20"/>
              </w:rPr>
              <w:t>柴油发电机尾气排放浓度满足</w:t>
            </w:r>
          </w:p>
          <w:p w14:paraId="2F5B6C27">
            <w:pPr>
              <w:pStyle w:val="6"/>
              <w:spacing w:before="28" w:line="228" w:lineRule="auto"/>
              <w:ind w:left="145"/>
              <w:rPr>
                <w:sz w:val="20"/>
                <w:szCs w:val="20"/>
              </w:rPr>
            </w:pPr>
            <w:r>
              <w:rPr>
                <w:spacing w:val="8"/>
                <w:sz w:val="20"/>
                <w:szCs w:val="20"/>
              </w:rPr>
              <w:t>《大气污染物综合排放标准》</w:t>
            </w:r>
          </w:p>
          <w:p w14:paraId="01A01902">
            <w:pPr>
              <w:pStyle w:val="6"/>
              <w:spacing w:before="23" w:line="228" w:lineRule="auto"/>
              <w:ind w:left="113"/>
              <w:rPr>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2"/>
                <w:sz w:val="20"/>
                <w:szCs w:val="20"/>
              </w:rPr>
              <w:t>16297-</w:t>
            </w:r>
            <w:r>
              <w:rPr>
                <w:rFonts w:ascii="Times New Roman" w:hAnsi="Times New Roman" w:eastAsia="Times New Roman" w:cs="Times New Roman"/>
                <w:spacing w:val="-17"/>
                <w:sz w:val="20"/>
                <w:szCs w:val="20"/>
              </w:rPr>
              <w:t xml:space="preserve"> </w:t>
            </w:r>
            <w:r>
              <w:rPr>
                <w:rFonts w:ascii="Times New Roman" w:hAnsi="Times New Roman" w:eastAsia="Times New Roman" w:cs="Times New Roman"/>
                <w:spacing w:val="2"/>
                <w:sz w:val="20"/>
                <w:szCs w:val="20"/>
              </w:rPr>
              <w:t>1996</w:t>
            </w:r>
            <w:r>
              <w:rPr>
                <w:rFonts w:ascii="Times New Roman" w:hAnsi="Times New Roman" w:eastAsia="Times New Roman" w:cs="Times New Roman"/>
                <w:spacing w:val="17"/>
                <w:sz w:val="20"/>
                <w:szCs w:val="20"/>
              </w:rPr>
              <w:t xml:space="preserve"> </w:t>
            </w:r>
            <w:r>
              <w:rPr>
                <w:spacing w:val="2"/>
                <w:sz w:val="20"/>
                <w:szCs w:val="20"/>
              </w:rPr>
              <w:t>中表</w:t>
            </w:r>
            <w:r>
              <w:rPr>
                <w:spacing w:val="-57"/>
                <w:sz w:val="20"/>
                <w:szCs w:val="20"/>
              </w:rPr>
              <w:t xml:space="preserve"> </w:t>
            </w:r>
            <w:r>
              <w:rPr>
                <w:rFonts w:ascii="Times New Roman" w:hAnsi="Times New Roman" w:eastAsia="Times New Roman" w:cs="Times New Roman"/>
                <w:spacing w:val="2"/>
                <w:sz w:val="20"/>
                <w:szCs w:val="20"/>
              </w:rPr>
              <w:t xml:space="preserve">2 </w:t>
            </w:r>
            <w:r>
              <w:rPr>
                <w:spacing w:val="2"/>
                <w:sz w:val="20"/>
                <w:szCs w:val="20"/>
              </w:rPr>
              <w:t>最高允许</w:t>
            </w:r>
          </w:p>
          <w:p w14:paraId="0B529BB1">
            <w:pPr>
              <w:pStyle w:val="6"/>
              <w:spacing w:before="26" w:line="228" w:lineRule="auto"/>
              <w:ind w:left="771"/>
              <w:rPr>
                <w:sz w:val="20"/>
                <w:szCs w:val="20"/>
              </w:rPr>
            </w:pPr>
            <w:r>
              <w:rPr>
                <w:spacing w:val="7"/>
                <w:sz w:val="20"/>
                <w:szCs w:val="20"/>
              </w:rPr>
              <w:t>排放浓度限值。</w:t>
            </w:r>
          </w:p>
        </w:tc>
        <w:tc>
          <w:tcPr>
            <w:tcW w:w="850" w:type="dxa"/>
            <w:vAlign w:val="top"/>
          </w:tcPr>
          <w:p w14:paraId="1EF5D93F">
            <w:pPr>
              <w:spacing w:line="249" w:lineRule="auto"/>
              <w:rPr>
                <w:rFonts w:ascii="Arial"/>
                <w:sz w:val="21"/>
              </w:rPr>
            </w:pPr>
          </w:p>
          <w:p w14:paraId="0E2921C4">
            <w:pPr>
              <w:spacing w:line="249" w:lineRule="auto"/>
              <w:rPr>
                <w:rFonts w:ascii="Arial"/>
                <w:sz w:val="21"/>
              </w:rPr>
            </w:pPr>
          </w:p>
          <w:p w14:paraId="1F91A825">
            <w:pPr>
              <w:spacing w:before="57" w:line="199"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89" w:type="dxa"/>
            <w:tcBorders>
              <w:right w:val="single" w:color="000000" w:sz="6" w:space="0"/>
            </w:tcBorders>
            <w:vAlign w:val="top"/>
          </w:tcPr>
          <w:p w14:paraId="18ABB611">
            <w:pPr>
              <w:spacing w:line="249" w:lineRule="auto"/>
              <w:rPr>
                <w:rFonts w:ascii="Arial"/>
                <w:sz w:val="21"/>
              </w:rPr>
            </w:pPr>
          </w:p>
          <w:p w14:paraId="6E4D8771">
            <w:pPr>
              <w:spacing w:line="249" w:lineRule="auto"/>
              <w:rPr>
                <w:rFonts w:ascii="Arial"/>
                <w:sz w:val="21"/>
              </w:rPr>
            </w:pPr>
          </w:p>
          <w:p w14:paraId="7ACAE3C3">
            <w:pPr>
              <w:spacing w:before="57" w:line="199"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491BB9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9" w:hRule="atLeast"/>
        </w:trPr>
        <w:tc>
          <w:tcPr>
            <w:tcW w:w="1207" w:type="dxa"/>
            <w:vMerge w:val="continue"/>
            <w:tcBorders>
              <w:top w:val="nil"/>
              <w:left w:val="single" w:color="000000" w:sz="6" w:space="0"/>
            </w:tcBorders>
            <w:vAlign w:val="top"/>
          </w:tcPr>
          <w:p w14:paraId="137DBE96">
            <w:pPr>
              <w:rPr>
                <w:rFonts w:ascii="Arial"/>
                <w:sz w:val="21"/>
              </w:rPr>
            </w:pPr>
          </w:p>
        </w:tc>
        <w:tc>
          <w:tcPr>
            <w:tcW w:w="3170" w:type="dxa"/>
            <w:vAlign w:val="top"/>
          </w:tcPr>
          <w:p w14:paraId="4BB41D56">
            <w:pPr>
              <w:pStyle w:val="6"/>
              <w:spacing w:before="81" w:line="227" w:lineRule="auto"/>
              <w:ind w:left="118"/>
              <w:rPr>
                <w:sz w:val="20"/>
                <w:szCs w:val="20"/>
              </w:rPr>
            </w:pPr>
            <w:r>
              <w:rPr>
                <w:spacing w:val="9"/>
                <w:sz w:val="20"/>
                <w:szCs w:val="20"/>
              </w:rPr>
              <w:t>柴油罐为防腐储罐，采用环密技</w:t>
            </w:r>
          </w:p>
          <w:p w14:paraId="58D02DD3">
            <w:pPr>
              <w:pStyle w:val="6"/>
              <w:spacing w:before="27" w:line="228" w:lineRule="auto"/>
              <w:ind w:left="120"/>
              <w:rPr>
                <w:sz w:val="20"/>
                <w:szCs w:val="20"/>
              </w:rPr>
            </w:pPr>
            <w:r>
              <w:rPr>
                <w:spacing w:val="10"/>
                <w:sz w:val="20"/>
                <w:szCs w:val="20"/>
              </w:rPr>
              <w:t>术，设置切断系统，对管线、阀</w:t>
            </w:r>
          </w:p>
          <w:p w14:paraId="007226A5">
            <w:pPr>
              <w:pStyle w:val="6"/>
              <w:spacing w:before="24" w:line="228" w:lineRule="auto"/>
              <w:ind w:left="141"/>
              <w:rPr>
                <w:sz w:val="20"/>
                <w:szCs w:val="20"/>
              </w:rPr>
            </w:pPr>
            <w:r>
              <w:rPr>
                <w:spacing w:val="7"/>
                <w:sz w:val="20"/>
                <w:szCs w:val="20"/>
              </w:rPr>
              <w:t>门等进行定期的检查。试油阶段</w:t>
            </w:r>
          </w:p>
          <w:p w14:paraId="72DC8951">
            <w:pPr>
              <w:pStyle w:val="6"/>
              <w:spacing w:before="26" w:line="227" w:lineRule="auto"/>
              <w:ind w:left="220"/>
              <w:rPr>
                <w:sz w:val="20"/>
                <w:szCs w:val="20"/>
              </w:rPr>
            </w:pPr>
            <w:r>
              <w:rPr>
                <w:spacing w:val="9"/>
                <w:sz w:val="20"/>
                <w:szCs w:val="20"/>
              </w:rPr>
              <w:t>采出液通过密闭管线进入储液</w:t>
            </w:r>
          </w:p>
          <w:p w14:paraId="01AC45D7">
            <w:pPr>
              <w:pStyle w:val="6"/>
              <w:spacing w:before="25" w:line="228" w:lineRule="auto"/>
              <w:ind w:right="13"/>
              <w:jc w:val="right"/>
              <w:rPr>
                <w:sz w:val="20"/>
                <w:szCs w:val="20"/>
              </w:rPr>
            </w:pPr>
            <w:r>
              <w:rPr>
                <w:spacing w:val="2"/>
                <w:sz w:val="20"/>
                <w:szCs w:val="20"/>
              </w:rPr>
              <w:t>罐，储液罐为高架卧式防腐储罐；</w:t>
            </w:r>
          </w:p>
          <w:p w14:paraId="31DC59BA">
            <w:pPr>
              <w:pStyle w:val="6"/>
              <w:spacing w:before="24" w:line="227" w:lineRule="auto"/>
              <w:ind w:left="117"/>
              <w:rPr>
                <w:sz w:val="20"/>
                <w:szCs w:val="20"/>
              </w:rPr>
            </w:pPr>
            <w:r>
              <w:rPr>
                <w:spacing w:val="9"/>
                <w:sz w:val="20"/>
                <w:szCs w:val="20"/>
              </w:rPr>
              <w:t>储液罐安装简易装车鹤管，装车</w:t>
            </w:r>
          </w:p>
          <w:p w14:paraId="76C7FB60">
            <w:pPr>
              <w:pStyle w:val="6"/>
              <w:spacing w:before="28" w:line="227" w:lineRule="auto"/>
              <w:ind w:right="13"/>
              <w:jc w:val="right"/>
              <w:rPr>
                <w:sz w:val="20"/>
                <w:szCs w:val="20"/>
              </w:rPr>
            </w:pPr>
            <w:r>
              <w:rPr>
                <w:spacing w:val="2"/>
                <w:sz w:val="20"/>
                <w:szCs w:val="20"/>
              </w:rPr>
              <w:t>过程采用浸没式；设置切断系统，</w:t>
            </w:r>
          </w:p>
          <w:p w14:paraId="671B0F19">
            <w:pPr>
              <w:pStyle w:val="6"/>
              <w:spacing w:before="25" w:line="228" w:lineRule="auto"/>
              <w:ind w:right="13"/>
              <w:jc w:val="right"/>
              <w:rPr>
                <w:sz w:val="20"/>
                <w:szCs w:val="20"/>
              </w:rPr>
            </w:pPr>
            <w:r>
              <w:rPr>
                <w:spacing w:val="2"/>
                <w:sz w:val="20"/>
                <w:szCs w:val="20"/>
              </w:rPr>
              <w:t>对管线、阀门等进行定期的检查。</w:t>
            </w:r>
          </w:p>
          <w:p w14:paraId="7150B182">
            <w:pPr>
              <w:pStyle w:val="6"/>
              <w:spacing w:before="26" w:line="228" w:lineRule="auto"/>
              <w:ind w:left="119"/>
              <w:rPr>
                <w:sz w:val="20"/>
                <w:szCs w:val="20"/>
              </w:rPr>
            </w:pPr>
            <w:r>
              <w:rPr>
                <w:spacing w:val="9"/>
                <w:sz w:val="20"/>
                <w:szCs w:val="20"/>
              </w:rPr>
              <w:t>少量伴生气进入放喷装置，通过</w:t>
            </w:r>
          </w:p>
          <w:p w14:paraId="57BA0793">
            <w:pPr>
              <w:pStyle w:val="6"/>
              <w:spacing w:before="27" w:line="227" w:lineRule="auto"/>
              <w:ind w:left="854"/>
              <w:rPr>
                <w:sz w:val="20"/>
                <w:szCs w:val="20"/>
              </w:rPr>
            </w:pPr>
            <w:r>
              <w:rPr>
                <w:spacing w:val="6"/>
                <w:sz w:val="20"/>
                <w:szCs w:val="20"/>
              </w:rPr>
              <w:t>火炬就地燃烧。</w:t>
            </w:r>
          </w:p>
        </w:tc>
        <w:tc>
          <w:tcPr>
            <w:tcW w:w="2995" w:type="dxa"/>
            <w:vAlign w:val="top"/>
          </w:tcPr>
          <w:p w14:paraId="079AF5E0">
            <w:pPr>
              <w:spacing w:line="288" w:lineRule="auto"/>
              <w:rPr>
                <w:rFonts w:ascii="Arial"/>
                <w:sz w:val="21"/>
              </w:rPr>
            </w:pPr>
          </w:p>
          <w:p w14:paraId="101ECF29">
            <w:pPr>
              <w:pStyle w:val="6"/>
              <w:spacing w:before="65" w:line="228" w:lineRule="auto"/>
              <w:ind w:left="34"/>
              <w:rPr>
                <w:sz w:val="20"/>
                <w:szCs w:val="20"/>
              </w:rPr>
            </w:pPr>
            <w:r>
              <w:rPr>
                <w:spacing w:val="9"/>
                <w:sz w:val="20"/>
                <w:szCs w:val="20"/>
              </w:rPr>
              <w:t>井场场界非甲烷总烃排放浓度满</w:t>
            </w:r>
          </w:p>
          <w:p w14:paraId="1C125632">
            <w:pPr>
              <w:pStyle w:val="6"/>
              <w:spacing w:before="24" w:line="227" w:lineRule="auto"/>
              <w:ind w:left="38"/>
              <w:rPr>
                <w:sz w:val="20"/>
                <w:szCs w:val="20"/>
              </w:rPr>
            </w:pPr>
            <w:r>
              <w:rPr>
                <w:spacing w:val="9"/>
                <w:sz w:val="20"/>
                <w:szCs w:val="20"/>
              </w:rPr>
              <w:t>足《陆上石油天然气开采工业大</w:t>
            </w:r>
          </w:p>
          <w:p w14:paraId="2E66E663">
            <w:pPr>
              <w:pStyle w:val="6"/>
              <w:spacing w:before="25" w:line="228" w:lineRule="auto"/>
              <w:ind w:left="561"/>
              <w:rPr>
                <w:sz w:val="20"/>
                <w:szCs w:val="20"/>
              </w:rPr>
            </w:pPr>
            <w:r>
              <w:rPr>
                <w:spacing w:val="7"/>
                <w:sz w:val="20"/>
                <w:szCs w:val="20"/>
              </w:rPr>
              <w:t>气污染物排放标准》</w:t>
            </w:r>
          </w:p>
          <w:p w14:paraId="220470D3">
            <w:pPr>
              <w:pStyle w:val="6"/>
              <w:spacing w:before="26" w:line="228" w:lineRule="auto"/>
              <w:ind w:right="1"/>
              <w:jc w:val="right"/>
              <w:rPr>
                <w:sz w:val="20"/>
                <w:szCs w:val="20"/>
              </w:rPr>
            </w:pPr>
            <w:r>
              <w:rPr>
                <w:spacing w:val="6"/>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6"/>
                <w:sz w:val="20"/>
                <w:szCs w:val="20"/>
              </w:rPr>
              <w:t>39728-2020</w:t>
            </w:r>
            <w:r>
              <w:rPr>
                <w:spacing w:val="6"/>
                <w:sz w:val="20"/>
                <w:szCs w:val="20"/>
              </w:rPr>
              <w:t>）中企业边界污</w:t>
            </w:r>
          </w:p>
          <w:p w14:paraId="11D8B623">
            <w:pPr>
              <w:pStyle w:val="6"/>
              <w:spacing w:before="23" w:line="228" w:lineRule="auto"/>
              <w:ind w:left="38"/>
              <w:rPr>
                <w:sz w:val="20"/>
                <w:szCs w:val="20"/>
              </w:rPr>
            </w:pPr>
            <w:r>
              <w:rPr>
                <w:spacing w:val="9"/>
                <w:sz w:val="20"/>
                <w:szCs w:val="20"/>
              </w:rPr>
              <w:t>染物控制要求；井场内非甲烷总</w:t>
            </w:r>
          </w:p>
          <w:p w14:paraId="32BB85D8">
            <w:pPr>
              <w:pStyle w:val="6"/>
              <w:spacing w:before="27" w:line="227" w:lineRule="auto"/>
              <w:ind w:left="35"/>
              <w:rPr>
                <w:sz w:val="20"/>
                <w:szCs w:val="20"/>
              </w:rPr>
            </w:pPr>
            <w:r>
              <w:rPr>
                <w:spacing w:val="9"/>
                <w:sz w:val="20"/>
                <w:szCs w:val="20"/>
              </w:rPr>
              <w:t>烃排放浓度满足《挥发性有机物</w:t>
            </w:r>
          </w:p>
          <w:p w14:paraId="732584DB">
            <w:pPr>
              <w:pStyle w:val="6"/>
              <w:spacing w:before="26" w:line="228" w:lineRule="auto"/>
              <w:ind w:left="456"/>
              <w:rPr>
                <w:sz w:val="20"/>
                <w:szCs w:val="20"/>
              </w:rPr>
            </w:pPr>
            <w:r>
              <w:rPr>
                <w:spacing w:val="7"/>
                <w:sz w:val="20"/>
                <w:szCs w:val="20"/>
              </w:rPr>
              <w:t>无组织排放控制标准》</w:t>
            </w:r>
          </w:p>
          <w:p w14:paraId="35352CB5">
            <w:pPr>
              <w:pStyle w:val="6"/>
              <w:spacing w:before="26" w:line="229" w:lineRule="auto"/>
              <w:ind w:left="25"/>
              <w:rPr>
                <w:sz w:val="20"/>
                <w:szCs w:val="20"/>
              </w:rPr>
            </w:pPr>
            <w:r>
              <w:rPr>
                <w:spacing w:val="3"/>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37822-2019</w:t>
            </w:r>
            <w:r>
              <w:rPr>
                <w:spacing w:val="3"/>
                <w:sz w:val="20"/>
                <w:szCs w:val="20"/>
              </w:rPr>
              <w:t>）表</w:t>
            </w:r>
            <w:r>
              <w:rPr>
                <w:spacing w:val="-26"/>
                <w:sz w:val="20"/>
                <w:szCs w:val="20"/>
              </w:rPr>
              <w:t xml:space="preserve"> </w:t>
            </w:r>
            <w:r>
              <w:rPr>
                <w:rFonts w:ascii="Times New Roman" w:hAnsi="Times New Roman" w:eastAsia="Times New Roman" w:cs="Times New Roman"/>
                <w:spacing w:val="3"/>
                <w:sz w:val="20"/>
                <w:szCs w:val="20"/>
              </w:rPr>
              <w:t>A.</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3"/>
                <w:sz w:val="20"/>
                <w:szCs w:val="20"/>
              </w:rPr>
              <w:t xml:space="preserve">1 </w:t>
            </w:r>
            <w:r>
              <w:rPr>
                <w:spacing w:val="3"/>
                <w:sz w:val="20"/>
                <w:szCs w:val="20"/>
              </w:rPr>
              <w:t>要求。</w:t>
            </w:r>
          </w:p>
        </w:tc>
        <w:tc>
          <w:tcPr>
            <w:tcW w:w="850" w:type="dxa"/>
            <w:vAlign w:val="top"/>
          </w:tcPr>
          <w:p w14:paraId="3EDAA31B">
            <w:pPr>
              <w:spacing w:line="254" w:lineRule="auto"/>
              <w:rPr>
                <w:rFonts w:ascii="Arial"/>
                <w:sz w:val="21"/>
              </w:rPr>
            </w:pPr>
          </w:p>
          <w:p w14:paraId="3E5B39C7">
            <w:pPr>
              <w:spacing w:line="255" w:lineRule="auto"/>
              <w:rPr>
                <w:rFonts w:ascii="Arial"/>
                <w:sz w:val="21"/>
              </w:rPr>
            </w:pPr>
          </w:p>
          <w:p w14:paraId="78A1466A">
            <w:pPr>
              <w:spacing w:line="255" w:lineRule="auto"/>
              <w:rPr>
                <w:rFonts w:ascii="Arial"/>
                <w:sz w:val="21"/>
              </w:rPr>
            </w:pPr>
          </w:p>
          <w:p w14:paraId="6DACB220">
            <w:pPr>
              <w:spacing w:line="255" w:lineRule="auto"/>
              <w:rPr>
                <w:rFonts w:ascii="Arial"/>
                <w:sz w:val="21"/>
              </w:rPr>
            </w:pPr>
          </w:p>
          <w:p w14:paraId="5763C747">
            <w:pPr>
              <w:spacing w:line="255" w:lineRule="auto"/>
              <w:rPr>
                <w:rFonts w:ascii="Arial"/>
                <w:sz w:val="21"/>
              </w:rPr>
            </w:pPr>
          </w:p>
          <w:p w14:paraId="683C5063">
            <w:pPr>
              <w:spacing w:before="58" w:line="199"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89" w:type="dxa"/>
            <w:tcBorders>
              <w:right w:val="single" w:color="000000" w:sz="6" w:space="0"/>
            </w:tcBorders>
            <w:vAlign w:val="top"/>
          </w:tcPr>
          <w:p w14:paraId="1B8B5EEE">
            <w:pPr>
              <w:spacing w:line="254" w:lineRule="auto"/>
              <w:rPr>
                <w:rFonts w:ascii="Arial"/>
                <w:sz w:val="21"/>
              </w:rPr>
            </w:pPr>
          </w:p>
          <w:p w14:paraId="4CC2D89A">
            <w:pPr>
              <w:spacing w:line="255" w:lineRule="auto"/>
              <w:rPr>
                <w:rFonts w:ascii="Arial"/>
                <w:sz w:val="21"/>
              </w:rPr>
            </w:pPr>
          </w:p>
          <w:p w14:paraId="622CED74">
            <w:pPr>
              <w:spacing w:line="255" w:lineRule="auto"/>
              <w:rPr>
                <w:rFonts w:ascii="Arial"/>
                <w:sz w:val="21"/>
              </w:rPr>
            </w:pPr>
          </w:p>
          <w:p w14:paraId="0D178280">
            <w:pPr>
              <w:spacing w:line="255" w:lineRule="auto"/>
              <w:rPr>
                <w:rFonts w:ascii="Arial"/>
                <w:sz w:val="21"/>
              </w:rPr>
            </w:pPr>
          </w:p>
          <w:p w14:paraId="7E512573">
            <w:pPr>
              <w:spacing w:line="255" w:lineRule="auto"/>
              <w:rPr>
                <w:rFonts w:ascii="Arial"/>
                <w:sz w:val="21"/>
              </w:rPr>
            </w:pPr>
          </w:p>
          <w:p w14:paraId="7771CBCD">
            <w:pPr>
              <w:spacing w:before="58" w:line="199"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2EF98B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1" w:hRule="atLeast"/>
        </w:trPr>
        <w:tc>
          <w:tcPr>
            <w:tcW w:w="1207" w:type="dxa"/>
            <w:vMerge w:val="restart"/>
            <w:tcBorders>
              <w:left w:val="single" w:color="000000" w:sz="6" w:space="0"/>
              <w:bottom w:val="nil"/>
            </w:tcBorders>
            <w:vAlign w:val="top"/>
          </w:tcPr>
          <w:p w14:paraId="13508BDC">
            <w:pPr>
              <w:spacing w:line="268" w:lineRule="auto"/>
              <w:rPr>
                <w:rFonts w:ascii="Arial"/>
                <w:sz w:val="21"/>
              </w:rPr>
            </w:pPr>
          </w:p>
          <w:p w14:paraId="4B6D5DC5">
            <w:pPr>
              <w:spacing w:line="268" w:lineRule="auto"/>
              <w:rPr>
                <w:rFonts w:ascii="Arial"/>
                <w:sz w:val="21"/>
              </w:rPr>
            </w:pPr>
          </w:p>
          <w:p w14:paraId="52C59134">
            <w:pPr>
              <w:spacing w:line="268" w:lineRule="auto"/>
              <w:rPr>
                <w:rFonts w:ascii="Arial"/>
                <w:sz w:val="21"/>
              </w:rPr>
            </w:pPr>
          </w:p>
          <w:p w14:paraId="542EDE1C">
            <w:pPr>
              <w:spacing w:line="269" w:lineRule="auto"/>
              <w:rPr>
                <w:rFonts w:ascii="Arial"/>
                <w:sz w:val="21"/>
              </w:rPr>
            </w:pPr>
          </w:p>
          <w:p w14:paraId="1C316EB5">
            <w:pPr>
              <w:spacing w:line="269" w:lineRule="auto"/>
              <w:rPr>
                <w:rFonts w:ascii="Arial"/>
                <w:sz w:val="21"/>
              </w:rPr>
            </w:pPr>
          </w:p>
          <w:p w14:paraId="47FBB80C">
            <w:pPr>
              <w:spacing w:line="269" w:lineRule="auto"/>
              <w:rPr>
                <w:rFonts w:ascii="Arial"/>
                <w:sz w:val="21"/>
              </w:rPr>
            </w:pPr>
          </w:p>
          <w:p w14:paraId="19695F8E">
            <w:pPr>
              <w:spacing w:line="269" w:lineRule="auto"/>
              <w:rPr>
                <w:rFonts w:ascii="Arial"/>
                <w:sz w:val="21"/>
              </w:rPr>
            </w:pPr>
          </w:p>
          <w:p w14:paraId="7FA61F1F">
            <w:pPr>
              <w:pStyle w:val="6"/>
              <w:spacing w:before="65" w:line="228" w:lineRule="auto"/>
              <w:ind w:left="198"/>
              <w:rPr>
                <w:sz w:val="20"/>
                <w:szCs w:val="20"/>
              </w:rPr>
            </w:pPr>
            <w:r>
              <w:rPr>
                <w:b/>
                <w:bCs/>
                <w:spacing w:val="2"/>
                <w:sz w:val="20"/>
                <w:szCs w:val="20"/>
              </w:rPr>
              <w:t>固体废物</w:t>
            </w:r>
          </w:p>
        </w:tc>
        <w:tc>
          <w:tcPr>
            <w:tcW w:w="3170" w:type="dxa"/>
            <w:vAlign w:val="top"/>
          </w:tcPr>
          <w:p w14:paraId="46D87443">
            <w:pPr>
              <w:spacing w:line="276" w:lineRule="auto"/>
              <w:rPr>
                <w:rFonts w:ascii="Arial"/>
                <w:sz w:val="21"/>
              </w:rPr>
            </w:pPr>
          </w:p>
          <w:p w14:paraId="7F3EFCC8">
            <w:pPr>
              <w:pStyle w:val="6"/>
              <w:spacing w:before="65" w:line="228" w:lineRule="auto"/>
              <w:ind w:left="117"/>
              <w:rPr>
                <w:sz w:val="20"/>
                <w:szCs w:val="20"/>
              </w:rPr>
            </w:pPr>
            <w:r>
              <w:rPr>
                <w:spacing w:val="9"/>
                <w:sz w:val="20"/>
                <w:szCs w:val="20"/>
              </w:rPr>
              <w:t>废弃泥浆、钻井岩屑收集至可移</w:t>
            </w:r>
          </w:p>
          <w:p w14:paraId="7F007550">
            <w:pPr>
              <w:pStyle w:val="6"/>
              <w:spacing w:before="24" w:line="228" w:lineRule="auto"/>
              <w:ind w:left="119"/>
              <w:rPr>
                <w:sz w:val="20"/>
                <w:szCs w:val="20"/>
              </w:rPr>
            </w:pPr>
            <w:r>
              <w:rPr>
                <w:spacing w:val="9"/>
                <w:sz w:val="20"/>
                <w:szCs w:val="20"/>
              </w:rPr>
              <w:t>动废水罐，定期拉运至内蒙古众</w:t>
            </w:r>
          </w:p>
          <w:p w14:paraId="65E99DD5">
            <w:pPr>
              <w:pStyle w:val="6"/>
              <w:spacing w:before="24" w:line="227" w:lineRule="auto"/>
              <w:ind w:left="129"/>
              <w:rPr>
                <w:sz w:val="20"/>
                <w:szCs w:val="20"/>
              </w:rPr>
            </w:pPr>
            <w:r>
              <w:rPr>
                <w:spacing w:val="8"/>
                <w:sz w:val="20"/>
                <w:szCs w:val="20"/>
              </w:rPr>
              <w:t>宁环保科技有限公司油气田废弃</w:t>
            </w:r>
          </w:p>
          <w:p w14:paraId="31298FEF">
            <w:pPr>
              <w:pStyle w:val="6"/>
              <w:spacing w:before="27" w:line="228" w:lineRule="auto"/>
              <w:ind w:left="641"/>
              <w:rPr>
                <w:sz w:val="20"/>
                <w:szCs w:val="20"/>
              </w:rPr>
            </w:pPr>
            <w:r>
              <w:rPr>
                <w:spacing w:val="7"/>
                <w:sz w:val="20"/>
                <w:szCs w:val="20"/>
              </w:rPr>
              <w:t>物集中处理厂处理。</w:t>
            </w:r>
          </w:p>
        </w:tc>
        <w:tc>
          <w:tcPr>
            <w:tcW w:w="2995" w:type="dxa"/>
            <w:vAlign w:val="top"/>
          </w:tcPr>
          <w:p w14:paraId="7CBE78C2">
            <w:pPr>
              <w:pStyle w:val="6"/>
              <w:spacing w:before="110" w:line="228" w:lineRule="auto"/>
              <w:ind w:left="36"/>
              <w:rPr>
                <w:sz w:val="20"/>
                <w:szCs w:val="20"/>
              </w:rPr>
            </w:pPr>
            <w:r>
              <w:rPr>
                <w:spacing w:val="9"/>
                <w:sz w:val="20"/>
                <w:szCs w:val="20"/>
              </w:rPr>
              <w:t>符合《一般工业固体废物贮存和</w:t>
            </w:r>
          </w:p>
          <w:p w14:paraId="6068887A">
            <w:pPr>
              <w:pStyle w:val="6"/>
              <w:spacing w:before="75" w:line="228" w:lineRule="auto"/>
              <w:ind w:left="562"/>
              <w:rPr>
                <w:sz w:val="20"/>
                <w:szCs w:val="20"/>
              </w:rPr>
            </w:pPr>
            <w:r>
              <w:rPr>
                <w:spacing w:val="7"/>
                <w:sz w:val="20"/>
                <w:szCs w:val="20"/>
              </w:rPr>
              <w:t>填埋污染控制标准》</w:t>
            </w:r>
          </w:p>
          <w:p w14:paraId="6BC6FE1B">
            <w:pPr>
              <w:pStyle w:val="6"/>
              <w:spacing w:before="71" w:line="228" w:lineRule="auto"/>
              <w:ind w:right="1"/>
              <w:jc w:val="right"/>
              <w:rPr>
                <w:sz w:val="20"/>
                <w:szCs w:val="20"/>
              </w:rPr>
            </w:pPr>
            <w:r>
              <w:rPr>
                <w:spacing w:val="6"/>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6"/>
                <w:sz w:val="20"/>
                <w:szCs w:val="20"/>
              </w:rPr>
              <w:t>18599-2020</w:t>
            </w:r>
            <w:r>
              <w:rPr>
                <w:spacing w:val="6"/>
                <w:sz w:val="20"/>
                <w:szCs w:val="20"/>
              </w:rPr>
              <w:t>）要求，废弃泥</w:t>
            </w:r>
          </w:p>
          <w:p w14:paraId="24CF5916">
            <w:pPr>
              <w:pStyle w:val="6"/>
              <w:spacing w:before="72" w:line="228" w:lineRule="auto"/>
              <w:ind w:left="34"/>
              <w:rPr>
                <w:sz w:val="20"/>
                <w:szCs w:val="20"/>
              </w:rPr>
            </w:pPr>
            <w:r>
              <w:rPr>
                <w:spacing w:val="8"/>
                <w:sz w:val="20"/>
                <w:szCs w:val="20"/>
              </w:rPr>
              <w:t>浆和钻井岩屑在井场内不落地、</w:t>
            </w:r>
          </w:p>
          <w:p w14:paraId="3FBA325C">
            <w:pPr>
              <w:pStyle w:val="6"/>
              <w:spacing w:before="75" w:line="228" w:lineRule="auto"/>
              <w:ind w:left="1089"/>
              <w:rPr>
                <w:sz w:val="20"/>
                <w:szCs w:val="20"/>
              </w:rPr>
            </w:pPr>
            <w:r>
              <w:rPr>
                <w:spacing w:val="4"/>
                <w:sz w:val="20"/>
                <w:szCs w:val="20"/>
              </w:rPr>
              <w:t>不外排。</w:t>
            </w:r>
          </w:p>
        </w:tc>
        <w:tc>
          <w:tcPr>
            <w:tcW w:w="850" w:type="dxa"/>
            <w:vAlign w:val="top"/>
          </w:tcPr>
          <w:p w14:paraId="30EAF1E4">
            <w:pPr>
              <w:rPr>
                <w:rFonts w:ascii="Arial"/>
                <w:sz w:val="21"/>
              </w:rPr>
            </w:pPr>
          </w:p>
          <w:p w14:paraId="10BA7880">
            <w:pPr>
              <w:spacing w:line="241" w:lineRule="auto"/>
              <w:rPr>
                <w:rFonts w:ascii="Arial"/>
                <w:sz w:val="21"/>
              </w:rPr>
            </w:pPr>
          </w:p>
          <w:p w14:paraId="1494BE8C">
            <w:pPr>
              <w:spacing w:line="241" w:lineRule="auto"/>
              <w:rPr>
                <w:rFonts w:ascii="Arial"/>
                <w:sz w:val="21"/>
              </w:rPr>
            </w:pPr>
          </w:p>
          <w:p w14:paraId="69D3C270">
            <w:pPr>
              <w:spacing w:before="57" w:line="199"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89" w:type="dxa"/>
            <w:tcBorders>
              <w:right w:val="single" w:color="000000" w:sz="6" w:space="0"/>
            </w:tcBorders>
            <w:vAlign w:val="top"/>
          </w:tcPr>
          <w:p w14:paraId="327AD55D">
            <w:pPr>
              <w:rPr>
                <w:rFonts w:ascii="Arial"/>
                <w:sz w:val="21"/>
              </w:rPr>
            </w:pPr>
          </w:p>
          <w:p w14:paraId="158164F9">
            <w:pPr>
              <w:spacing w:line="241" w:lineRule="auto"/>
              <w:rPr>
                <w:rFonts w:ascii="Arial"/>
                <w:sz w:val="21"/>
              </w:rPr>
            </w:pPr>
          </w:p>
          <w:p w14:paraId="232F40C2">
            <w:pPr>
              <w:spacing w:line="241" w:lineRule="auto"/>
              <w:rPr>
                <w:rFonts w:ascii="Arial"/>
                <w:sz w:val="21"/>
              </w:rPr>
            </w:pPr>
          </w:p>
          <w:p w14:paraId="5BC2B1F8">
            <w:pPr>
              <w:spacing w:before="57" w:line="199"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5620ED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5" w:hRule="atLeast"/>
        </w:trPr>
        <w:tc>
          <w:tcPr>
            <w:tcW w:w="1207" w:type="dxa"/>
            <w:vMerge w:val="continue"/>
            <w:tcBorders>
              <w:top w:val="nil"/>
              <w:left w:val="single" w:color="000000" w:sz="6" w:space="0"/>
              <w:bottom w:val="nil"/>
            </w:tcBorders>
            <w:vAlign w:val="top"/>
          </w:tcPr>
          <w:p w14:paraId="017C1A9B">
            <w:pPr>
              <w:rPr>
                <w:rFonts w:ascii="Arial"/>
                <w:sz w:val="21"/>
              </w:rPr>
            </w:pPr>
          </w:p>
        </w:tc>
        <w:tc>
          <w:tcPr>
            <w:tcW w:w="3170" w:type="dxa"/>
            <w:vAlign w:val="top"/>
          </w:tcPr>
          <w:p w14:paraId="73E3C1CF">
            <w:pPr>
              <w:pStyle w:val="6"/>
              <w:spacing w:before="202" w:line="227" w:lineRule="auto"/>
              <w:ind w:left="117"/>
              <w:rPr>
                <w:sz w:val="20"/>
                <w:szCs w:val="20"/>
              </w:rPr>
            </w:pPr>
            <w:r>
              <w:rPr>
                <w:spacing w:val="9"/>
                <w:sz w:val="20"/>
                <w:szCs w:val="20"/>
              </w:rPr>
              <w:t>废润滑油、落地油及废防渗材料</w:t>
            </w:r>
          </w:p>
          <w:p w14:paraId="46667CEF">
            <w:pPr>
              <w:pStyle w:val="6"/>
              <w:spacing w:before="24" w:line="228" w:lineRule="auto"/>
              <w:ind w:left="125"/>
              <w:rPr>
                <w:sz w:val="20"/>
                <w:szCs w:val="20"/>
              </w:rPr>
            </w:pPr>
            <w:r>
              <w:rPr>
                <w:spacing w:val="8"/>
                <w:sz w:val="20"/>
                <w:szCs w:val="20"/>
              </w:rPr>
              <w:t>收集后，暂存井场撬装式危废贮</w:t>
            </w:r>
          </w:p>
          <w:p w14:paraId="600A3B6D">
            <w:pPr>
              <w:pStyle w:val="6"/>
              <w:spacing w:before="24" w:line="228" w:lineRule="auto"/>
              <w:ind w:left="117"/>
              <w:rPr>
                <w:sz w:val="20"/>
                <w:szCs w:val="20"/>
              </w:rPr>
            </w:pPr>
            <w:r>
              <w:rPr>
                <w:spacing w:val="9"/>
                <w:sz w:val="20"/>
                <w:szCs w:val="20"/>
              </w:rPr>
              <w:t>存点内，定期交有资质单位拉运</w:t>
            </w:r>
          </w:p>
          <w:p w14:paraId="2A198E1E">
            <w:pPr>
              <w:pStyle w:val="6"/>
              <w:spacing w:before="26" w:line="232" w:lineRule="auto"/>
              <w:ind w:left="1276"/>
              <w:rPr>
                <w:sz w:val="20"/>
                <w:szCs w:val="20"/>
              </w:rPr>
            </w:pPr>
            <w:r>
              <w:rPr>
                <w:spacing w:val="1"/>
                <w:sz w:val="20"/>
                <w:szCs w:val="20"/>
              </w:rPr>
              <w:t>处置。</w:t>
            </w:r>
          </w:p>
        </w:tc>
        <w:tc>
          <w:tcPr>
            <w:tcW w:w="2995" w:type="dxa"/>
            <w:vAlign w:val="top"/>
          </w:tcPr>
          <w:p w14:paraId="584F433B">
            <w:pPr>
              <w:pStyle w:val="6"/>
              <w:spacing w:before="291" w:line="228" w:lineRule="auto"/>
              <w:ind w:left="142"/>
              <w:rPr>
                <w:sz w:val="20"/>
                <w:szCs w:val="20"/>
              </w:rPr>
            </w:pPr>
            <w:r>
              <w:rPr>
                <w:spacing w:val="9"/>
                <w:sz w:val="20"/>
                <w:szCs w:val="20"/>
              </w:rPr>
              <w:t>符合《危险废物贮存污染控制</w:t>
            </w:r>
          </w:p>
          <w:p w14:paraId="5CCD98A8">
            <w:pPr>
              <w:pStyle w:val="6"/>
              <w:spacing w:before="72" w:line="228" w:lineRule="auto"/>
              <w:ind w:right="8"/>
              <w:jc w:val="right"/>
              <w:rPr>
                <w:sz w:val="20"/>
                <w:szCs w:val="20"/>
              </w:rPr>
            </w:pPr>
            <w:r>
              <w:rPr>
                <w:spacing w:val="1"/>
                <w:sz w:val="20"/>
                <w:szCs w:val="20"/>
              </w:rPr>
              <w:t>标准》（</w:t>
            </w:r>
            <w:r>
              <w:rPr>
                <w:rFonts w:ascii="Times New Roman" w:hAnsi="Times New Roman" w:eastAsia="Times New Roman" w:cs="Times New Roman"/>
                <w:sz w:val="20"/>
                <w:szCs w:val="20"/>
              </w:rPr>
              <w:t>GB</w:t>
            </w:r>
            <w:r>
              <w:rPr>
                <w:rFonts w:ascii="Times New Roman" w:hAnsi="Times New Roman" w:eastAsia="Times New Roman" w:cs="Times New Roman"/>
                <w:spacing w:val="1"/>
                <w:sz w:val="20"/>
                <w:szCs w:val="20"/>
              </w:rPr>
              <w:t>18597-2023</w:t>
            </w:r>
            <w:r>
              <w:rPr>
                <w:spacing w:val="1"/>
                <w:sz w:val="20"/>
                <w:szCs w:val="20"/>
              </w:rPr>
              <w:t>）要求，</w:t>
            </w:r>
          </w:p>
          <w:p w14:paraId="5C5F13BB">
            <w:pPr>
              <w:pStyle w:val="6"/>
              <w:spacing w:before="74" w:line="228" w:lineRule="auto"/>
              <w:ind w:left="562"/>
              <w:rPr>
                <w:sz w:val="20"/>
                <w:szCs w:val="20"/>
              </w:rPr>
            </w:pPr>
            <w:r>
              <w:rPr>
                <w:spacing w:val="7"/>
                <w:sz w:val="20"/>
                <w:szCs w:val="20"/>
              </w:rPr>
              <w:t>危废妥善合理处置。</w:t>
            </w:r>
          </w:p>
        </w:tc>
        <w:tc>
          <w:tcPr>
            <w:tcW w:w="850" w:type="dxa"/>
            <w:vAlign w:val="top"/>
          </w:tcPr>
          <w:p w14:paraId="125E18A9">
            <w:pPr>
              <w:spacing w:line="290" w:lineRule="auto"/>
              <w:rPr>
                <w:rFonts w:ascii="Arial"/>
                <w:sz w:val="21"/>
              </w:rPr>
            </w:pPr>
          </w:p>
          <w:p w14:paraId="25CFB8A4">
            <w:pPr>
              <w:spacing w:line="291" w:lineRule="auto"/>
              <w:rPr>
                <w:rFonts w:ascii="Arial"/>
                <w:sz w:val="21"/>
              </w:rPr>
            </w:pPr>
          </w:p>
          <w:p w14:paraId="18CF9CE4">
            <w:pPr>
              <w:spacing w:before="58" w:line="199"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89" w:type="dxa"/>
            <w:tcBorders>
              <w:right w:val="single" w:color="000000" w:sz="6" w:space="0"/>
            </w:tcBorders>
            <w:vAlign w:val="top"/>
          </w:tcPr>
          <w:p w14:paraId="32B1027C">
            <w:pPr>
              <w:spacing w:line="290" w:lineRule="auto"/>
              <w:rPr>
                <w:rFonts w:ascii="Arial"/>
                <w:sz w:val="21"/>
              </w:rPr>
            </w:pPr>
          </w:p>
          <w:p w14:paraId="0142B9E2">
            <w:pPr>
              <w:spacing w:line="291" w:lineRule="auto"/>
              <w:rPr>
                <w:rFonts w:ascii="Arial"/>
                <w:sz w:val="21"/>
              </w:rPr>
            </w:pPr>
          </w:p>
          <w:p w14:paraId="69A4B2E6">
            <w:pPr>
              <w:spacing w:before="58" w:line="199"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3A6580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1" w:hRule="atLeast"/>
        </w:trPr>
        <w:tc>
          <w:tcPr>
            <w:tcW w:w="1207" w:type="dxa"/>
            <w:vMerge w:val="continue"/>
            <w:tcBorders>
              <w:top w:val="nil"/>
              <w:left w:val="single" w:color="000000" w:sz="6" w:space="0"/>
            </w:tcBorders>
            <w:vAlign w:val="top"/>
          </w:tcPr>
          <w:p w14:paraId="482B9E3F">
            <w:pPr>
              <w:rPr>
                <w:rFonts w:ascii="Arial"/>
                <w:sz w:val="21"/>
              </w:rPr>
            </w:pPr>
          </w:p>
        </w:tc>
        <w:tc>
          <w:tcPr>
            <w:tcW w:w="3170" w:type="dxa"/>
            <w:vAlign w:val="top"/>
          </w:tcPr>
          <w:p w14:paraId="750222AC">
            <w:pPr>
              <w:pStyle w:val="6"/>
              <w:spacing w:before="121" w:line="228" w:lineRule="auto"/>
              <w:ind w:left="121"/>
              <w:rPr>
                <w:sz w:val="20"/>
                <w:szCs w:val="20"/>
              </w:rPr>
            </w:pPr>
            <w:r>
              <w:rPr>
                <w:spacing w:val="8"/>
                <w:sz w:val="20"/>
                <w:szCs w:val="20"/>
              </w:rPr>
              <w:t>设置生活垃圾箱，集中收集后，</w:t>
            </w:r>
          </w:p>
          <w:p w14:paraId="497780C7">
            <w:pPr>
              <w:pStyle w:val="6"/>
              <w:spacing w:before="24" w:line="228" w:lineRule="auto"/>
              <w:ind w:left="120"/>
              <w:rPr>
                <w:sz w:val="20"/>
                <w:szCs w:val="20"/>
              </w:rPr>
            </w:pPr>
            <w:r>
              <w:rPr>
                <w:spacing w:val="10"/>
                <w:sz w:val="20"/>
                <w:szCs w:val="20"/>
              </w:rPr>
              <w:t>拉运至当地乡镇生活垃圾点，由</w:t>
            </w:r>
          </w:p>
          <w:p w14:paraId="0A87E25A">
            <w:pPr>
              <w:pStyle w:val="6"/>
              <w:spacing w:before="26" w:line="228" w:lineRule="auto"/>
              <w:ind w:left="852"/>
              <w:rPr>
                <w:sz w:val="20"/>
                <w:szCs w:val="20"/>
              </w:rPr>
            </w:pPr>
            <w:r>
              <w:rPr>
                <w:spacing w:val="7"/>
                <w:sz w:val="20"/>
                <w:szCs w:val="20"/>
              </w:rPr>
              <w:t>环卫部门处理。</w:t>
            </w:r>
          </w:p>
        </w:tc>
        <w:tc>
          <w:tcPr>
            <w:tcW w:w="2995" w:type="dxa"/>
            <w:vAlign w:val="top"/>
          </w:tcPr>
          <w:p w14:paraId="1B2F2E03">
            <w:pPr>
              <w:spacing w:line="329" w:lineRule="auto"/>
              <w:rPr>
                <w:rFonts w:ascii="Arial"/>
                <w:sz w:val="21"/>
              </w:rPr>
            </w:pPr>
          </w:p>
          <w:p w14:paraId="15137802">
            <w:pPr>
              <w:pStyle w:val="6"/>
              <w:spacing w:before="65" w:line="228" w:lineRule="auto"/>
              <w:ind w:left="876"/>
              <w:rPr>
                <w:sz w:val="20"/>
                <w:szCs w:val="20"/>
              </w:rPr>
            </w:pPr>
            <w:r>
              <w:rPr>
                <w:spacing w:val="6"/>
                <w:sz w:val="20"/>
                <w:szCs w:val="20"/>
              </w:rPr>
              <w:t>现场无遗留。</w:t>
            </w:r>
          </w:p>
        </w:tc>
        <w:tc>
          <w:tcPr>
            <w:tcW w:w="850" w:type="dxa"/>
            <w:vAlign w:val="top"/>
          </w:tcPr>
          <w:p w14:paraId="5BE08415">
            <w:pPr>
              <w:spacing w:line="367" w:lineRule="auto"/>
              <w:rPr>
                <w:rFonts w:ascii="Arial"/>
                <w:sz w:val="21"/>
              </w:rPr>
            </w:pPr>
          </w:p>
          <w:p w14:paraId="172321DC">
            <w:pPr>
              <w:spacing w:before="58" w:line="199"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89" w:type="dxa"/>
            <w:tcBorders>
              <w:right w:val="single" w:color="000000" w:sz="6" w:space="0"/>
            </w:tcBorders>
            <w:vAlign w:val="top"/>
          </w:tcPr>
          <w:p w14:paraId="33B9D3B6">
            <w:pPr>
              <w:spacing w:line="367" w:lineRule="auto"/>
              <w:rPr>
                <w:rFonts w:ascii="Arial"/>
                <w:sz w:val="21"/>
              </w:rPr>
            </w:pPr>
          </w:p>
          <w:p w14:paraId="580C5C21">
            <w:pPr>
              <w:spacing w:before="58" w:line="199"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6BF9D6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1207" w:type="dxa"/>
            <w:tcBorders>
              <w:left w:val="single" w:color="000000" w:sz="6" w:space="0"/>
            </w:tcBorders>
            <w:vAlign w:val="top"/>
          </w:tcPr>
          <w:p w14:paraId="0F98746B">
            <w:pPr>
              <w:pStyle w:val="6"/>
              <w:spacing w:before="115" w:line="228" w:lineRule="auto"/>
              <w:ind w:left="204"/>
              <w:rPr>
                <w:sz w:val="20"/>
                <w:szCs w:val="20"/>
              </w:rPr>
            </w:pPr>
            <w:r>
              <w:rPr>
                <w:b/>
                <w:bCs/>
                <w:sz w:val="20"/>
                <w:szCs w:val="20"/>
              </w:rPr>
              <w:t>电磁环境</w:t>
            </w:r>
          </w:p>
        </w:tc>
        <w:tc>
          <w:tcPr>
            <w:tcW w:w="3170" w:type="dxa"/>
            <w:vAlign w:val="top"/>
          </w:tcPr>
          <w:p w14:paraId="2B677FAD">
            <w:pPr>
              <w:spacing w:before="147" w:line="199" w:lineRule="auto"/>
              <w:ind w:left="15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995" w:type="dxa"/>
            <w:vAlign w:val="top"/>
          </w:tcPr>
          <w:p w14:paraId="5F9E9E7E">
            <w:pPr>
              <w:spacing w:before="147" w:line="199" w:lineRule="auto"/>
              <w:ind w:left="14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50" w:type="dxa"/>
            <w:vAlign w:val="top"/>
          </w:tcPr>
          <w:p w14:paraId="331E20A4">
            <w:pPr>
              <w:spacing w:before="147" w:line="199"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89" w:type="dxa"/>
            <w:tcBorders>
              <w:right w:val="single" w:color="000000" w:sz="6" w:space="0"/>
            </w:tcBorders>
            <w:vAlign w:val="top"/>
          </w:tcPr>
          <w:p w14:paraId="12A0A73F">
            <w:pPr>
              <w:spacing w:before="147" w:line="199"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156870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9" w:hRule="atLeast"/>
        </w:trPr>
        <w:tc>
          <w:tcPr>
            <w:tcW w:w="1207" w:type="dxa"/>
            <w:tcBorders>
              <w:left w:val="single" w:color="000000" w:sz="6" w:space="0"/>
              <w:bottom w:val="single" w:color="000000" w:sz="6" w:space="0"/>
            </w:tcBorders>
            <w:vAlign w:val="top"/>
          </w:tcPr>
          <w:p w14:paraId="17029264">
            <w:pPr>
              <w:spacing w:line="323" w:lineRule="auto"/>
              <w:rPr>
                <w:rFonts w:ascii="Arial"/>
                <w:sz w:val="21"/>
              </w:rPr>
            </w:pPr>
          </w:p>
          <w:p w14:paraId="53D0C944">
            <w:pPr>
              <w:spacing w:line="323" w:lineRule="auto"/>
              <w:rPr>
                <w:rFonts w:ascii="Arial"/>
                <w:sz w:val="21"/>
              </w:rPr>
            </w:pPr>
          </w:p>
          <w:p w14:paraId="3DA77340">
            <w:pPr>
              <w:pStyle w:val="6"/>
              <w:spacing w:before="65" w:line="228" w:lineRule="auto"/>
              <w:ind w:left="180"/>
              <w:rPr>
                <w:sz w:val="20"/>
                <w:szCs w:val="20"/>
              </w:rPr>
            </w:pPr>
            <w:r>
              <w:rPr>
                <w:b/>
                <w:bCs/>
                <w:spacing w:val="6"/>
                <w:sz w:val="20"/>
                <w:szCs w:val="20"/>
              </w:rPr>
              <w:t>环境风险</w:t>
            </w:r>
          </w:p>
        </w:tc>
        <w:tc>
          <w:tcPr>
            <w:tcW w:w="3170" w:type="dxa"/>
            <w:tcBorders>
              <w:bottom w:val="single" w:color="000000" w:sz="6" w:space="0"/>
            </w:tcBorders>
            <w:vAlign w:val="top"/>
          </w:tcPr>
          <w:p w14:paraId="030D0351">
            <w:pPr>
              <w:pStyle w:val="6"/>
              <w:spacing w:before="74" w:line="227" w:lineRule="auto"/>
              <w:ind w:left="120"/>
              <w:rPr>
                <w:sz w:val="20"/>
                <w:szCs w:val="20"/>
              </w:rPr>
            </w:pPr>
            <w:r>
              <w:rPr>
                <w:spacing w:val="9"/>
                <w:sz w:val="20"/>
                <w:szCs w:val="20"/>
              </w:rPr>
              <w:t>成立环境风险管理机构，防井喷</w:t>
            </w:r>
          </w:p>
          <w:p w14:paraId="3E52AB85">
            <w:pPr>
              <w:pStyle w:val="6"/>
              <w:spacing w:before="76" w:line="228" w:lineRule="auto"/>
              <w:ind w:left="118"/>
              <w:rPr>
                <w:sz w:val="20"/>
                <w:szCs w:val="20"/>
              </w:rPr>
            </w:pPr>
            <w:r>
              <w:rPr>
                <w:spacing w:val="8"/>
                <w:sz w:val="20"/>
                <w:szCs w:val="20"/>
              </w:rPr>
              <w:t>装置，落实各项风险应急物资，</w:t>
            </w:r>
          </w:p>
          <w:p w14:paraId="46B3E08E">
            <w:pPr>
              <w:pStyle w:val="6"/>
              <w:spacing w:before="71" w:line="228" w:lineRule="auto"/>
              <w:ind w:left="119"/>
              <w:rPr>
                <w:sz w:val="20"/>
                <w:szCs w:val="20"/>
              </w:rPr>
            </w:pPr>
            <w:r>
              <w:rPr>
                <w:spacing w:val="9"/>
                <w:sz w:val="20"/>
                <w:szCs w:val="20"/>
              </w:rPr>
              <w:t>制定具备符合行业标准和环评要</w:t>
            </w:r>
          </w:p>
          <w:p w14:paraId="1F8A3D69">
            <w:pPr>
              <w:pStyle w:val="6"/>
              <w:spacing w:before="72" w:line="228" w:lineRule="auto"/>
              <w:ind w:left="120"/>
              <w:rPr>
                <w:sz w:val="20"/>
                <w:szCs w:val="20"/>
              </w:rPr>
            </w:pPr>
            <w:r>
              <w:rPr>
                <w:spacing w:val="9"/>
                <w:sz w:val="20"/>
                <w:szCs w:val="20"/>
              </w:rPr>
              <w:t>求的环境风险应急预案，定期演</w:t>
            </w:r>
          </w:p>
          <w:p w14:paraId="7D0CF91C">
            <w:pPr>
              <w:pStyle w:val="6"/>
              <w:spacing w:before="74" w:line="229" w:lineRule="auto"/>
              <w:ind w:left="1380"/>
              <w:rPr>
                <w:sz w:val="20"/>
                <w:szCs w:val="20"/>
              </w:rPr>
            </w:pPr>
            <w:r>
              <w:rPr>
                <w:spacing w:val="-1"/>
                <w:sz w:val="20"/>
                <w:szCs w:val="20"/>
              </w:rPr>
              <w:t>练。</w:t>
            </w:r>
          </w:p>
        </w:tc>
        <w:tc>
          <w:tcPr>
            <w:tcW w:w="2995" w:type="dxa"/>
            <w:tcBorders>
              <w:bottom w:val="single" w:color="000000" w:sz="6" w:space="0"/>
            </w:tcBorders>
            <w:vAlign w:val="top"/>
          </w:tcPr>
          <w:p w14:paraId="0FADCAAF">
            <w:pPr>
              <w:spacing w:line="254" w:lineRule="auto"/>
              <w:rPr>
                <w:rFonts w:ascii="Arial"/>
                <w:sz w:val="21"/>
              </w:rPr>
            </w:pPr>
          </w:p>
          <w:p w14:paraId="3063BC66">
            <w:pPr>
              <w:spacing w:line="255" w:lineRule="auto"/>
              <w:rPr>
                <w:rFonts w:ascii="Arial"/>
                <w:sz w:val="21"/>
              </w:rPr>
            </w:pPr>
          </w:p>
          <w:p w14:paraId="14A3E89E">
            <w:pPr>
              <w:pStyle w:val="6"/>
              <w:spacing w:before="65" w:line="228" w:lineRule="auto"/>
              <w:ind w:left="138"/>
              <w:rPr>
                <w:sz w:val="20"/>
                <w:szCs w:val="20"/>
              </w:rPr>
            </w:pPr>
            <w:r>
              <w:rPr>
                <w:spacing w:val="9"/>
                <w:sz w:val="20"/>
                <w:szCs w:val="20"/>
              </w:rPr>
              <w:t>将环境风险控制在可防控范围</w:t>
            </w:r>
          </w:p>
          <w:p w14:paraId="051318D0">
            <w:pPr>
              <w:pStyle w:val="6"/>
              <w:spacing w:before="24" w:line="228" w:lineRule="auto"/>
              <w:ind w:left="1320"/>
              <w:rPr>
                <w:sz w:val="20"/>
                <w:szCs w:val="20"/>
              </w:rPr>
            </w:pPr>
            <w:r>
              <w:rPr>
                <w:spacing w:val="-13"/>
                <w:sz w:val="20"/>
                <w:szCs w:val="20"/>
              </w:rPr>
              <w:t>内。</w:t>
            </w:r>
          </w:p>
        </w:tc>
        <w:tc>
          <w:tcPr>
            <w:tcW w:w="850" w:type="dxa"/>
            <w:tcBorders>
              <w:bottom w:val="single" w:color="000000" w:sz="6" w:space="0"/>
            </w:tcBorders>
            <w:vAlign w:val="top"/>
          </w:tcPr>
          <w:p w14:paraId="143DF0D4">
            <w:pPr>
              <w:spacing w:line="342" w:lineRule="auto"/>
              <w:rPr>
                <w:rFonts w:ascii="Arial"/>
                <w:sz w:val="21"/>
              </w:rPr>
            </w:pPr>
          </w:p>
          <w:p w14:paraId="456FB8FB">
            <w:pPr>
              <w:spacing w:line="343" w:lineRule="auto"/>
              <w:rPr>
                <w:rFonts w:ascii="Arial"/>
                <w:sz w:val="21"/>
              </w:rPr>
            </w:pPr>
          </w:p>
          <w:p w14:paraId="703875DE">
            <w:pPr>
              <w:spacing w:before="57" w:line="199"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89" w:type="dxa"/>
            <w:tcBorders>
              <w:bottom w:val="single" w:color="000000" w:sz="6" w:space="0"/>
              <w:right w:val="single" w:color="000000" w:sz="6" w:space="0"/>
            </w:tcBorders>
            <w:vAlign w:val="top"/>
          </w:tcPr>
          <w:p w14:paraId="3FC93D34">
            <w:pPr>
              <w:spacing w:line="342" w:lineRule="auto"/>
              <w:rPr>
                <w:rFonts w:ascii="Arial"/>
                <w:sz w:val="21"/>
              </w:rPr>
            </w:pPr>
          </w:p>
          <w:p w14:paraId="02BC434E">
            <w:pPr>
              <w:spacing w:line="343" w:lineRule="auto"/>
              <w:rPr>
                <w:rFonts w:ascii="Arial"/>
                <w:sz w:val="21"/>
              </w:rPr>
            </w:pPr>
          </w:p>
          <w:p w14:paraId="0C113C02">
            <w:pPr>
              <w:spacing w:before="57" w:line="199"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bl>
    <w:p w14:paraId="5019D0FE">
      <w:pPr>
        <w:rPr>
          <w:rFonts w:ascii="Arial"/>
          <w:sz w:val="21"/>
        </w:rPr>
      </w:pPr>
    </w:p>
    <w:p w14:paraId="17A4C4D6">
      <w:pPr>
        <w:rPr>
          <w:rFonts w:ascii="Arial" w:hAnsi="Arial" w:eastAsia="Arial" w:cs="Arial"/>
          <w:sz w:val="21"/>
          <w:szCs w:val="21"/>
        </w:rPr>
        <w:sectPr>
          <w:footerReference r:id="rId118" w:type="default"/>
          <w:pgSz w:w="11906" w:h="16839"/>
          <w:pgMar w:top="400" w:right="1405" w:bottom="1240" w:left="1574" w:header="0" w:footer="1078" w:gutter="0"/>
          <w:cols w:space="720" w:num="1"/>
        </w:sectPr>
      </w:pPr>
    </w:p>
    <w:p w14:paraId="1FC2653D">
      <w:pPr>
        <w:spacing w:before="56"/>
      </w:pPr>
    </w:p>
    <w:p w14:paraId="1F429501">
      <w:pPr>
        <w:spacing w:before="56"/>
      </w:pPr>
    </w:p>
    <w:p w14:paraId="1B46E544">
      <w:pPr>
        <w:spacing w:before="55"/>
      </w:pPr>
    </w:p>
    <w:p w14:paraId="1DF9CCA8">
      <w:pPr>
        <w:spacing w:before="55"/>
      </w:pPr>
    </w:p>
    <w:tbl>
      <w:tblPr>
        <w:tblStyle w:val="5"/>
        <w:tblW w:w="891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7"/>
        <w:gridCol w:w="3170"/>
        <w:gridCol w:w="2995"/>
        <w:gridCol w:w="850"/>
        <w:gridCol w:w="689"/>
      </w:tblGrid>
      <w:tr w14:paraId="05188B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6" w:hRule="atLeast"/>
        </w:trPr>
        <w:tc>
          <w:tcPr>
            <w:tcW w:w="1207" w:type="dxa"/>
            <w:tcBorders>
              <w:top w:val="single" w:color="000000" w:sz="6" w:space="0"/>
              <w:left w:val="single" w:color="000000" w:sz="6" w:space="0"/>
            </w:tcBorders>
            <w:vAlign w:val="top"/>
          </w:tcPr>
          <w:p w14:paraId="5DB85006">
            <w:pPr>
              <w:spacing w:line="241" w:lineRule="auto"/>
              <w:rPr>
                <w:rFonts w:ascii="Arial"/>
                <w:sz w:val="21"/>
              </w:rPr>
            </w:pPr>
          </w:p>
          <w:p w14:paraId="4C3FC6BF">
            <w:pPr>
              <w:spacing w:line="242" w:lineRule="auto"/>
              <w:rPr>
                <w:rFonts w:ascii="Arial"/>
                <w:sz w:val="21"/>
              </w:rPr>
            </w:pPr>
          </w:p>
          <w:p w14:paraId="248EC776">
            <w:pPr>
              <w:spacing w:line="242" w:lineRule="auto"/>
              <w:rPr>
                <w:rFonts w:ascii="Arial"/>
                <w:sz w:val="21"/>
              </w:rPr>
            </w:pPr>
          </w:p>
          <w:p w14:paraId="68C863DC">
            <w:pPr>
              <w:spacing w:line="242" w:lineRule="auto"/>
              <w:rPr>
                <w:rFonts w:ascii="Arial"/>
                <w:sz w:val="21"/>
              </w:rPr>
            </w:pPr>
          </w:p>
          <w:p w14:paraId="5A28E7CB">
            <w:pPr>
              <w:pStyle w:val="6"/>
              <w:spacing w:before="65" w:line="228" w:lineRule="auto"/>
              <w:ind w:left="180"/>
              <w:rPr>
                <w:sz w:val="20"/>
                <w:szCs w:val="20"/>
              </w:rPr>
            </w:pPr>
            <w:r>
              <w:rPr>
                <w:b/>
                <w:bCs/>
                <w:spacing w:val="6"/>
                <w:sz w:val="20"/>
                <w:szCs w:val="20"/>
              </w:rPr>
              <w:t>环境监测</w:t>
            </w:r>
          </w:p>
        </w:tc>
        <w:tc>
          <w:tcPr>
            <w:tcW w:w="3170" w:type="dxa"/>
            <w:tcBorders>
              <w:top w:val="single" w:color="000000" w:sz="6" w:space="0"/>
            </w:tcBorders>
            <w:vAlign w:val="top"/>
          </w:tcPr>
          <w:p w14:paraId="3BF82CE7">
            <w:pPr>
              <w:spacing w:line="241" w:lineRule="auto"/>
              <w:rPr>
                <w:rFonts w:ascii="Arial"/>
                <w:sz w:val="21"/>
              </w:rPr>
            </w:pPr>
          </w:p>
          <w:p w14:paraId="0F0DFC5A">
            <w:pPr>
              <w:spacing w:line="242" w:lineRule="auto"/>
              <w:rPr>
                <w:rFonts w:ascii="Arial"/>
                <w:sz w:val="21"/>
              </w:rPr>
            </w:pPr>
          </w:p>
          <w:p w14:paraId="43290678">
            <w:pPr>
              <w:spacing w:line="242" w:lineRule="auto"/>
              <w:rPr>
                <w:rFonts w:ascii="Arial"/>
                <w:sz w:val="21"/>
              </w:rPr>
            </w:pPr>
          </w:p>
          <w:p w14:paraId="2C8CF938">
            <w:pPr>
              <w:spacing w:line="242" w:lineRule="auto"/>
              <w:rPr>
                <w:rFonts w:ascii="Arial"/>
                <w:sz w:val="21"/>
              </w:rPr>
            </w:pPr>
          </w:p>
          <w:p w14:paraId="2DDCF1AA">
            <w:pPr>
              <w:pStyle w:val="6"/>
              <w:spacing w:before="65" w:line="228" w:lineRule="auto"/>
              <w:ind w:left="540"/>
              <w:rPr>
                <w:sz w:val="20"/>
                <w:szCs w:val="20"/>
              </w:rPr>
            </w:pPr>
            <w:r>
              <w:rPr>
                <w:spacing w:val="8"/>
                <w:sz w:val="20"/>
                <w:szCs w:val="20"/>
              </w:rPr>
              <w:t>生态恢复效果跟踪监测</w:t>
            </w:r>
          </w:p>
        </w:tc>
        <w:tc>
          <w:tcPr>
            <w:tcW w:w="2995" w:type="dxa"/>
            <w:tcBorders>
              <w:top w:val="single" w:color="000000" w:sz="6" w:space="0"/>
            </w:tcBorders>
            <w:vAlign w:val="top"/>
          </w:tcPr>
          <w:p w14:paraId="4C53D114">
            <w:pPr>
              <w:spacing w:line="289" w:lineRule="auto"/>
              <w:rPr>
                <w:rFonts w:ascii="Arial"/>
                <w:sz w:val="21"/>
              </w:rPr>
            </w:pPr>
          </w:p>
          <w:p w14:paraId="030EDAAD">
            <w:pPr>
              <w:pStyle w:val="6"/>
              <w:spacing w:before="65" w:line="228" w:lineRule="auto"/>
              <w:ind w:left="140"/>
              <w:rPr>
                <w:sz w:val="20"/>
                <w:szCs w:val="20"/>
              </w:rPr>
            </w:pPr>
            <w:r>
              <w:rPr>
                <w:spacing w:val="9"/>
                <w:sz w:val="20"/>
                <w:szCs w:val="20"/>
              </w:rPr>
              <w:t>针对施工期临时占地区域植被</w:t>
            </w:r>
          </w:p>
          <w:p w14:paraId="47A44093">
            <w:pPr>
              <w:pStyle w:val="6"/>
              <w:spacing w:before="27" w:line="228" w:lineRule="auto"/>
              <w:ind w:left="142"/>
              <w:rPr>
                <w:sz w:val="20"/>
                <w:szCs w:val="20"/>
              </w:rPr>
            </w:pPr>
            <w:r>
              <w:rPr>
                <w:spacing w:val="9"/>
                <w:sz w:val="20"/>
                <w:szCs w:val="20"/>
              </w:rPr>
              <w:t>恢复情况进行生态监测，监测</w:t>
            </w:r>
          </w:p>
          <w:p w14:paraId="2811DDF0">
            <w:pPr>
              <w:pStyle w:val="6"/>
              <w:spacing w:before="23" w:line="228" w:lineRule="auto"/>
              <w:ind w:left="156"/>
              <w:rPr>
                <w:sz w:val="20"/>
                <w:szCs w:val="20"/>
              </w:rPr>
            </w:pPr>
            <w:r>
              <w:rPr>
                <w:spacing w:val="8"/>
                <w:sz w:val="20"/>
                <w:szCs w:val="20"/>
              </w:rPr>
              <w:t>因子为植被恢复效果，监测频</w:t>
            </w:r>
          </w:p>
          <w:p w14:paraId="478C0457">
            <w:pPr>
              <w:pStyle w:val="6"/>
              <w:spacing w:before="26" w:line="228" w:lineRule="auto"/>
              <w:ind w:left="119"/>
              <w:rPr>
                <w:sz w:val="20"/>
                <w:szCs w:val="20"/>
              </w:rPr>
            </w:pPr>
            <w:r>
              <w:rPr>
                <w:spacing w:val="4"/>
                <w:sz w:val="20"/>
                <w:szCs w:val="20"/>
              </w:rPr>
              <w:t>次为</w:t>
            </w:r>
            <w:r>
              <w:rPr>
                <w:spacing w:val="-17"/>
                <w:sz w:val="20"/>
                <w:szCs w:val="20"/>
              </w:rPr>
              <w:t xml:space="preserve"> </w:t>
            </w:r>
            <w:r>
              <w:rPr>
                <w:rFonts w:ascii="Times New Roman" w:hAnsi="Times New Roman" w:eastAsia="Times New Roman" w:cs="Times New Roman"/>
                <w:spacing w:val="4"/>
                <w:sz w:val="20"/>
                <w:szCs w:val="20"/>
              </w:rPr>
              <w:t>1</w:t>
            </w:r>
            <w:r>
              <w:rPr>
                <w:rFonts w:ascii="Times New Roman" w:hAnsi="Times New Roman" w:eastAsia="Times New Roman" w:cs="Times New Roman"/>
                <w:spacing w:val="16"/>
                <w:sz w:val="20"/>
                <w:szCs w:val="20"/>
              </w:rPr>
              <w:t xml:space="preserve"> </w:t>
            </w:r>
            <w:r>
              <w:rPr>
                <w:spacing w:val="4"/>
                <w:sz w:val="20"/>
                <w:szCs w:val="20"/>
              </w:rPr>
              <w:t>次</w:t>
            </w:r>
            <w:r>
              <w:rPr>
                <w:rFonts w:ascii="Times New Roman" w:hAnsi="Times New Roman" w:eastAsia="Times New Roman" w:cs="Times New Roman"/>
                <w:spacing w:val="4"/>
                <w:sz w:val="20"/>
                <w:szCs w:val="20"/>
              </w:rPr>
              <w:t>/</w:t>
            </w:r>
            <w:r>
              <w:rPr>
                <w:spacing w:val="4"/>
                <w:sz w:val="20"/>
                <w:szCs w:val="20"/>
              </w:rPr>
              <w:t>每年，方法为巡视。</w:t>
            </w:r>
          </w:p>
          <w:p w14:paraId="721AC61F">
            <w:pPr>
              <w:pStyle w:val="6"/>
              <w:spacing w:before="24" w:line="228" w:lineRule="auto"/>
              <w:ind w:left="141"/>
              <w:rPr>
                <w:sz w:val="20"/>
                <w:szCs w:val="20"/>
              </w:rPr>
            </w:pPr>
            <w:r>
              <w:rPr>
                <w:spacing w:val="9"/>
                <w:sz w:val="20"/>
                <w:szCs w:val="20"/>
              </w:rPr>
              <w:t>植被恢复质量标准：临时占地</w:t>
            </w:r>
          </w:p>
          <w:p w14:paraId="5DA3F5FB">
            <w:pPr>
              <w:pStyle w:val="6"/>
              <w:spacing w:before="24" w:line="228" w:lineRule="auto"/>
              <w:ind w:left="714"/>
              <w:rPr>
                <w:sz w:val="20"/>
                <w:szCs w:val="20"/>
              </w:rPr>
            </w:pPr>
            <w:r>
              <w:rPr>
                <w:spacing w:val="2"/>
                <w:sz w:val="20"/>
                <w:szCs w:val="20"/>
              </w:rPr>
              <w:t>复垦率为</w:t>
            </w:r>
            <w:r>
              <w:rPr>
                <w:spacing w:val="-16"/>
                <w:sz w:val="20"/>
                <w:szCs w:val="20"/>
              </w:rPr>
              <w:t xml:space="preserve"> </w:t>
            </w:r>
            <w:r>
              <w:rPr>
                <w:rFonts w:ascii="Times New Roman" w:hAnsi="Times New Roman" w:eastAsia="Times New Roman" w:cs="Times New Roman"/>
                <w:spacing w:val="2"/>
                <w:sz w:val="20"/>
                <w:szCs w:val="20"/>
              </w:rPr>
              <w:t>100%</w:t>
            </w:r>
            <w:r>
              <w:rPr>
                <w:spacing w:val="2"/>
                <w:sz w:val="20"/>
                <w:szCs w:val="20"/>
              </w:rPr>
              <w:t>。</w:t>
            </w:r>
          </w:p>
        </w:tc>
        <w:tc>
          <w:tcPr>
            <w:tcW w:w="850" w:type="dxa"/>
            <w:tcBorders>
              <w:top w:val="single" w:color="000000" w:sz="6" w:space="0"/>
            </w:tcBorders>
            <w:vAlign w:val="top"/>
          </w:tcPr>
          <w:p w14:paraId="3BC4BCE8">
            <w:pPr>
              <w:spacing w:line="251" w:lineRule="auto"/>
              <w:rPr>
                <w:rFonts w:ascii="Arial"/>
                <w:sz w:val="21"/>
              </w:rPr>
            </w:pPr>
          </w:p>
          <w:p w14:paraId="0D57D800">
            <w:pPr>
              <w:spacing w:line="251" w:lineRule="auto"/>
              <w:rPr>
                <w:rFonts w:ascii="Arial"/>
                <w:sz w:val="21"/>
              </w:rPr>
            </w:pPr>
          </w:p>
          <w:p w14:paraId="5E9E00E7">
            <w:pPr>
              <w:spacing w:line="252" w:lineRule="auto"/>
              <w:rPr>
                <w:rFonts w:ascii="Arial"/>
                <w:sz w:val="21"/>
              </w:rPr>
            </w:pPr>
          </w:p>
          <w:p w14:paraId="157BAA19">
            <w:pPr>
              <w:spacing w:line="252" w:lineRule="auto"/>
              <w:rPr>
                <w:rFonts w:ascii="Arial"/>
                <w:sz w:val="21"/>
              </w:rPr>
            </w:pPr>
          </w:p>
          <w:p w14:paraId="44A12DA2">
            <w:pPr>
              <w:spacing w:before="58" w:line="199"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89" w:type="dxa"/>
            <w:tcBorders>
              <w:top w:val="single" w:color="000000" w:sz="6" w:space="0"/>
              <w:right w:val="single" w:color="000000" w:sz="6" w:space="0"/>
            </w:tcBorders>
            <w:vAlign w:val="top"/>
          </w:tcPr>
          <w:p w14:paraId="5BD91873">
            <w:pPr>
              <w:spacing w:line="251" w:lineRule="auto"/>
              <w:rPr>
                <w:rFonts w:ascii="Arial"/>
                <w:sz w:val="21"/>
              </w:rPr>
            </w:pPr>
          </w:p>
          <w:p w14:paraId="07C33753">
            <w:pPr>
              <w:spacing w:line="251" w:lineRule="auto"/>
              <w:rPr>
                <w:rFonts w:ascii="Arial"/>
                <w:sz w:val="21"/>
              </w:rPr>
            </w:pPr>
          </w:p>
          <w:p w14:paraId="19A09BA8">
            <w:pPr>
              <w:spacing w:line="252" w:lineRule="auto"/>
              <w:rPr>
                <w:rFonts w:ascii="Arial"/>
                <w:sz w:val="21"/>
              </w:rPr>
            </w:pPr>
          </w:p>
          <w:p w14:paraId="3013A3FD">
            <w:pPr>
              <w:spacing w:line="252" w:lineRule="auto"/>
              <w:rPr>
                <w:rFonts w:ascii="Arial"/>
                <w:sz w:val="21"/>
              </w:rPr>
            </w:pPr>
          </w:p>
          <w:p w14:paraId="7660D836">
            <w:pPr>
              <w:spacing w:before="58" w:line="199"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268FE4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1207" w:type="dxa"/>
            <w:tcBorders>
              <w:left w:val="single" w:color="000000" w:sz="6" w:space="0"/>
              <w:bottom w:val="single" w:color="000000" w:sz="6" w:space="0"/>
            </w:tcBorders>
            <w:vAlign w:val="top"/>
          </w:tcPr>
          <w:p w14:paraId="26B88D1E">
            <w:pPr>
              <w:pStyle w:val="6"/>
              <w:spacing w:before="303" w:line="228" w:lineRule="auto"/>
              <w:ind w:left="392"/>
              <w:rPr>
                <w:sz w:val="20"/>
                <w:szCs w:val="20"/>
              </w:rPr>
            </w:pPr>
            <w:r>
              <w:rPr>
                <w:b/>
                <w:bCs/>
                <w:spacing w:val="3"/>
                <w:sz w:val="20"/>
                <w:szCs w:val="20"/>
              </w:rPr>
              <w:t>其他</w:t>
            </w:r>
          </w:p>
        </w:tc>
        <w:tc>
          <w:tcPr>
            <w:tcW w:w="3170" w:type="dxa"/>
            <w:tcBorders>
              <w:bottom w:val="single" w:color="000000" w:sz="6" w:space="0"/>
            </w:tcBorders>
            <w:vAlign w:val="top"/>
          </w:tcPr>
          <w:p w14:paraId="4C2A8663">
            <w:pPr>
              <w:spacing w:line="275" w:lineRule="auto"/>
              <w:rPr>
                <w:rFonts w:ascii="Arial"/>
                <w:sz w:val="21"/>
              </w:rPr>
            </w:pPr>
          </w:p>
          <w:p w14:paraId="3EDA5B05">
            <w:pPr>
              <w:spacing w:before="58" w:line="199" w:lineRule="auto"/>
              <w:ind w:left="15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995" w:type="dxa"/>
            <w:tcBorders>
              <w:bottom w:val="single" w:color="000000" w:sz="6" w:space="0"/>
            </w:tcBorders>
            <w:vAlign w:val="top"/>
          </w:tcPr>
          <w:p w14:paraId="4C6A302F">
            <w:pPr>
              <w:spacing w:line="275" w:lineRule="auto"/>
              <w:rPr>
                <w:rFonts w:ascii="Arial"/>
                <w:sz w:val="21"/>
              </w:rPr>
            </w:pPr>
          </w:p>
          <w:p w14:paraId="54F6158A">
            <w:pPr>
              <w:spacing w:before="58" w:line="199" w:lineRule="auto"/>
              <w:ind w:left="14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50" w:type="dxa"/>
            <w:tcBorders>
              <w:bottom w:val="single" w:color="000000" w:sz="6" w:space="0"/>
            </w:tcBorders>
            <w:vAlign w:val="top"/>
          </w:tcPr>
          <w:p w14:paraId="0E0EABBB">
            <w:pPr>
              <w:spacing w:line="275" w:lineRule="auto"/>
              <w:rPr>
                <w:rFonts w:ascii="Arial"/>
                <w:sz w:val="21"/>
              </w:rPr>
            </w:pPr>
          </w:p>
          <w:p w14:paraId="16956EA8">
            <w:pPr>
              <w:spacing w:before="58" w:line="199"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89" w:type="dxa"/>
            <w:tcBorders>
              <w:bottom w:val="single" w:color="000000" w:sz="6" w:space="0"/>
              <w:right w:val="single" w:color="000000" w:sz="6" w:space="0"/>
            </w:tcBorders>
            <w:vAlign w:val="top"/>
          </w:tcPr>
          <w:p w14:paraId="0EFB835D">
            <w:pPr>
              <w:spacing w:line="275" w:lineRule="auto"/>
              <w:rPr>
                <w:rFonts w:ascii="Arial"/>
                <w:sz w:val="21"/>
              </w:rPr>
            </w:pPr>
          </w:p>
          <w:p w14:paraId="3BC6E054">
            <w:pPr>
              <w:spacing w:before="58" w:line="199"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bl>
    <w:p w14:paraId="2EEC1EBD">
      <w:pPr>
        <w:rPr>
          <w:rFonts w:ascii="Arial"/>
          <w:sz w:val="21"/>
        </w:rPr>
      </w:pPr>
    </w:p>
    <w:p w14:paraId="12707F6B">
      <w:pPr>
        <w:rPr>
          <w:rFonts w:ascii="Arial" w:hAnsi="Arial" w:eastAsia="Arial" w:cs="Arial"/>
          <w:sz w:val="21"/>
          <w:szCs w:val="21"/>
        </w:rPr>
        <w:sectPr>
          <w:footerReference r:id="rId119" w:type="default"/>
          <w:pgSz w:w="11906" w:h="16839"/>
          <w:pgMar w:top="400" w:right="1405" w:bottom="1240" w:left="1574" w:header="0" w:footer="1078" w:gutter="0"/>
          <w:cols w:space="720" w:num="1"/>
        </w:sectPr>
      </w:pPr>
    </w:p>
    <w:p w14:paraId="7E79000F">
      <w:pPr>
        <w:spacing w:before="5"/>
      </w:pPr>
    </w:p>
    <w:p w14:paraId="2B35ECEA">
      <w:pPr>
        <w:spacing w:before="5"/>
      </w:pPr>
    </w:p>
    <w:p w14:paraId="5DDFC5D5">
      <w:pPr>
        <w:spacing w:before="5"/>
      </w:pPr>
    </w:p>
    <w:p w14:paraId="429EC56D">
      <w:pPr>
        <w:spacing w:before="5"/>
      </w:pPr>
    </w:p>
    <w:p w14:paraId="28C4CD1E">
      <w:pPr>
        <w:spacing w:before="4"/>
      </w:pPr>
    </w:p>
    <w:tbl>
      <w:tblPr>
        <w:tblStyle w:val="5"/>
        <w:tblW w:w="8912"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912"/>
      </w:tblGrid>
      <w:tr w14:paraId="2F2EBCCD">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323" w:hRule="atLeast"/>
        </w:trPr>
        <w:tc>
          <w:tcPr>
            <w:tcW w:w="8912" w:type="dxa"/>
            <w:vAlign w:val="top"/>
          </w:tcPr>
          <w:p w14:paraId="13B765C6">
            <w:pPr>
              <w:pStyle w:val="6"/>
              <w:spacing w:line="211" w:lineRule="auto"/>
              <w:ind w:left="3857"/>
              <w:outlineLvl w:val="0"/>
              <w:rPr>
                <w:sz w:val="30"/>
                <w:szCs w:val="30"/>
              </w:rPr>
            </w:pPr>
            <w:bookmarkStart w:id="7" w:name="bookmark7"/>
            <w:bookmarkEnd w:id="7"/>
            <w:r>
              <w:rPr>
                <w:b/>
                <w:bCs/>
                <w:spacing w:val="-6"/>
                <w:sz w:val="30"/>
                <w:szCs w:val="30"/>
              </w:rPr>
              <w:t>七、结论</w:t>
            </w:r>
          </w:p>
          <w:p w14:paraId="4E8A49F8">
            <w:pPr>
              <w:pStyle w:val="6"/>
              <w:spacing w:before="41" w:line="359" w:lineRule="auto"/>
              <w:ind w:left="111" w:right="101" w:firstLine="473"/>
              <w:jc w:val="both"/>
            </w:pPr>
            <w:r>
              <w:rPr>
                <w:spacing w:val="3"/>
              </w:rPr>
              <w:t>磴口县扎格</w:t>
            </w:r>
            <w:r>
              <w:rPr>
                <w:spacing w:val="-48"/>
              </w:rPr>
              <w:t xml:space="preserve"> </w:t>
            </w:r>
            <w:r>
              <w:rPr>
                <w:rFonts w:ascii="Times New Roman" w:hAnsi="Times New Roman" w:eastAsia="Times New Roman" w:cs="Times New Roman"/>
                <w:spacing w:val="3"/>
              </w:rPr>
              <w:t xml:space="preserve">9X </w:t>
            </w:r>
            <w:r>
              <w:rPr>
                <w:spacing w:val="3"/>
              </w:rPr>
              <w:t>井勘探项目的建设符合国家和内蒙古产业政策，所采用的原材</w:t>
            </w:r>
            <w:r>
              <w:rPr>
                <w:spacing w:val="1"/>
              </w:rPr>
              <w:t>料、设备和生产工艺符合清洁生产要求，污染物经治理后可以实现达标排放，不会对区域生态环境造成明显影响，可以取得显著的经济效益，地面建设布局合理，因</w:t>
            </w:r>
            <w:r>
              <w:rPr>
                <w:spacing w:val="-1"/>
              </w:rPr>
              <w:t>此项目在环境保护方面是可行的。</w:t>
            </w:r>
          </w:p>
          <w:p w14:paraId="0CDCEC4B">
            <w:pPr>
              <w:pStyle w:val="6"/>
              <w:spacing w:before="2" w:line="359" w:lineRule="auto"/>
              <w:ind w:left="111" w:right="104" w:firstLine="474"/>
            </w:pPr>
            <w:r>
              <w:rPr>
                <w:spacing w:val="1"/>
              </w:rPr>
              <w:t>项目环境影响主要是生态环境影响，结合当地社会经济环境采取积极有效的生</w:t>
            </w:r>
            <w:r>
              <w:rPr>
                <w:spacing w:val="-1"/>
              </w:rPr>
              <w:t>态保护措施不断恢复改善项目区的环境。</w:t>
            </w:r>
          </w:p>
          <w:p w14:paraId="411C2224">
            <w:pPr>
              <w:pStyle w:val="6"/>
              <w:spacing w:line="218" w:lineRule="auto"/>
              <w:ind w:left="601"/>
            </w:pPr>
            <w:r>
              <w:rPr>
                <w:rFonts w:ascii="Times New Roman" w:hAnsi="Times New Roman" w:eastAsia="Times New Roman" w:cs="Times New Roman"/>
                <w:spacing w:val="-2"/>
              </w:rPr>
              <w:t>1</w:t>
            </w:r>
            <w:r>
              <w:rPr>
                <w:rFonts w:ascii="Times New Roman" w:hAnsi="Times New Roman" w:eastAsia="Times New Roman" w:cs="Times New Roman"/>
                <w:spacing w:val="-22"/>
              </w:rPr>
              <w:t xml:space="preserve"> </w:t>
            </w:r>
            <w:r>
              <w:rPr>
                <w:spacing w:val="-2"/>
              </w:rPr>
              <w:t>、制定严谨的施工、作业计划，科学合理地布局，尽可能的减少占用土地；</w:t>
            </w:r>
          </w:p>
          <w:p w14:paraId="3C2CC48F">
            <w:pPr>
              <w:pStyle w:val="6"/>
              <w:spacing w:before="182" w:line="359" w:lineRule="auto"/>
              <w:ind w:left="111" w:right="101" w:firstLine="467"/>
            </w:pPr>
            <w:r>
              <w:rPr>
                <w:rFonts w:ascii="Times New Roman" w:hAnsi="Times New Roman" w:eastAsia="Times New Roman" w:cs="Times New Roman"/>
                <w:spacing w:val="-2"/>
              </w:rPr>
              <w:t>2</w:t>
            </w:r>
            <w:r>
              <w:rPr>
                <w:spacing w:val="-2"/>
              </w:rPr>
              <w:t>、尽可能地利用现有条件作为施工用途，避免不必要的建设和浪费和增加破坏</w:t>
            </w:r>
            <w:r>
              <w:rPr>
                <w:spacing w:val="-3"/>
              </w:rPr>
              <w:t>程度；</w:t>
            </w:r>
          </w:p>
          <w:p w14:paraId="258B67D8">
            <w:pPr>
              <w:pStyle w:val="6"/>
              <w:spacing w:line="359" w:lineRule="auto"/>
              <w:ind w:left="112" w:right="101" w:firstLine="469"/>
            </w:pPr>
            <w:r>
              <w:rPr>
                <w:rFonts w:ascii="Times New Roman" w:hAnsi="Times New Roman" w:eastAsia="Times New Roman" w:cs="Times New Roman"/>
                <w:spacing w:val="-2"/>
              </w:rPr>
              <w:t>3</w:t>
            </w:r>
            <w:r>
              <w:rPr>
                <w:spacing w:val="-2"/>
              </w:rPr>
              <w:t>、对井场作业、车辆碾压造成的植被破坏区采取因地制宜的生态恢复措施，自</w:t>
            </w:r>
            <w:r>
              <w:t>然恢复结合人工建设促成，以最快速度恢复原有面貌，</w:t>
            </w:r>
            <w:r>
              <w:rPr>
                <w:spacing w:val="-1"/>
              </w:rPr>
              <w:t>避免水土流失和风蚀沙化；</w:t>
            </w:r>
          </w:p>
          <w:p w14:paraId="771878D8">
            <w:pPr>
              <w:pStyle w:val="6"/>
              <w:spacing w:before="2" w:line="361" w:lineRule="auto"/>
              <w:ind w:left="113" w:right="101" w:firstLine="462"/>
            </w:pPr>
            <w:r>
              <w:rPr>
                <w:rFonts w:ascii="Times New Roman" w:hAnsi="Times New Roman" w:eastAsia="Times New Roman" w:cs="Times New Roman"/>
                <w:spacing w:val="-2"/>
              </w:rPr>
              <w:t>4</w:t>
            </w:r>
            <w:r>
              <w:rPr>
                <w:spacing w:val="-2"/>
              </w:rPr>
              <w:t>、项目实施方应向地方监督管理部门交纳与项目环境保护投资相应比例的生态</w:t>
            </w:r>
            <w:r>
              <w:t>恢复补偿金或生态恢复保证金，形成相互监督约</w:t>
            </w:r>
            <w:r>
              <w:rPr>
                <w:spacing w:val="-1"/>
              </w:rPr>
              <w:t>束机制，推动生态恢复进程。</w:t>
            </w:r>
          </w:p>
        </w:tc>
      </w:tr>
    </w:tbl>
    <w:p w14:paraId="5062427B">
      <w:pPr>
        <w:rPr>
          <w:rFonts w:ascii="Arial"/>
          <w:sz w:val="21"/>
        </w:rPr>
      </w:pPr>
    </w:p>
    <w:p w14:paraId="2A79F6BB">
      <w:pPr>
        <w:rPr>
          <w:rFonts w:ascii="Arial" w:hAnsi="Arial" w:eastAsia="Arial" w:cs="Arial"/>
          <w:sz w:val="21"/>
          <w:szCs w:val="21"/>
        </w:rPr>
        <w:sectPr>
          <w:footerReference r:id="rId120" w:type="default"/>
          <w:pgSz w:w="11906" w:h="16839"/>
          <w:pgMar w:top="400" w:right="1404" w:bottom="1240" w:left="1574" w:header="0" w:footer="1078" w:gutter="0"/>
          <w:cols w:space="720" w:num="1"/>
        </w:sectPr>
      </w:pPr>
    </w:p>
    <w:p w14:paraId="6753A370">
      <w:pPr>
        <w:spacing w:before="10"/>
      </w:pPr>
    </w:p>
    <w:p w14:paraId="2E71E2C0">
      <w:pPr>
        <w:spacing w:before="9"/>
      </w:pPr>
    </w:p>
    <w:p w14:paraId="21942404">
      <w:pPr>
        <w:spacing w:before="9"/>
      </w:pPr>
    </w:p>
    <w:p w14:paraId="3BE70984">
      <w:pPr>
        <w:spacing w:before="9"/>
      </w:pPr>
    </w:p>
    <w:p w14:paraId="0E6797BD">
      <w:pPr>
        <w:spacing w:before="9"/>
      </w:pPr>
    </w:p>
    <w:p w14:paraId="4A335A34">
      <w:pPr>
        <w:spacing w:before="9"/>
      </w:pPr>
    </w:p>
    <w:tbl>
      <w:tblPr>
        <w:tblStyle w:val="5"/>
        <w:tblW w:w="10950" w:type="dxa"/>
        <w:tblInd w:w="408"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0950"/>
      </w:tblGrid>
      <w:tr w14:paraId="71227A5A">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7751" w:hRule="atLeast"/>
        </w:trPr>
        <w:tc>
          <w:tcPr>
            <w:tcW w:w="10950" w:type="dxa"/>
            <w:vAlign w:val="top"/>
          </w:tcPr>
          <w:p w14:paraId="2808D05A">
            <w:pPr>
              <w:pStyle w:val="6"/>
              <w:spacing w:before="20" w:line="7711" w:lineRule="exact"/>
              <w:ind w:firstLine="20"/>
            </w:pPr>
            <w:r>
              <w:rPr>
                <w:position w:val="-154"/>
              </w:rPr>
              <w:pict>
                <v:group id="_x0000_s1086" o:spid="_x0000_s1086" o:spt="203" style="height:385.6pt;width:545.05pt;" coordsize="10900,7712">
                  <o:lock v:ext="edit"/>
                  <v:shape id="_x0000_s1087" o:spid="_x0000_s1087" o:spt="75" type="#_x0000_t75" style="position:absolute;left:0;top:0;height:7712;width:10900;" filled="f" stroked="f" coordsize="21600,21600">
                    <v:path/>
                    <v:fill on="f" focussize="0,0"/>
                    <v:stroke on="f"/>
                    <v:imagedata r:id="rId200" o:title=""/>
                    <o:lock v:ext="edit" aspectratio="t"/>
                  </v:shape>
                  <v:shape id="_x0000_s1088" o:spid="_x0000_s1088" o:spt="202" type="#_x0000_t202" style="position:absolute;left:6084;top:1939;height:248;width:1020;" filled="f" stroked="f" coordsize="21600,21600">
                    <v:path/>
                    <v:fill on="f" focussize="0,0"/>
                    <v:stroke on="f"/>
                    <v:imagedata o:title=""/>
                    <o:lock v:ext="edit" aspectratio="f"/>
                    <v:textbox inset="0mm,0mm,0mm,0mm">
                      <w:txbxContent>
                        <w:p w14:paraId="101DF759">
                          <w:pPr>
                            <w:spacing w:before="19" w:line="228" w:lineRule="auto"/>
                            <w:ind w:left="20"/>
                            <w:rPr>
                              <w:rFonts w:ascii="宋体" w:hAnsi="宋体" w:eastAsia="宋体" w:cs="宋体"/>
                              <w:sz w:val="20"/>
                              <w:szCs w:val="20"/>
                            </w:rPr>
                          </w:pPr>
                          <w:r>
                            <w:rPr>
                              <w:rFonts w:ascii="宋体" w:hAnsi="宋体" w:eastAsia="宋体" w:cs="宋体"/>
                              <w:b/>
                              <w:bCs/>
                              <w:color w:val="FF0000"/>
                              <w:spacing w:val="1"/>
                              <w:sz w:val="20"/>
                              <w:szCs w:val="20"/>
                            </w:rPr>
                            <w:t>扎格</w:t>
                          </w:r>
                          <w:r>
                            <w:rPr>
                              <w:rFonts w:ascii="宋体" w:hAnsi="宋体" w:eastAsia="宋体" w:cs="宋体"/>
                              <w:color w:val="FF0000"/>
                              <w:spacing w:val="-38"/>
                              <w:sz w:val="20"/>
                              <w:szCs w:val="20"/>
                            </w:rPr>
                            <w:t xml:space="preserve"> </w:t>
                          </w:r>
                          <w:r>
                            <w:rPr>
                              <w:rFonts w:ascii="Times New Roman" w:hAnsi="Times New Roman" w:eastAsia="Times New Roman" w:cs="Times New Roman"/>
                              <w:b/>
                              <w:bCs/>
                              <w:color w:val="FF0000"/>
                              <w:spacing w:val="1"/>
                              <w:sz w:val="20"/>
                              <w:szCs w:val="20"/>
                            </w:rPr>
                            <w:t>9X</w:t>
                          </w:r>
                          <w:r>
                            <w:rPr>
                              <w:rFonts w:ascii="Times New Roman" w:hAnsi="Times New Roman" w:eastAsia="Times New Roman" w:cs="Times New Roman"/>
                              <w:b/>
                              <w:bCs/>
                              <w:color w:val="FF0000"/>
                              <w:spacing w:val="11"/>
                              <w:sz w:val="20"/>
                              <w:szCs w:val="20"/>
                            </w:rPr>
                            <w:t xml:space="preserve"> </w:t>
                          </w:r>
                          <w:r>
                            <w:rPr>
                              <w:rFonts w:ascii="宋体" w:hAnsi="宋体" w:eastAsia="宋体" w:cs="宋体"/>
                              <w:b/>
                              <w:bCs/>
                              <w:color w:val="FF0000"/>
                              <w:spacing w:val="1"/>
                              <w:sz w:val="20"/>
                              <w:szCs w:val="20"/>
                            </w:rPr>
                            <w:t>井</w:t>
                          </w:r>
                        </w:p>
                      </w:txbxContent>
                    </v:textbox>
                  </v:shape>
                  <w10:wrap type="none"/>
                  <w10:anchorlock/>
                </v:group>
              </w:pict>
            </w:r>
          </w:p>
        </w:tc>
      </w:tr>
    </w:tbl>
    <w:p w14:paraId="05F4D55F">
      <w:pPr>
        <w:pStyle w:val="2"/>
        <w:spacing w:before="141" w:line="219" w:lineRule="auto"/>
        <w:ind w:left="4687"/>
      </w:pPr>
      <w:r>
        <w:rPr>
          <w:b/>
          <w:bCs/>
          <w:spacing w:val="-6"/>
        </w:rPr>
        <w:t>附图</w:t>
      </w:r>
      <w:r>
        <w:rPr>
          <w:spacing w:val="-35"/>
        </w:rPr>
        <w:t xml:space="preserve"> </w:t>
      </w:r>
      <w:r>
        <w:rPr>
          <w:rFonts w:ascii="Times New Roman" w:hAnsi="Times New Roman" w:eastAsia="Times New Roman" w:cs="Times New Roman"/>
          <w:b/>
          <w:bCs/>
          <w:spacing w:val="-6"/>
        </w:rPr>
        <w:t xml:space="preserve">1  </w:t>
      </w:r>
      <w:r>
        <w:rPr>
          <w:b/>
          <w:bCs/>
          <w:spacing w:val="-6"/>
        </w:rPr>
        <w:t>项目地理位置图</w:t>
      </w:r>
    </w:p>
    <w:p w14:paraId="48F52389">
      <w:pPr>
        <w:spacing w:line="219" w:lineRule="auto"/>
        <w:sectPr>
          <w:footerReference r:id="rId121" w:type="default"/>
          <w:pgSz w:w="16839" w:h="11906"/>
          <w:pgMar w:top="400" w:right="2525" w:bottom="400" w:left="2525" w:header="0" w:footer="0" w:gutter="0"/>
          <w:cols w:space="720" w:num="1"/>
        </w:sectPr>
      </w:pPr>
    </w:p>
    <w:p w14:paraId="7A38B193">
      <w:pPr>
        <w:spacing w:before="10"/>
      </w:pPr>
    </w:p>
    <w:p w14:paraId="33222CB6">
      <w:pPr>
        <w:spacing w:before="9"/>
      </w:pPr>
    </w:p>
    <w:p w14:paraId="2C20BFE8">
      <w:pPr>
        <w:spacing w:before="9"/>
      </w:pPr>
    </w:p>
    <w:p w14:paraId="11FC2A3C">
      <w:pPr>
        <w:spacing w:before="9"/>
      </w:pPr>
    </w:p>
    <w:p w14:paraId="6EE669EA">
      <w:pPr>
        <w:spacing w:before="9"/>
      </w:pPr>
    </w:p>
    <w:p w14:paraId="502AEFA0">
      <w:pPr>
        <w:spacing w:before="9"/>
      </w:pPr>
    </w:p>
    <w:tbl>
      <w:tblPr>
        <w:tblStyle w:val="5"/>
        <w:tblW w:w="1398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79"/>
        <w:gridCol w:w="5272"/>
        <w:gridCol w:w="4038"/>
      </w:tblGrid>
      <w:tr w14:paraId="535384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3" w:hRule="atLeast"/>
        </w:trPr>
        <w:tc>
          <w:tcPr>
            <w:tcW w:w="4679" w:type="dxa"/>
            <w:tcBorders>
              <w:bottom w:val="nil"/>
              <w:right w:val="nil"/>
            </w:tcBorders>
            <w:vAlign w:val="top"/>
          </w:tcPr>
          <w:p w14:paraId="7E58CB05">
            <w:pPr>
              <w:spacing w:line="243" w:lineRule="auto"/>
              <w:rPr>
                <w:rFonts w:ascii="Arial"/>
                <w:sz w:val="21"/>
              </w:rPr>
            </w:pPr>
          </w:p>
          <w:p w14:paraId="31215EF0">
            <w:pPr>
              <w:spacing w:before="58" w:line="192" w:lineRule="auto"/>
              <w:ind w:left="891"/>
              <w:rPr>
                <w:rFonts w:ascii="Times New Roman" w:hAnsi="Times New Roman" w:eastAsia="Times New Roman" w:cs="Times New Roman"/>
                <w:sz w:val="20"/>
                <w:szCs w:val="20"/>
              </w:rPr>
            </w:pPr>
            <w:r>
              <w:drawing>
                <wp:anchor distT="0" distB="0" distL="0" distR="0" simplePos="0" relativeHeight="251725824" behindDoc="1" locked="0" layoutInCell="1" allowOverlap="1">
                  <wp:simplePos x="0" y="0"/>
                  <wp:positionH relativeFrom="column">
                    <wp:posOffset>365760</wp:posOffset>
                  </wp:positionH>
                  <wp:positionV relativeFrom="paragraph">
                    <wp:posOffset>70485</wp:posOffset>
                  </wp:positionV>
                  <wp:extent cx="492125" cy="705485"/>
                  <wp:effectExtent l="0" t="0" r="0" b="0"/>
                  <wp:wrapNone/>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201"/>
                          <a:stretch>
                            <a:fillRect/>
                          </a:stretch>
                        </pic:blipFill>
                        <pic:spPr>
                          <a:xfrm>
                            <a:off x="0" y="0"/>
                            <a:ext cx="492252" cy="705611"/>
                          </a:xfrm>
                          <a:prstGeom prst="rect">
                            <a:avLst/>
                          </a:prstGeom>
                        </pic:spPr>
                      </pic:pic>
                    </a:graphicData>
                  </a:graphic>
                </wp:anchor>
              </w:drawing>
            </w:r>
            <w:r>
              <w:drawing>
                <wp:anchor distT="0" distB="0" distL="0" distR="0" simplePos="0" relativeHeight="251724800" behindDoc="1" locked="0" layoutInCell="1" allowOverlap="1">
                  <wp:simplePos x="0" y="0"/>
                  <wp:positionH relativeFrom="column">
                    <wp:posOffset>67945</wp:posOffset>
                  </wp:positionH>
                  <wp:positionV relativeFrom="paragraph">
                    <wp:posOffset>-121285</wp:posOffset>
                  </wp:positionV>
                  <wp:extent cx="1089660" cy="1089660"/>
                  <wp:effectExtent l="0" t="0" r="0" b="0"/>
                  <wp:wrapNone/>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02"/>
                          <a:stretch>
                            <a:fillRect/>
                          </a:stretch>
                        </pic:blipFill>
                        <pic:spPr>
                          <a:xfrm>
                            <a:off x="0" y="0"/>
                            <a:ext cx="1089660" cy="1089660"/>
                          </a:xfrm>
                          <a:prstGeom prst="rect">
                            <a:avLst/>
                          </a:prstGeom>
                        </pic:spPr>
                      </pic:pic>
                    </a:graphicData>
                  </a:graphic>
                </wp:anchor>
              </w:drawing>
            </w:r>
            <w:r>
              <w:rPr>
                <w:rFonts w:ascii="Times New Roman" w:hAnsi="Times New Roman" w:eastAsia="Times New Roman" w:cs="Times New Roman"/>
                <w:b/>
                <w:bCs/>
                <w:spacing w:val="3"/>
                <w:sz w:val="20"/>
                <w:szCs w:val="20"/>
              </w:rPr>
              <w:t>N</w:t>
            </w:r>
          </w:p>
          <w:p w14:paraId="1B3674AB">
            <w:pPr>
              <w:spacing w:line="291" w:lineRule="auto"/>
              <w:rPr>
                <w:rFonts w:ascii="Arial"/>
                <w:sz w:val="21"/>
              </w:rPr>
            </w:pPr>
          </w:p>
          <w:p w14:paraId="2E47545B">
            <w:pPr>
              <w:spacing w:line="291" w:lineRule="auto"/>
              <w:rPr>
                <w:rFonts w:ascii="Arial"/>
                <w:sz w:val="21"/>
              </w:rPr>
            </w:pPr>
          </w:p>
          <w:p w14:paraId="105D74A7">
            <w:pPr>
              <w:spacing w:line="292" w:lineRule="auto"/>
              <w:rPr>
                <w:rFonts w:ascii="Arial"/>
                <w:sz w:val="21"/>
              </w:rPr>
            </w:pPr>
          </w:p>
          <w:p w14:paraId="77248C3C">
            <w:pPr>
              <w:spacing w:before="40" w:line="191" w:lineRule="auto"/>
              <w:ind w:left="448"/>
              <w:rPr>
                <w:rFonts w:ascii="Times New Roman" w:hAnsi="Times New Roman" w:eastAsia="Times New Roman" w:cs="Times New Roman"/>
                <w:sz w:val="14"/>
                <w:szCs w:val="14"/>
              </w:rPr>
            </w:pPr>
            <w:r>
              <w:rPr>
                <w:rFonts w:ascii="Times New Roman" w:hAnsi="Times New Roman" w:eastAsia="Times New Roman" w:cs="Times New Roman"/>
                <w:sz w:val="14"/>
                <w:szCs w:val="14"/>
              </w:rPr>
              <w:t>0           10</w:t>
            </w:r>
            <w:r>
              <w:rPr>
                <w:rFonts w:ascii="Times New Roman" w:hAnsi="Times New Roman" w:eastAsia="Times New Roman" w:cs="Times New Roman"/>
                <w:spacing w:val="3"/>
                <w:sz w:val="14"/>
                <w:szCs w:val="14"/>
              </w:rPr>
              <w:t xml:space="preserve">          </w:t>
            </w:r>
            <w:r>
              <w:rPr>
                <w:rFonts w:ascii="Times New Roman" w:hAnsi="Times New Roman" w:eastAsia="Times New Roman" w:cs="Times New Roman"/>
                <w:sz w:val="14"/>
                <w:szCs w:val="14"/>
              </w:rPr>
              <w:t>20km</w:t>
            </w:r>
          </w:p>
          <w:p w14:paraId="1F27335B">
            <w:pPr>
              <w:spacing w:line="100" w:lineRule="exact"/>
              <w:ind w:firstLine="480"/>
            </w:pPr>
            <w:r>
              <w:rPr>
                <w:position w:val="-2"/>
              </w:rPr>
              <w:drawing>
                <wp:inline distT="0" distB="0" distL="0" distR="0">
                  <wp:extent cx="621030" cy="63500"/>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203"/>
                          <a:stretch>
                            <a:fillRect/>
                          </a:stretch>
                        </pic:blipFill>
                        <pic:spPr>
                          <a:xfrm>
                            <a:off x="0" y="0"/>
                            <a:ext cx="621525" cy="63500"/>
                          </a:xfrm>
                          <a:prstGeom prst="rect">
                            <a:avLst/>
                          </a:prstGeom>
                        </pic:spPr>
                      </pic:pic>
                    </a:graphicData>
                  </a:graphic>
                </wp:inline>
              </w:drawing>
            </w:r>
          </w:p>
        </w:tc>
        <w:tc>
          <w:tcPr>
            <w:tcW w:w="5272" w:type="dxa"/>
            <w:tcBorders>
              <w:left w:val="nil"/>
              <w:bottom w:val="nil"/>
              <w:right w:val="nil"/>
            </w:tcBorders>
            <w:vAlign w:val="top"/>
          </w:tcPr>
          <w:p w14:paraId="786A5451">
            <w:pPr>
              <w:spacing w:line="346" w:lineRule="auto"/>
              <w:rPr>
                <w:rFonts w:ascii="Arial"/>
                <w:sz w:val="21"/>
              </w:rPr>
            </w:pPr>
          </w:p>
          <w:p w14:paraId="43D2DE35">
            <w:pPr>
              <w:pStyle w:val="6"/>
              <w:spacing w:line="510" w:lineRule="exact"/>
              <w:ind w:firstLine="2848"/>
            </w:pPr>
            <w:r>
              <w:rPr>
                <w:position w:val="-10"/>
              </w:rPr>
              <w:pict>
                <v:group id="_x0000_s1089" o:spid="_x0000_s1089" o:spt="203" style="height:25.55pt;width:107.8pt;" coordsize="2156,510">
                  <o:lock v:ext="edit"/>
                  <v:shape id="_x0000_s1090" o:spid="_x0000_s1090" style="position:absolute;left:0;top:0;height:510;width:2156;" fillcolor="#FFFFFF" filled="t" stroked="f" coordsize="2156,510" path="m0,84c0,38,38,0,86,0l972,0,1387,0,1579,0c1626,0,1664,38,1665,84l1665,297,2155,458,1664,425,1665,425c1664,471,1626,510,1579,509l1387,509,972,509,86,509c38,510,0,471,0,425l0,425,0,297,0,84e">
                    <v:path/>
                    <v:fill on="t" focussize="0,0"/>
                    <v:stroke on="f"/>
                    <v:imagedata o:title=""/>
                    <o:lock v:ext="edit"/>
                  </v:shape>
                  <v:shape id="_x0000_s1091" o:spid="_x0000_s1091" o:spt="202" type="#_x0000_t202" style="position:absolute;left:-20;top:-20;height:550;width:2196;" filled="f" stroked="f" coordsize="21600,21600">
                    <v:path/>
                    <v:fill on="f" focussize="0,0"/>
                    <v:stroke on="f"/>
                    <v:imagedata o:title=""/>
                    <o:lock v:ext="edit" aspectratio="f"/>
                    <v:textbox inset="0mm,0mm,0mm,0mm">
                      <w:txbxContent>
                        <w:p w14:paraId="4CE56CA8">
                          <w:pPr>
                            <w:spacing w:before="189" w:line="228" w:lineRule="auto"/>
                            <w:ind w:left="346"/>
                            <w:rPr>
                              <w:rFonts w:ascii="宋体" w:hAnsi="宋体" w:eastAsia="宋体" w:cs="宋体"/>
                              <w:sz w:val="20"/>
                              <w:szCs w:val="20"/>
                            </w:rPr>
                          </w:pPr>
                          <w:r>
                            <w:rPr>
                              <w:rFonts w:ascii="宋体" w:hAnsi="宋体" w:eastAsia="宋体" w:cs="宋体"/>
                              <w:color w:val="FF0000"/>
                              <w:spacing w:val="5"/>
                              <w:sz w:val="20"/>
                              <w:szCs w:val="20"/>
                            </w:rPr>
                            <w:t>临河联合站</w:t>
                          </w:r>
                        </w:p>
                      </w:txbxContent>
                    </v:textbox>
                  </v:shape>
                  <w10:wrap type="none"/>
                  <w10:anchorlock/>
                </v:group>
              </w:pict>
            </w:r>
          </w:p>
        </w:tc>
        <w:tc>
          <w:tcPr>
            <w:tcW w:w="4038" w:type="dxa"/>
            <w:tcBorders>
              <w:left w:val="nil"/>
              <w:bottom w:val="nil"/>
            </w:tcBorders>
            <w:vAlign w:val="top"/>
          </w:tcPr>
          <w:p w14:paraId="24FD0F2B">
            <w:pPr>
              <w:spacing w:line="241" w:lineRule="auto"/>
              <w:rPr>
                <w:rFonts w:ascii="Arial"/>
                <w:sz w:val="21"/>
              </w:rPr>
            </w:pPr>
          </w:p>
          <w:p w14:paraId="3E8BB161">
            <w:pPr>
              <w:spacing w:line="241" w:lineRule="auto"/>
              <w:rPr>
                <w:rFonts w:ascii="Arial"/>
                <w:sz w:val="21"/>
              </w:rPr>
            </w:pPr>
          </w:p>
          <w:p w14:paraId="7CC19763">
            <w:pPr>
              <w:spacing w:line="241" w:lineRule="auto"/>
              <w:rPr>
                <w:rFonts w:ascii="Arial"/>
                <w:sz w:val="21"/>
              </w:rPr>
            </w:pPr>
          </w:p>
          <w:p w14:paraId="142C4239">
            <w:pPr>
              <w:spacing w:line="241" w:lineRule="auto"/>
              <w:rPr>
                <w:rFonts w:ascii="Arial"/>
                <w:sz w:val="21"/>
              </w:rPr>
            </w:pPr>
          </w:p>
          <w:p w14:paraId="559BD5F0">
            <w:pPr>
              <w:spacing w:line="241" w:lineRule="auto"/>
              <w:rPr>
                <w:rFonts w:ascii="Arial"/>
                <w:sz w:val="21"/>
              </w:rPr>
            </w:pPr>
          </w:p>
          <w:p w14:paraId="01BE3A9B">
            <w:pPr>
              <w:pStyle w:val="6"/>
              <w:spacing w:line="2187" w:lineRule="exact"/>
              <w:ind w:firstLine="274"/>
            </w:pPr>
            <w:r>
              <w:rPr>
                <w:position w:val="-43"/>
              </w:rPr>
              <w:pict>
                <v:group id="_x0000_s1092" o:spid="_x0000_s1092" o:spt="203" style="height:109.35pt;width:105.9pt;" coordsize="2118,2186">
                  <o:lock v:ext="edit"/>
                  <v:shape id="_x0000_s1093" o:spid="_x0000_s1093" style="position:absolute;left:0;top:0;height:2186;width:2118;" fillcolor="#FFFFFF" filled="t" stroked="f" coordsize="2118,2186" path="m76,1195c77,1085,166,996,275,996l417,996,0,0,928,996,1920,996c2029,996,2117,1085,2117,1195l2116,1195,2116,1492,2116,1989c2117,2098,2029,2186,1920,2186l928,2186,417,2186,275,2186c166,2186,77,2098,76,1989l76,1492,77,1195,76,1195e">
                    <v:path/>
                    <v:fill on="t" focussize="0,0"/>
                    <v:stroke on="f"/>
                    <v:imagedata o:title=""/>
                    <o:lock v:ext="edit"/>
                  </v:shape>
                  <v:shape id="_x0000_s1094" o:spid="_x0000_s1094" o:spt="202" type="#_x0000_t202" style="position:absolute;left:-20;top:-20;height:2226;width:2158;" filled="f" stroked="f" coordsize="21600,21600">
                    <v:path/>
                    <v:fill on="f" focussize="0,0"/>
                    <v:stroke on="f"/>
                    <v:imagedata o:title=""/>
                    <o:lock v:ext="edit" aspectratio="f"/>
                    <v:textbox inset="0mm,0mm,0mm,0mm">
                      <w:txbxContent>
                        <w:p w14:paraId="138F7958">
                          <w:pPr>
                            <w:spacing w:line="284" w:lineRule="auto"/>
                            <w:rPr>
                              <w:rFonts w:ascii="Arial"/>
                              <w:sz w:val="21"/>
                            </w:rPr>
                          </w:pPr>
                        </w:p>
                        <w:p w14:paraId="4C6D7784">
                          <w:pPr>
                            <w:spacing w:line="284" w:lineRule="auto"/>
                            <w:rPr>
                              <w:rFonts w:ascii="Arial"/>
                              <w:sz w:val="21"/>
                            </w:rPr>
                          </w:pPr>
                        </w:p>
                        <w:p w14:paraId="4F5E9CAB">
                          <w:pPr>
                            <w:spacing w:line="284" w:lineRule="auto"/>
                            <w:rPr>
                              <w:rFonts w:ascii="Arial"/>
                              <w:sz w:val="21"/>
                            </w:rPr>
                          </w:pPr>
                        </w:p>
                        <w:p w14:paraId="18F8BD4C">
                          <w:pPr>
                            <w:spacing w:line="284" w:lineRule="auto"/>
                            <w:rPr>
                              <w:rFonts w:ascii="Arial"/>
                              <w:sz w:val="21"/>
                            </w:rPr>
                          </w:pPr>
                        </w:p>
                        <w:p w14:paraId="3EA67DEF">
                          <w:pPr>
                            <w:spacing w:before="65" w:line="294" w:lineRule="auto"/>
                            <w:ind w:left="284" w:right="203" w:firstLine="26"/>
                            <w:jc w:val="both"/>
                            <w:rPr>
                              <w:rFonts w:ascii="宋体" w:hAnsi="宋体" w:eastAsia="宋体" w:cs="宋体"/>
                              <w:sz w:val="20"/>
                              <w:szCs w:val="20"/>
                            </w:rPr>
                          </w:pPr>
                          <w:r>
                            <w:rPr>
                              <w:rFonts w:ascii="宋体" w:hAnsi="宋体" w:eastAsia="宋体" w:cs="宋体"/>
                              <w:color w:val="FF0000"/>
                              <w:spacing w:val="5"/>
                              <w:sz w:val="20"/>
                              <w:szCs w:val="20"/>
                            </w:rPr>
                            <w:t>内蒙古众宁环保科</w:t>
                          </w:r>
                          <w:r>
                            <w:rPr>
                              <w:rFonts w:ascii="宋体" w:hAnsi="宋体" w:eastAsia="宋体" w:cs="宋体"/>
                              <w:color w:val="FF0000"/>
                              <w:spacing w:val="8"/>
                              <w:sz w:val="20"/>
                              <w:szCs w:val="20"/>
                            </w:rPr>
                            <w:t>技有限公司油气田废弃物集中处理厂</w:t>
                          </w:r>
                        </w:p>
                      </w:txbxContent>
                    </v:textbox>
                  </v:shape>
                  <w10:wrap type="none"/>
                  <w10:anchorlock/>
                </v:group>
              </w:pict>
            </w:r>
          </w:p>
        </w:tc>
      </w:tr>
      <w:tr w14:paraId="0E2F64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8" w:hRule="atLeast"/>
        </w:trPr>
        <w:tc>
          <w:tcPr>
            <w:tcW w:w="13989" w:type="dxa"/>
            <w:gridSpan w:val="3"/>
            <w:tcBorders>
              <w:top w:val="nil"/>
            </w:tcBorders>
            <w:vAlign w:val="top"/>
          </w:tcPr>
          <w:p w14:paraId="1A628300">
            <w:pPr>
              <w:pStyle w:val="6"/>
              <w:spacing w:before="193" w:line="1626" w:lineRule="exact"/>
              <w:ind w:firstLine="7857"/>
            </w:pPr>
            <w:r>
              <w:rPr>
                <w:position w:val="-32"/>
              </w:rPr>
              <w:pict>
                <v:group id="_x0000_s1095" o:spid="_x0000_s1095" o:spt="203" style="height:81.3pt;width:178.7pt;" coordsize="3573,1626">
                  <o:lock v:ext="edit"/>
                  <v:shape id="_x0000_s1096" o:spid="_x0000_s1096" o:spt="75" type="#_x0000_t75" style="position:absolute;left:0;top:0;height:1626;width:3573;" filled="f" stroked="f" coordsize="21600,21600">
                    <v:path/>
                    <v:fill on="f" focussize="0,0"/>
                    <v:stroke on="f"/>
                    <v:imagedata r:id="rId204" o:title=""/>
                    <o:lock v:ext="edit" aspectratio="t"/>
                  </v:shape>
                  <v:shape id="_x0000_s1097" o:spid="_x0000_s1097" o:spt="202" type="#_x0000_t202" style="position:absolute;left:-20;top:-20;height:1666;width:3613;" filled="f" stroked="f" coordsize="21600,21600">
                    <v:path/>
                    <v:fill on="f" focussize="0,0"/>
                    <v:stroke on="f"/>
                    <v:imagedata o:title=""/>
                    <o:lock v:ext="edit" aspectratio="f"/>
                    <v:textbox inset="0mm,0mm,0mm,0mm">
                      <w:txbxContent>
                        <w:p w14:paraId="670F9D46">
                          <w:pPr>
                            <w:spacing w:line="296" w:lineRule="auto"/>
                            <w:rPr>
                              <w:rFonts w:ascii="Arial"/>
                              <w:sz w:val="21"/>
                            </w:rPr>
                          </w:pPr>
                        </w:p>
                        <w:p w14:paraId="0E647419">
                          <w:pPr>
                            <w:spacing w:line="296" w:lineRule="auto"/>
                            <w:rPr>
                              <w:rFonts w:ascii="Arial"/>
                              <w:sz w:val="21"/>
                            </w:rPr>
                          </w:pPr>
                        </w:p>
                        <w:p w14:paraId="4DCE624B">
                          <w:pPr>
                            <w:spacing w:line="296" w:lineRule="auto"/>
                            <w:rPr>
                              <w:rFonts w:ascii="Arial"/>
                              <w:sz w:val="21"/>
                            </w:rPr>
                          </w:pPr>
                        </w:p>
                        <w:p w14:paraId="7C75FE36">
                          <w:pPr>
                            <w:spacing w:line="296" w:lineRule="auto"/>
                            <w:rPr>
                              <w:rFonts w:ascii="Arial"/>
                              <w:sz w:val="21"/>
                            </w:rPr>
                          </w:pPr>
                        </w:p>
                        <w:p w14:paraId="31638D57">
                          <w:pPr>
                            <w:spacing w:before="65" w:line="228" w:lineRule="auto"/>
                            <w:ind w:left="315"/>
                            <w:rPr>
                              <w:rFonts w:ascii="宋体" w:hAnsi="宋体" w:eastAsia="宋体" w:cs="宋体"/>
                              <w:sz w:val="20"/>
                              <w:szCs w:val="20"/>
                            </w:rPr>
                          </w:pPr>
                          <w:r>
                            <w:rPr>
                              <w:rFonts w:ascii="宋体" w:hAnsi="宋体" w:eastAsia="宋体" w:cs="宋体"/>
                              <w:color w:val="FF0000"/>
                              <w:spacing w:val="7"/>
                              <w:sz w:val="20"/>
                              <w:szCs w:val="20"/>
                            </w:rPr>
                            <w:t>内蒙古河套盆地吉锦油气勘查范围</w:t>
                          </w:r>
                        </w:p>
                      </w:txbxContent>
                    </v:textbox>
                  </v:shape>
                  <w10:wrap type="none"/>
                  <w10:anchorlock/>
                </v:group>
              </w:pict>
            </w:r>
          </w:p>
        </w:tc>
      </w:tr>
    </w:tbl>
    <w:p w14:paraId="02AA2E63">
      <w:pPr>
        <w:pStyle w:val="2"/>
        <w:spacing w:before="141" w:line="219" w:lineRule="auto"/>
        <w:ind w:left="4205"/>
      </w:pPr>
      <w:r>
        <w:rPr>
          <w:b/>
          <w:bCs/>
          <w:spacing w:val="-3"/>
        </w:rPr>
        <w:t>附图</w:t>
      </w:r>
      <w:r>
        <w:rPr>
          <w:spacing w:val="-53"/>
        </w:rPr>
        <w:t xml:space="preserve"> </w:t>
      </w:r>
      <w:r>
        <w:rPr>
          <w:rFonts w:ascii="Times New Roman" w:hAnsi="Times New Roman" w:eastAsia="Times New Roman" w:cs="Times New Roman"/>
          <w:b/>
          <w:bCs/>
          <w:spacing w:val="-3"/>
        </w:rPr>
        <w:t xml:space="preserve">2  </w:t>
      </w:r>
      <w:r>
        <w:rPr>
          <w:b/>
          <w:bCs/>
          <w:spacing w:val="-3"/>
        </w:rPr>
        <w:t>项目与探矿权范围及依托工程位置关系示意图</w:t>
      </w:r>
    </w:p>
    <w:p w14:paraId="0ABB34BF">
      <w:pPr>
        <w:spacing w:line="219" w:lineRule="auto"/>
        <w:sectPr>
          <w:headerReference r:id="rId122" w:type="default"/>
          <w:pgSz w:w="16839" w:h="11906"/>
          <w:pgMar w:top="400" w:right="1397" w:bottom="400" w:left="1441" w:header="0" w:footer="0" w:gutter="0"/>
          <w:cols w:space="720" w:num="1"/>
        </w:sectPr>
      </w:pPr>
    </w:p>
    <w:p w14:paraId="255E530A">
      <w:pPr>
        <w:spacing w:before="15"/>
      </w:pPr>
    </w:p>
    <w:p w14:paraId="5BC5D5B8">
      <w:pPr>
        <w:spacing w:before="15"/>
      </w:pPr>
    </w:p>
    <w:p w14:paraId="3AA13BA4">
      <w:pPr>
        <w:spacing w:before="14"/>
      </w:pPr>
    </w:p>
    <w:p w14:paraId="7687B0F5">
      <w:pPr>
        <w:spacing w:before="14"/>
      </w:pPr>
    </w:p>
    <w:p w14:paraId="465D3961">
      <w:pPr>
        <w:spacing w:before="14"/>
      </w:pPr>
    </w:p>
    <w:p w14:paraId="2A1D0556">
      <w:pPr>
        <w:spacing w:before="14"/>
      </w:pPr>
    </w:p>
    <w:tbl>
      <w:tblPr>
        <w:tblStyle w:val="5"/>
        <w:tblW w:w="14003" w:type="dxa"/>
        <w:tblInd w:w="5"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4177"/>
        <w:gridCol w:w="9826"/>
      </w:tblGrid>
      <w:tr w14:paraId="6CB9359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042" w:hRule="atLeast"/>
        </w:trPr>
        <w:tc>
          <w:tcPr>
            <w:tcW w:w="4177" w:type="dxa"/>
            <w:vMerge w:val="restart"/>
            <w:tcBorders>
              <w:top w:val="single" w:color="000000" w:sz="4" w:space="0"/>
              <w:left w:val="single" w:color="000000" w:sz="4" w:space="0"/>
              <w:bottom w:val="nil"/>
            </w:tcBorders>
            <w:vAlign w:val="top"/>
          </w:tcPr>
          <w:p w14:paraId="5D8CDC44">
            <w:pPr>
              <w:rPr>
                <w:rFonts w:ascii="Arial"/>
                <w:sz w:val="21"/>
              </w:rPr>
            </w:pPr>
          </w:p>
        </w:tc>
        <w:tc>
          <w:tcPr>
            <w:tcW w:w="9826" w:type="dxa"/>
            <w:tcBorders>
              <w:top w:val="single" w:color="000000" w:sz="4" w:space="0"/>
              <w:right w:val="single" w:color="000000" w:sz="4" w:space="0"/>
            </w:tcBorders>
            <w:vAlign w:val="top"/>
          </w:tcPr>
          <w:p w14:paraId="3F063403">
            <w:pPr>
              <w:spacing w:line="1706" w:lineRule="exact"/>
              <w:ind w:firstLine="7994"/>
            </w:pPr>
            <w:r>
              <w:rPr>
                <w:position w:val="-34"/>
              </w:rPr>
              <w:pict>
                <v:group id="_x0000_s1098" o:spid="_x0000_s1098" o:spt="203" style="height:85.85pt;width:84pt;" coordsize="1680,1716">
                  <o:lock v:ext="edit"/>
                  <v:shape id="_x0000_s1099" o:spid="_x0000_s1099" o:spt="75" type="#_x0000_t75" style="position:absolute;left:0;top:0;height:1716;width:1680;" filled="f" stroked="f" coordsize="21600,21600">
                    <v:path/>
                    <v:fill on="f" focussize="0,0"/>
                    <v:stroke on="f"/>
                    <v:imagedata r:id="rId205" o:title=""/>
                    <o:lock v:ext="edit" aspectratio="t"/>
                  </v:shape>
                  <v:shape id="_x0000_s1100" o:spid="_x0000_s1100" o:spt="202" type="#_x0000_t202" style="position:absolute;left:160;top:94;height:1395;width:1478;" filled="f" stroked="f" coordsize="21600,21600">
                    <v:path/>
                    <v:fill on="f" focussize="0,0"/>
                    <v:stroke on="f"/>
                    <v:imagedata o:title=""/>
                    <o:lock v:ext="edit" aspectratio="f"/>
                    <v:textbox inset="0mm,0mm,0mm,0mm">
                      <w:txbxContent>
                        <w:p w14:paraId="59101793">
                          <w:pPr>
                            <w:spacing w:before="19" w:line="192" w:lineRule="auto"/>
                            <w:ind w:left="586"/>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N</w:t>
                          </w:r>
                        </w:p>
                        <w:p w14:paraId="6E1201AF">
                          <w:pPr>
                            <w:spacing w:line="252" w:lineRule="auto"/>
                            <w:rPr>
                              <w:rFonts w:ascii="Arial"/>
                              <w:sz w:val="21"/>
                            </w:rPr>
                          </w:pPr>
                        </w:p>
                        <w:p w14:paraId="57D2383C">
                          <w:pPr>
                            <w:spacing w:line="252" w:lineRule="auto"/>
                            <w:rPr>
                              <w:rFonts w:ascii="Arial"/>
                              <w:sz w:val="21"/>
                            </w:rPr>
                          </w:pPr>
                        </w:p>
                        <w:p w14:paraId="645CD7F2">
                          <w:pPr>
                            <w:spacing w:line="253" w:lineRule="auto"/>
                            <w:rPr>
                              <w:rFonts w:ascii="Arial"/>
                              <w:sz w:val="21"/>
                            </w:rPr>
                          </w:pPr>
                        </w:p>
                        <w:p w14:paraId="59130239">
                          <w:pPr>
                            <w:spacing w:line="253" w:lineRule="auto"/>
                            <w:rPr>
                              <w:rFonts w:ascii="Arial"/>
                              <w:sz w:val="21"/>
                            </w:rPr>
                          </w:pPr>
                        </w:p>
                        <w:p w14:paraId="20C9419E">
                          <w:pPr>
                            <w:spacing w:before="40" w:line="212" w:lineRule="auto"/>
                            <w:ind w:left="20"/>
                            <w:rPr>
                              <w:rFonts w:ascii="Times New Roman" w:hAnsi="Times New Roman" w:eastAsia="Times New Roman" w:cs="Times New Roman"/>
                              <w:sz w:val="14"/>
                              <w:szCs w:val="14"/>
                            </w:rPr>
                          </w:pPr>
                          <w:r>
                            <w:rPr>
                              <w:rFonts w:ascii="Times New Roman" w:hAnsi="Times New Roman" w:eastAsia="Times New Roman" w:cs="Times New Roman"/>
                              <w:sz w:val="14"/>
                              <w:szCs w:val="14"/>
                            </w:rPr>
                            <w:t>0              0.</w:t>
                          </w:r>
                          <w:r>
                            <w:rPr>
                              <w:rFonts w:ascii="Times New Roman" w:hAnsi="Times New Roman" w:eastAsia="Times New Roman" w:cs="Times New Roman"/>
                              <w:spacing w:val="-3"/>
                              <w:sz w:val="14"/>
                              <w:szCs w:val="14"/>
                            </w:rPr>
                            <w:t xml:space="preserve"> </w:t>
                          </w:r>
                          <w:r>
                            <w:rPr>
                              <w:rFonts w:ascii="Times New Roman" w:hAnsi="Times New Roman" w:eastAsia="Times New Roman" w:cs="Times New Roman"/>
                              <w:sz w:val="14"/>
                              <w:szCs w:val="14"/>
                            </w:rPr>
                            <w:t>1         0.2km</w:t>
                          </w:r>
                        </w:p>
                      </w:txbxContent>
                    </v:textbox>
                  </v:shape>
                  <w10:wrap type="none"/>
                  <w10:anchorlock/>
                </v:group>
              </w:pict>
            </w:r>
          </w:p>
        </w:tc>
      </w:tr>
      <w:tr w14:paraId="5EF00C7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68" w:hRule="atLeast"/>
        </w:trPr>
        <w:tc>
          <w:tcPr>
            <w:tcW w:w="4177" w:type="dxa"/>
            <w:vMerge w:val="continue"/>
            <w:tcBorders>
              <w:top w:val="nil"/>
              <w:left w:val="single" w:color="000000" w:sz="4" w:space="0"/>
              <w:bottom w:val="nil"/>
            </w:tcBorders>
            <w:vAlign w:val="top"/>
          </w:tcPr>
          <w:p w14:paraId="76D71D18">
            <w:pPr>
              <w:rPr>
                <w:rFonts w:ascii="Arial"/>
                <w:sz w:val="21"/>
              </w:rPr>
            </w:pPr>
          </w:p>
        </w:tc>
        <w:tc>
          <w:tcPr>
            <w:tcW w:w="9826" w:type="dxa"/>
            <w:tcBorders>
              <w:right w:val="single" w:color="000000" w:sz="4" w:space="0"/>
            </w:tcBorders>
            <w:vAlign w:val="top"/>
          </w:tcPr>
          <w:p w14:paraId="32895C5A">
            <w:pPr>
              <w:spacing w:line="340" w:lineRule="auto"/>
              <w:rPr>
                <w:rFonts w:ascii="Arial"/>
                <w:sz w:val="21"/>
              </w:rPr>
            </w:pPr>
          </w:p>
          <w:p w14:paraId="6D913553">
            <w:pPr>
              <w:pStyle w:val="6"/>
              <w:spacing w:line="360" w:lineRule="exact"/>
              <w:ind w:firstLine="2621"/>
            </w:pPr>
            <w:r>
              <w:rPr>
                <w:position w:val="-7"/>
              </w:rPr>
              <w:pict>
                <v:group id="_x0000_s1101" o:spid="_x0000_s1101" o:spt="203" style="height:18pt;width:71.95pt;" coordsize="1438,360">
                  <o:lock v:ext="edit"/>
                  <v:shape id="_x0000_s1102" o:spid="_x0000_s1102" o:spt="75" type="#_x0000_t75" style="position:absolute;left:0;top:0;height:360;width:1438;" filled="f" stroked="f" coordsize="21600,21600">
                    <v:path/>
                    <v:fill on="f" focussize="0,0"/>
                    <v:stroke on="f"/>
                    <v:imagedata r:id="rId206" o:title=""/>
                    <o:lock v:ext="edit" aspectratio="t"/>
                  </v:shape>
                  <v:shape id="_x0000_s1103" o:spid="_x0000_s1103" o:spt="202" type="#_x0000_t202" style="position:absolute;left:-20;top:-20;height:400;width:1478;" filled="f" stroked="f" coordsize="21600,21600">
                    <v:path/>
                    <v:fill on="f" focussize="0,0"/>
                    <v:stroke on="f"/>
                    <v:imagedata o:title=""/>
                    <o:lock v:ext="edit" aspectratio="f"/>
                    <v:textbox inset="0mm,0mm,0mm,0mm">
                      <w:txbxContent>
                        <w:p w14:paraId="0DF39011">
                          <w:pPr>
                            <w:spacing w:before="109" w:line="228" w:lineRule="auto"/>
                            <w:ind w:left="129"/>
                            <w:rPr>
                              <w:rFonts w:ascii="宋体" w:hAnsi="宋体" w:eastAsia="宋体" w:cs="宋体"/>
                              <w:sz w:val="20"/>
                              <w:szCs w:val="20"/>
                            </w:rPr>
                          </w:pPr>
                          <w:r>
                            <w:rPr>
                              <w:rFonts w:ascii="宋体" w:hAnsi="宋体" w:eastAsia="宋体" w:cs="宋体"/>
                              <w:color w:val="FF0000"/>
                              <w:spacing w:val="6"/>
                              <w:sz w:val="20"/>
                              <w:szCs w:val="20"/>
                            </w:rPr>
                            <w:t>现有道路</w:t>
                          </w:r>
                        </w:p>
                      </w:txbxContent>
                    </v:textbox>
                  </v:shape>
                  <w10:wrap type="none"/>
                  <w10:anchorlock/>
                </v:group>
              </w:pict>
            </w:r>
          </w:p>
        </w:tc>
      </w:tr>
      <w:tr w14:paraId="3E8D626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998" w:hRule="atLeast"/>
        </w:trPr>
        <w:tc>
          <w:tcPr>
            <w:tcW w:w="4177" w:type="dxa"/>
            <w:vMerge w:val="continue"/>
            <w:tcBorders>
              <w:top w:val="nil"/>
              <w:left w:val="single" w:color="000000" w:sz="4" w:space="0"/>
            </w:tcBorders>
            <w:vAlign w:val="top"/>
          </w:tcPr>
          <w:p w14:paraId="15216643">
            <w:pPr>
              <w:rPr>
                <w:rFonts w:ascii="Arial"/>
                <w:sz w:val="21"/>
              </w:rPr>
            </w:pPr>
          </w:p>
        </w:tc>
        <w:tc>
          <w:tcPr>
            <w:tcW w:w="9826" w:type="dxa"/>
            <w:tcBorders>
              <w:right w:val="single" w:color="000000" w:sz="4" w:space="0"/>
            </w:tcBorders>
            <w:vAlign w:val="top"/>
          </w:tcPr>
          <w:p w14:paraId="4BF759CD">
            <w:pPr>
              <w:spacing w:line="471" w:lineRule="auto"/>
              <w:rPr>
                <w:rFonts w:ascii="Arial"/>
                <w:sz w:val="21"/>
              </w:rPr>
            </w:pPr>
          </w:p>
          <w:p w14:paraId="1EDC8161">
            <w:pPr>
              <w:pStyle w:val="6"/>
              <w:spacing w:line="812" w:lineRule="exact"/>
              <w:ind w:firstLine="1074"/>
            </w:pPr>
            <w:r>
              <w:rPr>
                <w:position w:val="-16"/>
              </w:rPr>
              <w:pict>
                <v:group id="_x0000_s1104" o:spid="_x0000_s1104" o:spt="203" style="height:40.6pt;width:99.05pt;" coordsize="1981,811">
                  <o:lock v:ext="edit"/>
                  <v:shape id="_x0000_s1105" o:spid="_x0000_s1105" style="position:absolute;left:0;top:0;height:811;width:1981;" fillcolor="#FFFFFF" filled="t" stroked="f" coordsize="1981,811" path="m0,386c0,338,38,300,84,300l802,300,1980,0,1147,300,1291,300c1337,300,1376,338,1376,385l1375,386,1375,513,1375,724c1376,772,1337,810,1291,811l1147,811,802,811,84,811c38,810,0,772,0,724l0,513,0,385,0,386e">
                    <v:path/>
                    <v:fill on="t" focussize="0,0"/>
                    <v:stroke on="f"/>
                    <v:imagedata o:title=""/>
                    <o:lock v:ext="edit"/>
                  </v:shape>
                  <v:shape id="_x0000_s1106" o:spid="_x0000_s1106" o:spt="202" type="#_x0000_t202" style="position:absolute;left:-20;top:-20;height:851;width:2021;" filled="f" stroked="f" coordsize="21600,21600">
                    <v:path/>
                    <v:fill on="f" focussize="0,0"/>
                    <v:stroke on="f"/>
                    <v:imagedata o:title=""/>
                    <o:lock v:ext="edit" aspectratio="f"/>
                    <v:textbox inset="0mm,0mm,0mm,0mm">
                      <w:txbxContent>
                        <w:p w14:paraId="65EEA588">
                          <w:pPr>
                            <w:spacing w:line="424" w:lineRule="auto"/>
                            <w:rPr>
                              <w:rFonts w:ascii="Arial"/>
                              <w:sz w:val="21"/>
                            </w:rPr>
                          </w:pPr>
                        </w:p>
                        <w:p w14:paraId="43FA6B0E">
                          <w:pPr>
                            <w:spacing w:before="65" w:line="228" w:lineRule="auto"/>
                            <w:ind w:left="294"/>
                            <w:rPr>
                              <w:rFonts w:ascii="宋体" w:hAnsi="宋体" w:eastAsia="宋体" w:cs="宋体"/>
                              <w:sz w:val="20"/>
                              <w:szCs w:val="20"/>
                            </w:rPr>
                          </w:pPr>
                          <w:r>
                            <w:rPr>
                              <w:rFonts w:ascii="Times New Roman" w:hAnsi="Times New Roman" w:eastAsia="Times New Roman" w:cs="Times New Roman"/>
                              <w:color w:val="FF0000"/>
                              <w:spacing w:val="2"/>
                              <w:sz w:val="20"/>
                              <w:szCs w:val="20"/>
                            </w:rPr>
                            <w:t>50m</w:t>
                          </w:r>
                          <w:r>
                            <w:rPr>
                              <w:rFonts w:ascii="Times New Roman" w:hAnsi="Times New Roman" w:eastAsia="Times New Roman" w:cs="Times New Roman"/>
                              <w:color w:val="FF0000"/>
                              <w:spacing w:val="15"/>
                              <w:w w:val="101"/>
                              <w:sz w:val="20"/>
                              <w:szCs w:val="20"/>
                            </w:rPr>
                            <w:t xml:space="preserve"> </w:t>
                          </w:r>
                          <w:r>
                            <w:rPr>
                              <w:rFonts w:ascii="宋体" w:hAnsi="宋体" w:eastAsia="宋体" w:cs="宋体"/>
                              <w:color w:val="FF0000"/>
                              <w:spacing w:val="2"/>
                              <w:sz w:val="20"/>
                              <w:szCs w:val="20"/>
                            </w:rPr>
                            <w:t>范围</w:t>
                          </w:r>
                        </w:p>
                      </w:txbxContent>
                    </v:textbox>
                  </v:shape>
                  <w10:wrap type="none"/>
                  <w10:anchorlock/>
                </v:group>
              </w:pict>
            </w:r>
          </w:p>
        </w:tc>
      </w:tr>
      <w:tr w14:paraId="48305B3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61" w:hRule="atLeast"/>
        </w:trPr>
        <w:tc>
          <w:tcPr>
            <w:tcW w:w="4177" w:type="dxa"/>
            <w:tcBorders>
              <w:left w:val="single" w:color="000000" w:sz="4" w:space="0"/>
              <w:bottom w:val="single" w:color="000000" w:sz="4" w:space="0"/>
            </w:tcBorders>
            <w:vAlign w:val="top"/>
          </w:tcPr>
          <w:p w14:paraId="2331DC5C">
            <w:pPr>
              <w:spacing w:before="16" w:line="2409" w:lineRule="exact"/>
              <w:ind w:firstLine="15"/>
            </w:pPr>
            <w:r>
              <w:rPr>
                <w:position w:val="-48"/>
              </w:rPr>
              <w:drawing>
                <wp:inline distT="0" distB="0" distL="0" distR="0">
                  <wp:extent cx="2639060" cy="152908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207"/>
                          <a:stretch>
                            <a:fillRect/>
                          </a:stretch>
                        </pic:blipFill>
                        <pic:spPr>
                          <a:xfrm>
                            <a:off x="0" y="0"/>
                            <a:ext cx="2639186" cy="1529714"/>
                          </a:xfrm>
                          <a:prstGeom prst="rect">
                            <a:avLst/>
                          </a:prstGeom>
                        </pic:spPr>
                      </pic:pic>
                    </a:graphicData>
                  </a:graphic>
                </wp:inline>
              </w:drawing>
            </w:r>
          </w:p>
        </w:tc>
        <w:tc>
          <w:tcPr>
            <w:tcW w:w="9826" w:type="dxa"/>
            <w:tcBorders>
              <w:bottom w:val="single" w:color="000000" w:sz="4" w:space="0"/>
              <w:right w:val="single" w:color="000000" w:sz="4" w:space="0"/>
            </w:tcBorders>
            <w:vAlign w:val="top"/>
          </w:tcPr>
          <w:p w14:paraId="2CE62346">
            <w:pPr>
              <w:pStyle w:val="6"/>
              <w:spacing w:before="188" w:line="950" w:lineRule="exact"/>
              <w:ind w:firstLine="5212"/>
            </w:pPr>
            <w:r>
              <w:rPr>
                <w:position w:val="-19"/>
              </w:rPr>
              <w:pict>
                <v:group id="_x0000_s1107" o:spid="_x0000_s1107" o:spt="203" style="height:47.55pt;width:105.15pt;" coordsize="2103,950">
                  <o:lock v:ext="edit"/>
                  <v:shape id="_x0000_s1108" o:spid="_x0000_s1108" style="position:absolute;left:0;top:0;height:950;width:2103;" fillcolor="#FFFFFF" filled="t" stroked="f" coordsize="2103,950" path="m727,525c725,478,764,440,811,441l955,441,0,0,1298,441,2015,441c2063,440,2102,478,2102,525l2102,525,2102,652,2102,866c2102,912,2063,950,2015,950l1298,950,955,950,811,950c764,950,725,912,727,866l727,652,725,525,727,525e">
                    <v:path/>
                    <v:fill on="t" focussize="0,0"/>
                    <v:stroke on="f"/>
                    <v:imagedata o:title=""/>
                    <o:lock v:ext="edit"/>
                  </v:shape>
                  <v:shape id="_x0000_s1109" o:spid="_x0000_s1109" o:spt="202" type="#_x0000_t202" style="position:absolute;left:-20;top:-20;height:990;width:2143;" filled="f" stroked="f" coordsize="21600,21600">
                    <v:path/>
                    <v:fill on="f" focussize="0,0"/>
                    <v:stroke on="f"/>
                    <v:imagedata o:title=""/>
                    <o:lock v:ext="edit" aspectratio="f"/>
                    <v:textbox inset="0mm,0mm,0mm,0mm">
                      <w:txbxContent>
                        <w:p w14:paraId="12DBCF86">
                          <w:pPr>
                            <w:spacing w:line="281" w:lineRule="auto"/>
                            <w:rPr>
                              <w:rFonts w:ascii="Arial"/>
                              <w:sz w:val="21"/>
                            </w:rPr>
                          </w:pPr>
                        </w:p>
                        <w:p w14:paraId="5176B206">
                          <w:pPr>
                            <w:spacing w:line="281" w:lineRule="auto"/>
                            <w:rPr>
                              <w:rFonts w:ascii="Arial"/>
                              <w:sz w:val="21"/>
                            </w:rPr>
                          </w:pPr>
                        </w:p>
                        <w:p w14:paraId="3A232741">
                          <w:pPr>
                            <w:spacing w:before="65" w:line="228" w:lineRule="auto"/>
                            <w:ind w:left="968"/>
                            <w:rPr>
                              <w:rFonts w:ascii="宋体" w:hAnsi="宋体" w:eastAsia="宋体" w:cs="宋体"/>
                              <w:sz w:val="20"/>
                              <w:szCs w:val="20"/>
                            </w:rPr>
                          </w:pPr>
                          <w:r>
                            <w:rPr>
                              <w:rFonts w:ascii="Times New Roman" w:hAnsi="Times New Roman" w:eastAsia="Times New Roman" w:cs="Times New Roman"/>
                              <w:color w:val="FF0000"/>
                              <w:spacing w:val="3"/>
                              <w:sz w:val="20"/>
                              <w:szCs w:val="20"/>
                            </w:rPr>
                            <w:t>500m</w:t>
                          </w:r>
                          <w:r>
                            <w:rPr>
                              <w:rFonts w:ascii="Times New Roman" w:hAnsi="Times New Roman" w:eastAsia="Times New Roman" w:cs="Times New Roman"/>
                              <w:color w:val="FF0000"/>
                              <w:spacing w:val="14"/>
                              <w:sz w:val="20"/>
                              <w:szCs w:val="20"/>
                            </w:rPr>
                            <w:t xml:space="preserve"> </w:t>
                          </w:r>
                          <w:r>
                            <w:rPr>
                              <w:rFonts w:ascii="宋体" w:hAnsi="宋体" w:eastAsia="宋体" w:cs="宋体"/>
                              <w:color w:val="FF0000"/>
                              <w:spacing w:val="3"/>
                              <w:sz w:val="20"/>
                              <w:szCs w:val="20"/>
                            </w:rPr>
                            <w:t>范围</w:t>
                          </w:r>
                        </w:p>
                      </w:txbxContent>
                    </v:textbox>
                  </v:shape>
                  <w10:wrap type="none"/>
                  <w10:anchorlock/>
                </v:group>
              </w:pict>
            </w:r>
          </w:p>
        </w:tc>
      </w:tr>
    </w:tbl>
    <w:p w14:paraId="79BF1A13">
      <w:pPr>
        <w:pStyle w:val="2"/>
        <w:spacing w:before="191" w:line="219" w:lineRule="auto"/>
        <w:ind w:left="5530"/>
      </w:pPr>
      <w:r>
        <w:rPr>
          <w:b/>
          <w:bCs/>
          <w:spacing w:val="-4"/>
        </w:rPr>
        <w:t>附图</w:t>
      </w:r>
      <w:r>
        <w:rPr>
          <w:spacing w:val="-52"/>
        </w:rPr>
        <w:t xml:space="preserve"> </w:t>
      </w:r>
      <w:r>
        <w:rPr>
          <w:rFonts w:ascii="Times New Roman" w:hAnsi="Times New Roman" w:eastAsia="Times New Roman" w:cs="Times New Roman"/>
          <w:b/>
          <w:bCs/>
          <w:spacing w:val="-4"/>
        </w:rPr>
        <w:t xml:space="preserve">3  </w:t>
      </w:r>
      <w:r>
        <w:rPr>
          <w:b/>
          <w:bCs/>
          <w:spacing w:val="-4"/>
        </w:rPr>
        <w:t>项目周边关系示意图</w:t>
      </w:r>
    </w:p>
    <w:p w14:paraId="56B2A60B">
      <w:pPr>
        <w:spacing w:line="219" w:lineRule="auto"/>
        <w:sectPr>
          <w:headerReference r:id="rId123" w:type="default"/>
          <w:pgSz w:w="16839" w:h="11906"/>
          <w:pgMar w:top="400" w:right="1383" w:bottom="400" w:left="1441" w:header="0" w:footer="0" w:gutter="0"/>
          <w:cols w:space="720" w:num="1"/>
        </w:sectPr>
      </w:pPr>
    </w:p>
    <w:p w14:paraId="617CC6F2">
      <w:pPr>
        <w:spacing w:before="10"/>
      </w:pPr>
    </w:p>
    <w:p w14:paraId="0983D021">
      <w:pPr>
        <w:spacing w:before="9"/>
      </w:pPr>
    </w:p>
    <w:p w14:paraId="3871A964">
      <w:pPr>
        <w:spacing w:before="9"/>
      </w:pPr>
    </w:p>
    <w:p w14:paraId="7890B01C">
      <w:pPr>
        <w:spacing w:before="9"/>
      </w:pPr>
    </w:p>
    <w:p w14:paraId="3AC44552">
      <w:pPr>
        <w:spacing w:before="9"/>
      </w:pPr>
    </w:p>
    <w:p w14:paraId="19DCC820">
      <w:pPr>
        <w:spacing w:before="9"/>
      </w:pPr>
    </w:p>
    <w:tbl>
      <w:tblPr>
        <w:tblStyle w:val="5"/>
        <w:tblW w:w="1398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42"/>
        <w:gridCol w:w="288"/>
        <w:gridCol w:w="7059"/>
      </w:tblGrid>
      <w:tr w14:paraId="6967B0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6" w:hRule="atLeast"/>
        </w:trPr>
        <w:tc>
          <w:tcPr>
            <w:tcW w:w="6642" w:type="dxa"/>
            <w:tcBorders>
              <w:bottom w:val="nil"/>
              <w:right w:val="nil"/>
            </w:tcBorders>
            <w:vAlign w:val="top"/>
          </w:tcPr>
          <w:p w14:paraId="1271DCB2">
            <w:pPr>
              <w:pStyle w:val="6"/>
              <w:spacing w:before="185" w:line="862" w:lineRule="exact"/>
              <w:ind w:firstLine="5295"/>
            </w:pPr>
            <w:r>
              <w:rPr>
                <w:position w:val="-17"/>
              </w:rPr>
              <w:pict>
                <v:group id="_x0000_s1110" o:spid="_x0000_s1110" o:spt="203" style="height:43.1pt;width:64.95pt;" coordsize="1298,861">
                  <o:lock v:ext="edit"/>
                  <v:shape id="_x0000_s1111" o:spid="_x0000_s1111" style="position:absolute;left:0;top:0;height:861;width:1298;" fillcolor="#FFFFFF" filled="t" stroked="f" coordsize="1298,861" path="m0,86c0,39,38,0,86,0l727,0,1039,0,1161,0c1209,0,1247,39,1248,86l1248,297,1247,425,1248,427c1247,472,1209,510,1161,511l1039,511,1298,861,727,511,86,511c38,510,0,472,0,425l0,427,0,297,0,86e">
                    <v:path/>
                    <v:fill on="t" focussize="0,0"/>
                    <v:stroke on="f"/>
                    <v:imagedata o:title=""/>
                    <o:lock v:ext="edit"/>
                  </v:shape>
                  <v:shape id="_x0000_s1112" o:spid="_x0000_s1112" o:spt="202" type="#_x0000_t202" style="position:absolute;left:-20;top:-20;height:901;width:1338;" filled="f" stroked="f" coordsize="21600,21600">
                    <v:path/>
                    <v:fill on="f" focussize="0,0"/>
                    <v:stroke on="f"/>
                    <v:imagedata o:title=""/>
                    <o:lock v:ext="edit" aspectratio="f"/>
                    <v:textbox inset="0mm,0mm,0mm,0mm">
                      <w:txbxContent>
                        <w:p w14:paraId="01D76163">
                          <w:pPr>
                            <w:spacing w:before="191" w:line="228" w:lineRule="auto"/>
                            <w:ind w:left="233"/>
                            <w:rPr>
                              <w:rFonts w:ascii="宋体" w:hAnsi="宋体" w:eastAsia="宋体" w:cs="宋体"/>
                              <w:sz w:val="20"/>
                              <w:szCs w:val="20"/>
                            </w:rPr>
                          </w:pPr>
                          <w:r>
                            <w:rPr>
                              <w:rFonts w:ascii="宋体" w:hAnsi="宋体" w:eastAsia="宋体" w:cs="宋体"/>
                              <w:color w:val="FF0000"/>
                              <w:spacing w:val="6"/>
                              <w:sz w:val="20"/>
                              <w:szCs w:val="20"/>
                            </w:rPr>
                            <w:t>现有道路</w:t>
                          </w:r>
                        </w:p>
                      </w:txbxContent>
                    </v:textbox>
                  </v:shape>
                  <w10:wrap type="none"/>
                  <w10:anchorlock/>
                </v:group>
              </w:pict>
            </w:r>
          </w:p>
        </w:tc>
        <w:tc>
          <w:tcPr>
            <w:tcW w:w="7347" w:type="dxa"/>
            <w:gridSpan w:val="2"/>
            <w:tcBorders>
              <w:left w:val="nil"/>
              <w:bottom w:val="nil"/>
            </w:tcBorders>
            <w:vAlign w:val="top"/>
          </w:tcPr>
          <w:p w14:paraId="2A350EB8">
            <w:pPr>
              <w:spacing w:before="42" w:line="1716" w:lineRule="exact"/>
              <w:ind w:firstLine="5533"/>
            </w:pPr>
            <w:r>
              <w:drawing>
                <wp:anchor distT="0" distB="0" distL="0" distR="0" simplePos="0" relativeHeight="251726848" behindDoc="0" locked="0" layoutInCell="1" allowOverlap="1">
                  <wp:simplePos x="0" y="0"/>
                  <wp:positionH relativeFrom="rightMargin">
                    <wp:posOffset>-4634865</wp:posOffset>
                  </wp:positionH>
                  <wp:positionV relativeFrom="topMargin">
                    <wp:posOffset>728980</wp:posOffset>
                  </wp:positionV>
                  <wp:extent cx="673100" cy="415290"/>
                  <wp:effectExtent l="0" t="0" r="0" b="0"/>
                  <wp:wrapNone/>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208"/>
                          <a:stretch>
                            <a:fillRect/>
                          </a:stretch>
                        </pic:blipFill>
                        <pic:spPr>
                          <a:xfrm>
                            <a:off x="0" y="0"/>
                            <a:ext cx="673100" cy="415290"/>
                          </a:xfrm>
                          <a:prstGeom prst="rect">
                            <a:avLst/>
                          </a:prstGeom>
                        </pic:spPr>
                      </pic:pic>
                    </a:graphicData>
                  </a:graphic>
                </wp:anchor>
              </w:drawing>
            </w:r>
            <w:r>
              <w:rPr>
                <w:position w:val="-34"/>
              </w:rPr>
              <w:pict>
                <v:group id="_x0000_s1113" o:spid="_x0000_s1113" o:spt="203" style="height:85.8pt;width:84pt;" coordsize="1680,1716">
                  <o:lock v:ext="edit"/>
                  <v:shape id="_x0000_s1114" o:spid="_x0000_s1114" o:spt="75" type="#_x0000_t75" style="position:absolute;left:0;top:0;height:1716;width:1680;" filled="f" stroked="f" coordsize="21600,21600">
                    <v:path/>
                    <v:fill on="f" focussize="0,0"/>
                    <v:stroke on="f"/>
                    <v:imagedata r:id="rId209" o:title=""/>
                    <o:lock v:ext="edit" aspectratio="t"/>
                  </v:shape>
                  <v:shape id="_x0000_s1115" o:spid="_x0000_s1115" o:spt="202" type="#_x0000_t202" style="position:absolute;left:284;top:231;height:1258;width:1275;" filled="f" stroked="f" coordsize="21600,21600">
                    <v:path/>
                    <v:fill on="f" focussize="0,0"/>
                    <v:stroke on="f"/>
                    <v:imagedata o:title=""/>
                    <o:lock v:ext="edit" aspectratio="f"/>
                    <v:textbox inset="0mm,0mm,0mm,0mm">
                      <w:txbxContent>
                        <w:p w14:paraId="722BC848">
                          <w:pPr>
                            <w:spacing w:before="19" w:line="192" w:lineRule="auto"/>
                            <w:ind w:left="463"/>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N</w:t>
                          </w:r>
                        </w:p>
                        <w:p w14:paraId="1A4F8933">
                          <w:pPr>
                            <w:spacing w:line="293" w:lineRule="auto"/>
                            <w:rPr>
                              <w:rFonts w:ascii="Arial"/>
                              <w:sz w:val="21"/>
                            </w:rPr>
                          </w:pPr>
                        </w:p>
                        <w:p w14:paraId="6FE88A36">
                          <w:pPr>
                            <w:spacing w:line="294" w:lineRule="auto"/>
                            <w:rPr>
                              <w:rFonts w:ascii="Arial"/>
                              <w:sz w:val="21"/>
                            </w:rPr>
                          </w:pPr>
                        </w:p>
                        <w:p w14:paraId="34250C1E">
                          <w:pPr>
                            <w:spacing w:line="294" w:lineRule="auto"/>
                            <w:rPr>
                              <w:rFonts w:ascii="Arial"/>
                              <w:sz w:val="21"/>
                            </w:rPr>
                          </w:pPr>
                        </w:p>
                        <w:p w14:paraId="76CD1146">
                          <w:pPr>
                            <w:spacing w:before="40" w:line="201" w:lineRule="auto"/>
                            <w:ind w:left="20"/>
                            <w:rPr>
                              <w:rFonts w:ascii="Times New Roman" w:hAnsi="Times New Roman" w:eastAsia="Times New Roman" w:cs="Times New Roman"/>
                              <w:sz w:val="14"/>
                              <w:szCs w:val="14"/>
                            </w:rPr>
                          </w:pPr>
                          <w:r>
                            <w:rPr>
                              <w:rFonts w:ascii="Times New Roman" w:hAnsi="Times New Roman" w:eastAsia="Times New Roman" w:cs="Times New Roman"/>
                              <w:spacing w:val="3"/>
                              <w:sz w:val="14"/>
                              <w:szCs w:val="14"/>
                            </w:rPr>
                            <w:t>0</w:t>
                          </w:r>
                          <w:r>
                            <w:rPr>
                              <w:rFonts w:ascii="Times New Roman" w:hAnsi="Times New Roman" w:eastAsia="Times New Roman" w:cs="Times New Roman"/>
                              <w:spacing w:val="2"/>
                              <w:sz w:val="14"/>
                              <w:szCs w:val="14"/>
                            </w:rPr>
                            <w:t xml:space="preserve">          </w:t>
                          </w:r>
                          <w:r>
                            <w:rPr>
                              <w:rFonts w:ascii="Times New Roman" w:hAnsi="Times New Roman" w:eastAsia="Times New Roman" w:cs="Times New Roman"/>
                              <w:spacing w:val="3"/>
                              <w:sz w:val="14"/>
                              <w:szCs w:val="14"/>
                            </w:rPr>
                            <w:t>20</w:t>
                          </w:r>
                          <w:r>
                            <w:rPr>
                              <w:rFonts w:ascii="Times New Roman" w:hAnsi="Times New Roman" w:eastAsia="Times New Roman" w:cs="Times New Roman"/>
                              <w:sz w:val="14"/>
                              <w:szCs w:val="14"/>
                            </w:rPr>
                            <w:t xml:space="preserve">           </w:t>
                          </w:r>
                          <w:r>
                            <w:rPr>
                              <w:rFonts w:ascii="Times New Roman" w:hAnsi="Times New Roman" w:eastAsia="Times New Roman" w:cs="Times New Roman"/>
                              <w:spacing w:val="3"/>
                              <w:sz w:val="14"/>
                              <w:szCs w:val="14"/>
                            </w:rPr>
                            <w:t>40m</w:t>
                          </w:r>
                        </w:p>
                      </w:txbxContent>
                    </v:textbox>
                  </v:shape>
                  <w10:wrap type="none"/>
                  <w10:anchorlock/>
                </v:group>
              </w:pict>
            </w:r>
          </w:p>
        </w:tc>
      </w:tr>
      <w:tr w14:paraId="027E9E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9" w:hRule="atLeast"/>
        </w:trPr>
        <w:tc>
          <w:tcPr>
            <w:tcW w:w="13989" w:type="dxa"/>
            <w:gridSpan w:val="3"/>
            <w:tcBorders>
              <w:top w:val="nil"/>
              <w:bottom w:val="nil"/>
            </w:tcBorders>
            <w:vAlign w:val="top"/>
          </w:tcPr>
          <w:p w14:paraId="22588F64">
            <w:pPr>
              <w:spacing w:line="253" w:lineRule="auto"/>
              <w:rPr>
                <w:rFonts w:ascii="Arial"/>
                <w:sz w:val="21"/>
              </w:rPr>
            </w:pPr>
          </w:p>
          <w:p w14:paraId="092E195E">
            <w:pPr>
              <w:spacing w:line="253" w:lineRule="auto"/>
              <w:rPr>
                <w:rFonts w:ascii="Arial"/>
                <w:sz w:val="21"/>
              </w:rPr>
            </w:pPr>
          </w:p>
          <w:p w14:paraId="69F44D9F">
            <w:pPr>
              <w:spacing w:line="654" w:lineRule="exact"/>
              <w:ind w:firstLine="4718"/>
            </w:pPr>
            <w:r>
              <w:rPr>
                <w:position w:val="-13"/>
              </w:rPr>
              <w:drawing>
                <wp:inline distT="0" distB="0" distL="0" distR="0">
                  <wp:extent cx="673100" cy="415290"/>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210"/>
                          <a:stretch>
                            <a:fillRect/>
                          </a:stretch>
                        </pic:blipFill>
                        <pic:spPr>
                          <a:xfrm>
                            <a:off x="0" y="0"/>
                            <a:ext cx="673100" cy="415290"/>
                          </a:xfrm>
                          <a:prstGeom prst="rect">
                            <a:avLst/>
                          </a:prstGeom>
                        </pic:spPr>
                      </pic:pic>
                    </a:graphicData>
                  </a:graphic>
                </wp:inline>
              </w:drawing>
            </w:r>
          </w:p>
          <w:p w14:paraId="223CE478">
            <w:pPr>
              <w:spacing w:before="134" w:line="654" w:lineRule="exact"/>
              <w:ind w:firstLine="7780"/>
            </w:pPr>
            <w:r>
              <w:rPr>
                <w:position w:val="-13"/>
              </w:rPr>
              <w:drawing>
                <wp:inline distT="0" distB="0" distL="0" distR="0">
                  <wp:extent cx="672465" cy="415290"/>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211"/>
                          <a:stretch>
                            <a:fillRect/>
                          </a:stretch>
                        </pic:blipFill>
                        <pic:spPr>
                          <a:xfrm>
                            <a:off x="0" y="0"/>
                            <a:ext cx="673099" cy="415290"/>
                          </a:xfrm>
                          <a:prstGeom prst="rect">
                            <a:avLst/>
                          </a:prstGeom>
                        </pic:spPr>
                      </pic:pic>
                    </a:graphicData>
                  </a:graphic>
                </wp:inline>
              </w:drawing>
            </w:r>
          </w:p>
        </w:tc>
      </w:tr>
      <w:tr w14:paraId="0E192D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6" w:hRule="atLeast"/>
        </w:trPr>
        <w:tc>
          <w:tcPr>
            <w:tcW w:w="6930" w:type="dxa"/>
            <w:gridSpan w:val="2"/>
            <w:tcBorders>
              <w:top w:val="nil"/>
              <w:right w:val="nil"/>
            </w:tcBorders>
            <w:vAlign w:val="top"/>
          </w:tcPr>
          <w:p w14:paraId="2AF7DE40">
            <w:pPr>
              <w:spacing w:line="270" w:lineRule="auto"/>
              <w:rPr>
                <w:rFonts w:ascii="Arial"/>
                <w:sz w:val="21"/>
              </w:rPr>
            </w:pPr>
          </w:p>
          <w:p w14:paraId="579F591D">
            <w:pPr>
              <w:spacing w:line="270" w:lineRule="auto"/>
              <w:rPr>
                <w:rFonts w:ascii="Arial"/>
                <w:sz w:val="21"/>
              </w:rPr>
            </w:pPr>
          </w:p>
          <w:p w14:paraId="20371436">
            <w:pPr>
              <w:spacing w:line="654" w:lineRule="exact"/>
              <w:ind w:firstLine="5587"/>
            </w:pPr>
            <w:r>
              <w:rPr>
                <w:position w:val="-13"/>
              </w:rPr>
              <w:drawing>
                <wp:inline distT="0" distB="0" distL="0" distR="0">
                  <wp:extent cx="673100" cy="414655"/>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212"/>
                          <a:stretch>
                            <a:fillRect/>
                          </a:stretch>
                        </pic:blipFill>
                        <pic:spPr>
                          <a:xfrm>
                            <a:off x="0" y="0"/>
                            <a:ext cx="673100" cy="415289"/>
                          </a:xfrm>
                          <a:prstGeom prst="rect">
                            <a:avLst/>
                          </a:prstGeom>
                        </pic:spPr>
                      </pic:pic>
                    </a:graphicData>
                  </a:graphic>
                </wp:inline>
              </w:drawing>
            </w:r>
          </w:p>
        </w:tc>
        <w:tc>
          <w:tcPr>
            <w:tcW w:w="7059" w:type="dxa"/>
            <w:tcBorders>
              <w:top w:val="nil"/>
              <w:left w:val="nil"/>
            </w:tcBorders>
            <w:vAlign w:val="top"/>
          </w:tcPr>
          <w:p w14:paraId="0DC18A5B">
            <w:pPr>
              <w:spacing w:line="466" w:lineRule="auto"/>
              <w:rPr>
                <w:rFonts w:ascii="Arial"/>
                <w:sz w:val="21"/>
              </w:rPr>
            </w:pPr>
          </w:p>
          <w:p w14:paraId="59761176">
            <w:pPr>
              <w:pStyle w:val="6"/>
              <w:spacing w:line="1194" w:lineRule="exact"/>
              <w:ind w:firstLine="278"/>
            </w:pPr>
            <w:r>
              <w:rPr>
                <w:position w:val="-23"/>
              </w:rPr>
              <w:pict>
                <v:group id="_x0000_s1116" o:spid="_x0000_s1116" o:spt="203" style="height:59.7pt;width:100.85pt;" coordsize="2016,1194">
                  <o:lock v:ext="edit"/>
                  <v:shape id="_x0000_s1117" o:spid="_x0000_s1117" style="position:absolute;left:0;top:0;height:1194;width:2016;" fillcolor="#FFFFFF" filled="t" stroked="f" coordsize="2016,1194" path="m770,767c769,721,807,683,854,684l976,684,0,0,1288,684,1932,684c1978,683,2016,721,2016,768l2016,767,2016,895,2016,1108c2016,1155,1978,1193,1932,1192l1288,1192,976,1192,854,1192c807,1193,769,1155,770,1108l770,895,769,768,770,767e">
                    <v:path/>
                    <v:fill on="t" focussize="0,0"/>
                    <v:stroke on="f"/>
                    <v:imagedata o:title=""/>
                    <o:lock v:ext="edit"/>
                  </v:shape>
                  <v:shape id="_x0000_s1118" o:spid="_x0000_s1118" o:spt="202" type="#_x0000_t202" style="position:absolute;left:-20;top:-20;height:1234;width:2056;" filled="f" stroked="f" coordsize="21600,21600">
                    <v:path/>
                    <v:fill on="f" focussize="0,0"/>
                    <v:stroke on="f"/>
                    <v:imagedata o:title=""/>
                    <o:lock v:ext="edit" aspectratio="f"/>
                    <v:textbox inset="0mm,0mm,0mm,0mm">
                      <w:txbxContent>
                        <w:p w14:paraId="42D0A04C">
                          <w:pPr>
                            <w:spacing w:line="267" w:lineRule="auto"/>
                            <w:rPr>
                              <w:rFonts w:ascii="Arial"/>
                              <w:sz w:val="21"/>
                            </w:rPr>
                          </w:pPr>
                        </w:p>
                        <w:p w14:paraId="097A50A0">
                          <w:pPr>
                            <w:spacing w:line="268" w:lineRule="auto"/>
                            <w:rPr>
                              <w:rFonts w:ascii="Arial"/>
                              <w:sz w:val="21"/>
                            </w:rPr>
                          </w:pPr>
                        </w:p>
                        <w:p w14:paraId="151C1E23">
                          <w:pPr>
                            <w:spacing w:line="268" w:lineRule="auto"/>
                            <w:rPr>
                              <w:rFonts w:ascii="Arial"/>
                              <w:sz w:val="21"/>
                            </w:rPr>
                          </w:pPr>
                        </w:p>
                        <w:p w14:paraId="55A7F482">
                          <w:pPr>
                            <w:spacing w:before="65" w:line="228" w:lineRule="auto"/>
                            <w:ind w:left="1000"/>
                            <w:rPr>
                              <w:rFonts w:ascii="宋体" w:hAnsi="宋体" w:eastAsia="宋体" w:cs="宋体"/>
                              <w:sz w:val="20"/>
                              <w:szCs w:val="20"/>
                            </w:rPr>
                          </w:pPr>
                          <w:r>
                            <w:rPr>
                              <w:rFonts w:ascii="宋体" w:hAnsi="宋体" w:eastAsia="宋体" w:cs="宋体"/>
                              <w:color w:val="FF0000"/>
                              <w:spacing w:val="7"/>
                              <w:sz w:val="20"/>
                              <w:szCs w:val="20"/>
                            </w:rPr>
                            <w:t>井场范围</w:t>
                          </w:r>
                        </w:p>
                      </w:txbxContent>
                    </v:textbox>
                  </v:shape>
                  <w10:wrap type="none"/>
                  <w10:anchorlock/>
                </v:group>
              </w:pict>
            </w:r>
          </w:p>
        </w:tc>
      </w:tr>
    </w:tbl>
    <w:p w14:paraId="1674C6FE">
      <w:pPr>
        <w:pStyle w:val="2"/>
        <w:spacing w:before="141" w:line="219" w:lineRule="auto"/>
        <w:ind w:left="4445"/>
      </w:pPr>
      <w:r>
        <w:rPr>
          <w:b/>
          <w:bCs/>
          <w:spacing w:val="-3"/>
        </w:rPr>
        <w:t>附图</w:t>
      </w:r>
      <w:r>
        <w:rPr>
          <w:spacing w:val="-52"/>
        </w:rPr>
        <w:t xml:space="preserve"> </w:t>
      </w:r>
      <w:r>
        <w:rPr>
          <w:rFonts w:ascii="Times New Roman" w:hAnsi="Times New Roman" w:eastAsia="Times New Roman" w:cs="Times New Roman"/>
          <w:b/>
          <w:bCs/>
          <w:spacing w:val="-3"/>
        </w:rPr>
        <w:t xml:space="preserve">4  </w:t>
      </w:r>
      <w:r>
        <w:rPr>
          <w:b/>
          <w:bCs/>
          <w:spacing w:val="-3"/>
        </w:rPr>
        <w:t>项目生态环境保护目标分布及位置关系图</w:t>
      </w:r>
    </w:p>
    <w:p w14:paraId="7B4C30DC">
      <w:pPr>
        <w:spacing w:line="219" w:lineRule="auto"/>
        <w:sectPr>
          <w:headerReference r:id="rId124" w:type="default"/>
          <w:pgSz w:w="16839" w:h="11906"/>
          <w:pgMar w:top="400" w:right="1397" w:bottom="400" w:left="1441" w:header="0" w:footer="0" w:gutter="0"/>
          <w:cols w:space="720" w:num="1"/>
        </w:sectPr>
      </w:pPr>
    </w:p>
    <w:p w14:paraId="405201B4">
      <w:pPr>
        <w:spacing w:before="10"/>
      </w:pPr>
    </w:p>
    <w:p w14:paraId="72DC5960">
      <w:pPr>
        <w:spacing w:before="9"/>
      </w:pPr>
    </w:p>
    <w:p w14:paraId="1C204265">
      <w:pPr>
        <w:spacing w:before="9"/>
      </w:pPr>
    </w:p>
    <w:p w14:paraId="465F3D9F">
      <w:pPr>
        <w:spacing w:before="9"/>
      </w:pPr>
    </w:p>
    <w:p w14:paraId="5419BBA3">
      <w:pPr>
        <w:spacing w:before="9"/>
      </w:pPr>
    </w:p>
    <w:p w14:paraId="3CE5FFD7">
      <w:pPr>
        <w:spacing w:before="9"/>
      </w:pPr>
    </w:p>
    <w:tbl>
      <w:tblPr>
        <w:tblStyle w:val="5"/>
        <w:tblW w:w="13989" w:type="dxa"/>
        <w:tblInd w:w="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3989"/>
      </w:tblGrid>
      <w:tr w14:paraId="4ADAFA00">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7751" w:hRule="atLeast"/>
        </w:trPr>
        <w:tc>
          <w:tcPr>
            <w:tcW w:w="13989" w:type="dxa"/>
            <w:vAlign w:val="top"/>
          </w:tcPr>
          <w:p w14:paraId="508A1B0D">
            <w:pPr>
              <w:spacing w:line="1714" w:lineRule="exact"/>
              <w:ind w:firstLine="12399"/>
            </w:pPr>
            <w:r>
              <w:rPr>
                <w:position w:val="-34"/>
              </w:rPr>
              <w:pict>
                <v:group id="_x0000_s1119" o:spid="_x0000_s1119" o:spt="203" style="height:85.95pt;width:74.05pt;" coordsize="1481,1718">
                  <o:lock v:ext="edit"/>
                  <v:shape id="_x0000_s1120" o:spid="_x0000_s1120" o:spt="75" type="#_x0000_t75" style="position:absolute;left:0;top:0;height:1718;width:1481;" filled="f" stroked="f" coordsize="21600,21600">
                    <v:path/>
                    <v:fill on="f" focussize="0,0"/>
                    <v:stroke on="f"/>
                    <v:imagedata r:id="rId213" o:title=""/>
                    <o:lock v:ext="edit" aspectratio="t"/>
                  </v:shape>
                  <v:shape id="_x0000_s1121" o:spid="_x0000_s1121" o:spt="202" type="#_x0000_t202" style="position:absolute;left:196;top:230;height:1260;width:1225;" filled="f" stroked="f" coordsize="21600,21600">
                    <v:path/>
                    <v:fill on="f" focussize="0,0"/>
                    <v:stroke on="f"/>
                    <v:imagedata o:title=""/>
                    <o:lock v:ext="edit" aspectratio="f"/>
                    <v:textbox inset="0mm,0mm,0mm,0mm">
                      <w:txbxContent>
                        <w:p w14:paraId="70F3B21D">
                          <w:pPr>
                            <w:spacing w:before="19" w:line="192" w:lineRule="auto"/>
                            <w:ind w:left="475"/>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N</w:t>
                          </w:r>
                        </w:p>
                        <w:p w14:paraId="338AE40F">
                          <w:pPr>
                            <w:spacing w:line="293" w:lineRule="auto"/>
                            <w:rPr>
                              <w:rFonts w:ascii="Arial"/>
                              <w:sz w:val="21"/>
                            </w:rPr>
                          </w:pPr>
                        </w:p>
                        <w:p w14:paraId="1B1D43C1">
                          <w:pPr>
                            <w:spacing w:line="294" w:lineRule="auto"/>
                            <w:rPr>
                              <w:rFonts w:ascii="Arial"/>
                              <w:sz w:val="21"/>
                            </w:rPr>
                          </w:pPr>
                        </w:p>
                        <w:p w14:paraId="1478B31A">
                          <w:pPr>
                            <w:spacing w:line="294" w:lineRule="auto"/>
                            <w:rPr>
                              <w:rFonts w:ascii="Arial"/>
                              <w:sz w:val="21"/>
                            </w:rPr>
                          </w:pPr>
                        </w:p>
                        <w:p w14:paraId="7CBA4C6B">
                          <w:pPr>
                            <w:spacing w:before="40" w:line="205" w:lineRule="auto"/>
                            <w:ind w:left="20"/>
                            <w:rPr>
                              <w:rFonts w:ascii="Times New Roman" w:hAnsi="Times New Roman" w:eastAsia="Times New Roman" w:cs="Times New Roman"/>
                              <w:sz w:val="14"/>
                              <w:szCs w:val="14"/>
                            </w:rPr>
                          </w:pPr>
                          <w:r>
                            <w:rPr>
                              <w:rFonts w:ascii="Times New Roman" w:hAnsi="Times New Roman" w:eastAsia="Times New Roman" w:cs="Times New Roman"/>
                              <w:spacing w:val="1"/>
                              <w:sz w:val="14"/>
                              <w:szCs w:val="14"/>
                            </w:rPr>
                            <w:t>0</w:t>
                          </w:r>
                          <w:r>
                            <w:rPr>
                              <w:rFonts w:ascii="Times New Roman" w:hAnsi="Times New Roman" w:eastAsia="Times New Roman" w:cs="Times New Roman"/>
                              <w:sz w:val="14"/>
                              <w:szCs w:val="14"/>
                            </w:rPr>
                            <w:t xml:space="preserve">           </w:t>
                          </w:r>
                          <w:r>
                            <w:rPr>
                              <w:rFonts w:ascii="Times New Roman" w:hAnsi="Times New Roman" w:eastAsia="Times New Roman" w:cs="Times New Roman"/>
                              <w:spacing w:val="1"/>
                              <w:sz w:val="14"/>
                              <w:szCs w:val="14"/>
                            </w:rPr>
                            <w:t>40         80m</w:t>
                          </w:r>
                        </w:p>
                      </w:txbxContent>
                    </v:textbox>
                  </v:shape>
                  <w10:wrap type="none"/>
                  <w10:anchorlock/>
                </v:group>
              </w:pict>
            </w:r>
          </w:p>
          <w:p w14:paraId="22C07766">
            <w:pPr>
              <w:spacing w:line="248" w:lineRule="auto"/>
              <w:rPr>
                <w:rFonts w:ascii="Arial"/>
                <w:sz w:val="21"/>
              </w:rPr>
            </w:pPr>
          </w:p>
          <w:p w14:paraId="125AA995">
            <w:pPr>
              <w:spacing w:line="248" w:lineRule="auto"/>
              <w:rPr>
                <w:rFonts w:ascii="Arial"/>
                <w:sz w:val="21"/>
              </w:rPr>
            </w:pPr>
          </w:p>
          <w:p w14:paraId="6D80F942">
            <w:pPr>
              <w:spacing w:line="248" w:lineRule="auto"/>
              <w:rPr>
                <w:rFonts w:ascii="Arial"/>
                <w:sz w:val="21"/>
              </w:rPr>
            </w:pPr>
          </w:p>
          <w:p w14:paraId="7BA9F26F">
            <w:pPr>
              <w:spacing w:line="248" w:lineRule="auto"/>
              <w:rPr>
                <w:rFonts w:ascii="Arial"/>
                <w:sz w:val="21"/>
              </w:rPr>
            </w:pPr>
          </w:p>
          <w:p w14:paraId="08D1DFF3">
            <w:pPr>
              <w:spacing w:line="249" w:lineRule="auto"/>
              <w:rPr>
                <w:rFonts w:ascii="Arial"/>
                <w:sz w:val="21"/>
              </w:rPr>
            </w:pPr>
          </w:p>
          <w:p w14:paraId="603052AE">
            <w:pPr>
              <w:spacing w:line="249" w:lineRule="auto"/>
              <w:rPr>
                <w:rFonts w:ascii="Arial"/>
                <w:sz w:val="21"/>
              </w:rPr>
            </w:pPr>
          </w:p>
          <w:p w14:paraId="29FBA5DE">
            <w:pPr>
              <w:spacing w:line="249" w:lineRule="auto"/>
              <w:rPr>
                <w:rFonts w:ascii="Arial"/>
                <w:sz w:val="21"/>
              </w:rPr>
            </w:pPr>
          </w:p>
          <w:p w14:paraId="1E573ECE">
            <w:pPr>
              <w:spacing w:line="249" w:lineRule="auto"/>
              <w:rPr>
                <w:rFonts w:ascii="Arial"/>
                <w:sz w:val="21"/>
              </w:rPr>
            </w:pPr>
          </w:p>
          <w:p w14:paraId="413DC26A">
            <w:pPr>
              <w:spacing w:line="249" w:lineRule="auto"/>
              <w:rPr>
                <w:rFonts w:ascii="Arial"/>
                <w:sz w:val="21"/>
              </w:rPr>
            </w:pPr>
          </w:p>
          <w:p w14:paraId="0F046F69">
            <w:pPr>
              <w:spacing w:line="249" w:lineRule="auto"/>
              <w:rPr>
                <w:rFonts w:ascii="Arial"/>
                <w:sz w:val="21"/>
              </w:rPr>
            </w:pPr>
          </w:p>
          <w:p w14:paraId="5DAADF1B">
            <w:pPr>
              <w:spacing w:line="266" w:lineRule="exact"/>
              <w:ind w:firstLine="6345"/>
            </w:pPr>
            <w:r>
              <w:rPr>
                <w:position w:val="-5"/>
              </w:rPr>
              <w:drawing>
                <wp:inline distT="0" distB="0" distL="0" distR="0">
                  <wp:extent cx="168910" cy="168275"/>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214"/>
                          <a:stretch>
                            <a:fillRect/>
                          </a:stretch>
                        </pic:blipFill>
                        <pic:spPr>
                          <a:xfrm>
                            <a:off x="0" y="0"/>
                            <a:ext cx="168910" cy="168909"/>
                          </a:xfrm>
                          <a:prstGeom prst="rect">
                            <a:avLst/>
                          </a:prstGeom>
                        </pic:spPr>
                      </pic:pic>
                    </a:graphicData>
                  </a:graphic>
                </wp:inline>
              </w:drawing>
            </w:r>
          </w:p>
          <w:p w14:paraId="1EB9D600">
            <w:pPr>
              <w:spacing w:before="2"/>
            </w:pPr>
          </w:p>
          <w:p w14:paraId="68D8C29E">
            <w:pPr>
              <w:spacing w:before="2"/>
            </w:pPr>
          </w:p>
          <w:p w14:paraId="39A582D2">
            <w:pPr>
              <w:spacing w:before="2"/>
            </w:pPr>
          </w:p>
          <w:p w14:paraId="3F3235A1">
            <w:pPr>
              <w:spacing w:before="2"/>
            </w:pPr>
          </w:p>
          <w:p w14:paraId="41EF8D46">
            <w:pPr>
              <w:spacing w:before="1"/>
            </w:pPr>
          </w:p>
          <w:p w14:paraId="1424F820">
            <w:pPr>
              <w:spacing w:before="1"/>
            </w:pPr>
          </w:p>
          <w:p w14:paraId="4A4332B6">
            <w:pPr>
              <w:spacing w:before="1"/>
            </w:pPr>
          </w:p>
          <w:p w14:paraId="32D77F27">
            <w:pPr>
              <w:spacing w:before="1"/>
            </w:pPr>
          </w:p>
          <w:p w14:paraId="617B818D">
            <w:pPr>
              <w:spacing w:before="1"/>
            </w:pPr>
          </w:p>
          <w:p w14:paraId="65B6F6DD">
            <w:pPr>
              <w:spacing w:before="1"/>
            </w:pPr>
          </w:p>
          <w:tbl>
            <w:tblPr>
              <w:tblStyle w:val="5"/>
              <w:tblW w:w="3206" w:type="dxa"/>
              <w:tblInd w:w="10697" w:type="dxa"/>
              <w:tblBorders>
                <w:top w:val="single" w:color="385D8A" w:sz="16" w:space="0"/>
                <w:left w:val="single" w:color="385D8A" w:sz="16" w:space="0"/>
                <w:bottom w:val="single" w:color="385D8A" w:sz="16" w:space="0"/>
                <w:right w:val="single" w:color="385D8A" w:sz="1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3206"/>
            </w:tblGrid>
            <w:tr w14:paraId="429E33A6">
              <w:tblPrEx>
                <w:tblBorders>
                  <w:top w:val="single" w:color="385D8A" w:sz="16" w:space="0"/>
                  <w:left w:val="single" w:color="385D8A" w:sz="16" w:space="0"/>
                  <w:bottom w:val="single" w:color="385D8A" w:sz="16" w:space="0"/>
                  <w:right w:val="single" w:color="385D8A" w:sz="16" w:space="0"/>
                  <w:insideH w:val="none" w:color="auto" w:sz="0" w:space="0"/>
                  <w:insideV w:val="none" w:color="auto" w:sz="0" w:space="0"/>
                </w:tblBorders>
                <w:tblCellMar>
                  <w:top w:w="0" w:type="dxa"/>
                  <w:left w:w="0" w:type="dxa"/>
                  <w:bottom w:w="0" w:type="dxa"/>
                  <w:right w:w="0" w:type="dxa"/>
                </w:tblCellMar>
              </w:tblPrEx>
              <w:trPr>
                <w:trHeight w:val="640" w:hRule="atLeast"/>
              </w:trPr>
              <w:tc>
                <w:tcPr>
                  <w:tcW w:w="3206" w:type="dxa"/>
                  <w:shd w:val="clear" w:color="auto" w:fill="FFFFFF"/>
                  <w:vAlign w:val="top"/>
                </w:tcPr>
                <w:p w14:paraId="42A7C317">
                  <w:pPr>
                    <w:pStyle w:val="6"/>
                    <w:spacing w:before="151" w:line="340" w:lineRule="exact"/>
                    <w:ind w:left="142"/>
                    <w:rPr>
                      <w:sz w:val="20"/>
                      <w:szCs w:val="20"/>
                    </w:rPr>
                  </w:pPr>
                  <w:r>
                    <w:rPr>
                      <w:position w:val="-2"/>
                      <w:sz w:val="20"/>
                      <w:szCs w:val="20"/>
                    </w:rPr>
                    <w:drawing>
                      <wp:inline distT="0" distB="0" distL="0" distR="0">
                        <wp:extent cx="164465" cy="172085"/>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215"/>
                                <a:stretch>
                                  <a:fillRect/>
                                </a:stretch>
                              </pic:blipFill>
                              <pic:spPr>
                                <a:xfrm>
                                  <a:off x="0" y="0"/>
                                  <a:ext cx="164592" cy="172211"/>
                                </a:xfrm>
                                <a:prstGeom prst="rect">
                                  <a:avLst/>
                                </a:prstGeom>
                              </pic:spPr>
                            </pic:pic>
                          </a:graphicData>
                        </a:graphic>
                      </wp:inline>
                    </w:drawing>
                  </w:r>
                  <w:r>
                    <w:rPr>
                      <w:spacing w:val="10"/>
                      <w:position w:val="-2"/>
                      <w:sz w:val="20"/>
                      <w:szCs w:val="20"/>
                    </w:rPr>
                    <w:t>环境空气质量现状监测点位</w:t>
                  </w:r>
                </w:p>
              </w:tc>
            </w:tr>
          </w:tbl>
          <w:p w14:paraId="30FE2907">
            <w:pPr>
              <w:spacing w:line="110" w:lineRule="exact"/>
              <w:rPr>
                <w:rFonts w:ascii="Arial"/>
                <w:sz w:val="9"/>
              </w:rPr>
            </w:pPr>
          </w:p>
        </w:tc>
      </w:tr>
    </w:tbl>
    <w:p w14:paraId="52843513">
      <w:pPr>
        <w:pStyle w:val="2"/>
        <w:spacing w:before="141" w:line="219" w:lineRule="auto"/>
        <w:ind w:left="5290"/>
      </w:pPr>
      <w:r>
        <w:rPr>
          <w:b/>
          <w:bCs/>
          <w:spacing w:val="-4"/>
        </w:rPr>
        <w:t>附图</w:t>
      </w:r>
      <w:r>
        <w:rPr>
          <w:spacing w:val="-49"/>
        </w:rPr>
        <w:t xml:space="preserve"> </w:t>
      </w:r>
      <w:r>
        <w:rPr>
          <w:rFonts w:ascii="Times New Roman" w:hAnsi="Times New Roman" w:eastAsia="Times New Roman" w:cs="Times New Roman"/>
          <w:b/>
          <w:bCs/>
          <w:spacing w:val="-4"/>
        </w:rPr>
        <w:t xml:space="preserve">5  </w:t>
      </w:r>
      <w:r>
        <w:rPr>
          <w:b/>
          <w:bCs/>
          <w:spacing w:val="-4"/>
        </w:rPr>
        <w:t>环境质量现状监测布点图</w:t>
      </w:r>
    </w:p>
    <w:p w14:paraId="09FE2510">
      <w:pPr>
        <w:spacing w:line="219" w:lineRule="auto"/>
        <w:sectPr>
          <w:headerReference r:id="rId125" w:type="default"/>
          <w:pgSz w:w="16839" w:h="11906"/>
          <w:pgMar w:top="400" w:right="1397" w:bottom="400" w:left="1441" w:header="0" w:footer="0" w:gutter="0"/>
          <w:cols w:space="720" w:num="1"/>
        </w:sectPr>
      </w:pPr>
    </w:p>
    <w:p w14:paraId="413E96D9">
      <w:pPr>
        <w:spacing w:before="41"/>
      </w:pPr>
    </w:p>
    <w:p w14:paraId="425F9BA3">
      <w:pPr>
        <w:spacing w:before="40"/>
      </w:pPr>
    </w:p>
    <w:p w14:paraId="3D1A202C">
      <w:pPr>
        <w:spacing w:before="40"/>
      </w:pPr>
    </w:p>
    <w:p w14:paraId="0A1A4B52">
      <w:pPr>
        <w:spacing w:before="40"/>
      </w:pPr>
    </w:p>
    <w:p w14:paraId="59F86D69">
      <w:pPr>
        <w:spacing w:before="40"/>
      </w:pPr>
    </w:p>
    <w:tbl>
      <w:tblPr>
        <w:tblStyle w:val="5"/>
        <w:tblW w:w="8197" w:type="dxa"/>
        <w:tblInd w:w="24"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553"/>
        <w:gridCol w:w="3864"/>
        <w:gridCol w:w="1565"/>
        <w:gridCol w:w="1215"/>
      </w:tblGrid>
      <w:tr w14:paraId="356F794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825" w:hRule="atLeast"/>
        </w:trPr>
        <w:tc>
          <w:tcPr>
            <w:tcW w:w="1553" w:type="dxa"/>
            <w:tcBorders>
              <w:top w:val="single" w:color="000000" w:sz="6" w:space="0"/>
              <w:left w:val="single" w:color="000000" w:sz="8" w:space="0"/>
            </w:tcBorders>
            <w:vAlign w:val="top"/>
          </w:tcPr>
          <w:p w14:paraId="6D87F56D">
            <w:pPr>
              <w:spacing w:before="234" w:line="192" w:lineRule="auto"/>
              <w:ind w:left="561"/>
              <w:rPr>
                <w:rFonts w:ascii="Times New Roman" w:hAnsi="Times New Roman" w:eastAsia="Times New Roman" w:cs="Times New Roman"/>
                <w:sz w:val="20"/>
                <w:szCs w:val="20"/>
              </w:rPr>
            </w:pPr>
            <w:r>
              <w:drawing>
                <wp:anchor distT="0" distB="0" distL="0" distR="0" simplePos="0" relativeHeight="251727872" behindDoc="1" locked="0" layoutInCell="1" allowOverlap="1">
                  <wp:simplePos x="0" y="0"/>
                  <wp:positionH relativeFrom="column">
                    <wp:posOffset>161925</wp:posOffset>
                  </wp:positionH>
                  <wp:positionV relativeFrom="paragraph">
                    <wp:posOffset>182880</wp:posOffset>
                  </wp:positionV>
                  <wp:extent cx="467995" cy="705485"/>
                  <wp:effectExtent l="0" t="0" r="0" b="0"/>
                  <wp:wrapNone/>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216"/>
                          <a:stretch>
                            <a:fillRect/>
                          </a:stretch>
                        </pic:blipFill>
                        <pic:spPr>
                          <a:xfrm>
                            <a:off x="0" y="0"/>
                            <a:ext cx="467867" cy="705611"/>
                          </a:xfrm>
                          <a:prstGeom prst="rect">
                            <a:avLst/>
                          </a:prstGeom>
                        </pic:spPr>
                      </pic:pic>
                    </a:graphicData>
                  </a:graphic>
                </wp:anchor>
              </w:drawing>
            </w:r>
            <w:r>
              <w:rPr>
                <w:rFonts w:ascii="Times New Roman" w:hAnsi="Times New Roman" w:eastAsia="Times New Roman" w:cs="Times New Roman"/>
                <w:b/>
                <w:bCs/>
                <w:spacing w:val="3"/>
                <w:sz w:val="20"/>
                <w:szCs w:val="20"/>
              </w:rPr>
              <w:t>N</w:t>
            </w:r>
          </w:p>
        </w:tc>
        <w:tc>
          <w:tcPr>
            <w:tcW w:w="6644" w:type="dxa"/>
            <w:gridSpan w:val="3"/>
            <w:tcBorders>
              <w:top w:val="single" w:color="000000" w:sz="6" w:space="0"/>
              <w:right w:val="single" w:color="000000" w:sz="8" w:space="0"/>
            </w:tcBorders>
            <w:vAlign w:val="top"/>
          </w:tcPr>
          <w:p w14:paraId="40FA3DA9">
            <w:pPr>
              <w:spacing w:line="123" w:lineRule="exact"/>
            </w:pPr>
          </w:p>
          <w:tbl>
            <w:tblPr>
              <w:tblStyle w:val="5"/>
              <w:tblW w:w="3083" w:type="dxa"/>
              <w:tblInd w:w="3477"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3083"/>
            </w:tblGrid>
            <w:tr w14:paraId="42C6522B">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641" w:hRule="atLeast"/>
              </w:trPr>
              <w:tc>
                <w:tcPr>
                  <w:tcW w:w="3083" w:type="dxa"/>
                  <w:vAlign w:val="top"/>
                </w:tcPr>
                <w:p w14:paraId="240A705D">
                  <w:pPr>
                    <w:spacing w:line="323" w:lineRule="auto"/>
                    <w:rPr>
                      <w:rFonts w:ascii="Arial"/>
                      <w:sz w:val="21"/>
                    </w:rPr>
                  </w:pPr>
                </w:p>
                <w:p w14:paraId="1F97C9B6">
                  <w:pPr>
                    <w:spacing w:line="323" w:lineRule="auto"/>
                    <w:rPr>
                      <w:rFonts w:ascii="Arial"/>
                      <w:sz w:val="21"/>
                    </w:rPr>
                  </w:pPr>
                </w:p>
                <w:p w14:paraId="664F7887">
                  <w:pPr>
                    <w:pStyle w:val="6"/>
                    <w:spacing w:before="65" w:line="228" w:lineRule="auto"/>
                    <w:ind w:left="1019"/>
                    <w:rPr>
                      <w:sz w:val="20"/>
                      <w:szCs w:val="20"/>
                    </w:rPr>
                  </w:pPr>
                  <w:r>
                    <w:rPr>
                      <w:spacing w:val="8"/>
                      <w:sz w:val="20"/>
                      <w:szCs w:val="20"/>
                    </w:rPr>
                    <w:t>表土堆存区</w:t>
                  </w:r>
                </w:p>
              </w:tc>
            </w:tr>
          </w:tbl>
          <w:p w14:paraId="568EBD08">
            <w:pPr>
              <w:spacing w:line="30" w:lineRule="exact"/>
              <w:rPr>
                <w:rFonts w:ascii="Arial"/>
                <w:sz w:val="2"/>
              </w:rPr>
            </w:pPr>
          </w:p>
        </w:tc>
      </w:tr>
      <w:tr w14:paraId="65DEE36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57" w:hRule="atLeast"/>
        </w:trPr>
        <w:tc>
          <w:tcPr>
            <w:tcW w:w="1553" w:type="dxa"/>
            <w:vMerge w:val="restart"/>
            <w:tcBorders>
              <w:left w:val="single" w:color="000000" w:sz="8" w:space="0"/>
              <w:bottom w:val="nil"/>
            </w:tcBorders>
            <w:vAlign w:val="top"/>
          </w:tcPr>
          <w:p w14:paraId="40145D86">
            <w:pPr>
              <w:spacing w:before="187"/>
            </w:pPr>
          </w:p>
          <w:tbl>
            <w:tblPr>
              <w:tblStyle w:val="5"/>
              <w:tblW w:w="624" w:type="dxa"/>
              <w:tblInd w:w="249" w:type="dxa"/>
              <w:tblBorders>
                <w:top w:val="single" w:color="000000" w:sz="10" w:space="0"/>
                <w:left w:val="single" w:color="000000" w:sz="8" w:space="0"/>
                <w:bottom w:val="single" w:color="000000" w:sz="8" w:space="0"/>
                <w:right w:val="single" w:color="000000" w:sz="10" w:space="0"/>
                <w:insideH w:val="none" w:color="auto" w:sz="0" w:space="0"/>
                <w:insideV w:val="none" w:color="auto" w:sz="0" w:space="0"/>
              </w:tblBorders>
              <w:shd w:val="clear" w:color="auto" w:fill="FFC000"/>
              <w:tblLayout w:type="fixed"/>
              <w:tblCellMar>
                <w:top w:w="0" w:type="dxa"/>
                <w:left w:w="0" w:type="dxa"/>
                <w:bottom w:w="0" w:type="dxa"/>
                <w:right w:w="0" w:type="dxa"/>
              </w:tblCellMar>
            </w:tblPr>
            <w:tblGrid>
              <w:gridCol w:w="624"/>
            </w:tblGrid>
            <w:tr w14:paraId="4A4786A6">
              <w:tblPrEx>
                <w:tblBorders>
                  <w:top w:val="single" w:color="000000" w:sz="10" w:space="0"/>
                  <w:left w:val="single" w:color="000000" w:sz="8" w:space="0"/>
                  <w:bottom w:val="single" w:color="000000" w:sz="8"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1853" w:hRule="atLeast"/>
              </w:trPr>
              <w:tc>
                <w:tcPr>
                  <w:tcW w:w="624" w:type="dxa"/>
                  <w:shd w:val="clear" w:color="auto" w:fill="FFC000"/>
                  <w:textDirection w:val="tbRlV"/>
                  <w:vAlign w:val="top"/>
                </w:tcPr>
                <w:p w14:paraId="22FE4E44">
                  <w:pPr>
                    <w:pStyle w:val="6"/>
                    <w:spacing w:before="194" w:line="216" w:lineRule="auto"/>
                    <w:ind w:left="113"/>
                    <w:rPr>
                      <w:sz w:val="20"/>
                      <w:szCs w:val="20"/>
                    </w:rPr>
                  </w:pPr>
                  <w:r>
                    <w:rPr>
                      <w:spacing w:val="6"/>
                      <w:sz w:val="20"/>
                      <w:szCs w:val="20"/>
                    </w:rPr>
                    <w:t>危 废 贮 存 点</w:t>
                  </w:r>
                </w:p>
              </w:tc>
            </w:tr>
          </w:tbl>
          <w:p w14:paraId="7E47BB20">
            <w:pPr>
              <w:spacing w:line="90" w:lineRule="exact"/>
            </w:pPr>
          </w:p>
          <w:tbl>
            <w:tblPr>
              <w:tblStyle w:val="5"/>
              <w:tblW w:w="622" w:type="dxa"/>
              <w:tblInd w:w="25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shd w:val="clear" w:color="auto" w:fill="FFC000"/>
              <w:tblLayout w:type="fixed"/>
              <w:tblCellMar>
                <w:top w:w="0" w:type="dxa"/>
                <w:left w:w="0" w:type="dxa"/>
                <w:bottom w:w="0" w:type="dxa"/>
                <w:right w:w="0" w:type="dxa"/>
              </w:tblCellMar>
            </w:tblPr>
            <w:tblGrid>
              <w:gridCol w:w="622"/>
            </w:tblGrid>
            <w:tr w14:paraId="2DB3A87D">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1393" w:hRule="atLeast"/>
              </w:trPr>
              <w:tc>
                <w:tcPr>
                  <w:tcW w:w="622" w:type="dxa"/>
                  <w:shd w:val="clear" w:color="auto" w:fill="FFC000"/>
                  <w:textDirection w:val="tbRlV"/>
                  <w:vAlign w:val="top"/>
                </w:tcPr>
                <w:p w14:paraId="55BF71AD">
                  <w:pPr>
                    <w:pStyle w:val="6"/>
                    <w:spacing w:before="193" w:line="216" w:lineRule="auto"/>
                    <w:ind w:left="113"/>
                    <w:rPr>
                      <w:sz w:val="20"/>
                      <w:szCs w:val="20"/>
                    </w:rPr>
                  </w:pPr>
                  <w:r>
                    <w:rPr>
                      <w:spacing w:val="6"/>
                      <w:sz w:val="20"/>
                      <w:szCs w:val="20"/>
                    </w:rPr>
                    <w:t>柴 油 罐 区</w:t>
                  </w:r>
                </w:p>
              </w:tc>
            </w:tr>
          </w:tbl>
          <w:p w14:paraId="2CEC944C">
            <w:pPr>
              <w:spacing w:line="155" w:lineRule="exact"/>
            </w:pPr>
          </w:p>
          <w:tbl>
            <w:tblPr>
              <w:tblStyle w:val="5"/>
              <w:tblW w:w="622" w:type="dxa"/>
              <w:tblInd w:w="236"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shd w:val="clear" w:color="auto" w:fill="C6D9F1"/>
              <w:tblLayout w:type="fixed"/>
              <w:tblCellMar>
                <w:top w:w="0" w:type="dxa"/>
                <w:left w:w="0" w:type="dxa"/>
                <w:bottom w:w="0" w:type="dxa"/>
                <w:right w:w="0" w:type="dxa"/>
              </w:tblCellMar>
            </w:tblPr>
            <w:tblGrid>
              <w:gridCol w:w="622"/>
            </w:tblGrid>
            <w:tr w14:paraId="3AFC7BEF">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1392" w:hRule="atLeast"/>
              </w:trPr>
              <w:tc>
                <w:tcPr>
                  <w:tcW w:w="622" w:type="dxa"/>
                  <w:shd w:val="clear" w:color="auto" w:fill="C6D9F1"/>
                  <w:textDirection w:val="tbRlV"/>
                  <w:vAlign w:val="top"/>
                </w:tcPr>
                <w:p w14:paraId="5DC4721F">
                  <w:pPr>
                    <w:pStyle w:val="6"/>
                    <w:spacing w:before="194" w:line="215" w:lineRule="auto"/>
                    <w:ind w:left="114"/>
                    <w:rPr>
                      <w:sz w:val="20"/>
                      <w:szCs w:val="20"/>
                    </w:rPr>
                  </w:pPr>
                  <w:r>
                    <w:rPr>
                      <w:spacing w:val="6"/>
                      <w:sz w:val="20"/>
                      <w:szCs w:val="20"/>
                    </w:rPr>
                    <w:t>材 料 区</w:t>
                  </w:r>
                </w:p>
              </w:tc>
            </w:tr>
          </w:tbl>
          <w:p w14:paraId="2425C7D5">
            <w:pPr>
              <w:spacing w:line="155" w:lineRule="exact"/>
            </w:pPr>
          </w:p>
          <w:tbl>
            <w:tblPr>
              <w:tblStyle w:val="5"/>
              <w:tblW w:w="622" w:type="dxa"/>
              <w:tblInd w:w="220"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shd w:val="clear" w:color="auto" w:fill="C6D9F1"/>
              <w:tblLayout w:type="fixed"/>
              <w:tblCellMar>
                <w:top w:w="0" w:type="dxa"/>
                <w:left w:w="0" w:type="dxa"/>
                <w:bottom w:w="0" w:type="dxa"/>
                <w:right w:w="0" w:type="dxa"/>
              </w:tblCellMar>
            </w:tblPr>
            <w:tblGrid>
              <w:gridCol w:w="622"/>
            </w:tblGrid>
            <w:tr w14:paraId="10598E10">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1394" w:hRule="atLeast"/>
              </w:trPr>
              <w:tc>
                <w:tcPr>
                  <w:tcW w:w="622" w:type="dxa"/>
                  <w:shd w:val="clear" w:color="auto" w:fill="C6D9F1"/>
                  <w:textDirection w:val="tbRlV"/>
                  <w:vAlign w:val="top"/>
                </w:tcPr>
                <w:p w14:paraId="36D836BB">
                  <w:pPr>
                    <w:pStyle w:val="6"/>
                    <w:spacing w:before="194" w:line="215" w:lineRule="auto"/>
                    <w:ind w:left="114"/>
                    <w:rPr>
                      <w:sz w:val="20"/>
                      <w:szCs w:val="20"/>
                    </w:rPr>
                  </w:pPr>
                  <w:r>
                    <w:rPr>
                      <w:spacing w:val="6"/>
                      <w:sz w:val="20"/>
                      <w:szCs w:val="20"/>
                    </w:rPr>
                    <w:t>材 料 区</w:t>
                  </w:r>
                </w:p>
              </w:tc>
            </w:tr>
          </w:tbl>
          <w:p w14:paraId="5C6AF878">
            <w:pPr>
              <w:rPr>
                <w:rFonts w:ascii="Arial"/>
                <w:sz w:val="21"/>
              </w:rPr>
            </w:pPr>
          </w:p>
        </w:tc>
        <w:tc>
          <w:tcPr>
            <w:tcW w:w="5429" w:type="dxa"/>
            <w:gridSpan w:val="2"/>
            <w:vAlign w:val="top"/>
          </w:tcPr>
          <w:p w14:paraId="35C1385D">
            <w:pPr>
              <w:spacing w:before="38"/>
            </w:pPr>
          </w:p>
          <w:p w14:paraId="2EF5CA14">
            <w:pPr>
              <w:spacing w:before="38"/>
            </w:pPr>
          </w:p>
          <w:p w14:paraId="4752C317">
            <w:pPr>
              <w:spacing w:before="37"/>
            </w:pPr>
          </w:p>
          <w:p w14:paraId="194A9E6F">
            <w:pPr>
              <w:spacing w:before="37"/>
            </w:pPr>
          </w:p>
          <w:p w14:paraId="276C008A">
            <w:pPr>
              <w:spacing w:before="37"/>
            </w:pPr>
          </w:p>
          <w:tbl>
            <w:tblPr>
              <w:tblStyle w:val="5"/>
              <w:tblW w:w="867" w:type="dxa"/>
              <w:tblInd w:w="3478" w:type="dxa"/>
              <w:tblBorders>
                <w:top w:val="single" w:color="000000" w:sz="8" w:space="0"/>
                <w:left w:val="single" w:color="000000" w:sz="8" w:space="0"/>
                <w:bottom w:val="single" w:color="000000" w:sz="8" w:space="0"/>
                <w:right w:val="single" w:color="000000" w:sz="10" w:space="0"/>
                <w:insideH w:val="none" w:color="auto" w:sz="0" w:space="0"/>
                <w:insideV w:val="none" w:color="auto" w:sz="0" w:space="0"/>
              </w:tblBorders>
              <w:shd w:val="clear" w:color="auto" w:fill="C6D9F1"/>
              <w:tblLayout w:type="fixed"/>
              <w:tblCellMar>
                <w:top w:w="0" w:type="dxa"/>
                <w:left w:w="0" w:type="dxa"/>
                <w:bottom w:w="0" w:type="dxa"/>
                <w:right w:w="0" w:type="dxa"/>
              </w:tblCellMar>
            </w:tblPr>
            <w:tblGrid>
              <w:gridCol w:w="867"/>
            </w:tblGrid>
            <w:tr w14:paraId="7D447DD2">
              <w:tblPrEx>
                <w:tblBorders>
                  <w:top w:val="single" w:color="000000" w:sz="8" w:space="0"/>
                  <w:left w:val="single" w:color="000000" w:sz="8" w:space="0"/>
                  <w:bottom w:val="single" w:color="000000" w:sz="8"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1182" w:hRule="atLeast"/>
              </w:trPr>
              <w:tc>
                <w:tcPr>
                  <w:tcW w:w="867" w:type="dxa"/>
                  <w:shd w:val="clear" w:color="auto" w:fill="C6D9F1"/>
                  <w:vAlign w:val="top"/>
                </w:tcPr>
                <w:p w14:paraId="159AB903">
                  <w:pPr>
                    <w:pStyle w:val="6"/>
                    <w:spacing w:before="119" w:line="227" w:lineRule="auto"/>
                    <w:ind w:left="152"/>
                    <w:rPr>
                      <w:sz w:val="20"/>
                      <w:szCs w:val="20"/>
                    </w:rPr>
                  </w:pPr>
                  <w:r>
                    <w:rPr>
                      <w:spacing w:val="-2"/>
                      <w:sz w:val="20"/>
                      <w:szCs w:val="20"/>
                    </w:rPr>
                    <w:t>原</w:t>
                  </w:r>
                  <w:r>
                    <w:rPr>
                      <w:spacing w:val="61"/>
                      <w:sz w:val="20"/>
                      <w:szCs w:val="20"/>
                    </w:rPr>
                    <w:t xml:space="preserve"> </w:t>
                  </w:r>
                  <w:r>
                    <w:rPr>
                      <w:spacing w:val="-2"/>
                      <w:sz w:val="20"/>
                      <w:szCs w:val="20"/>
                    </w:rPr>
                    <w:t>材</w:t>
                  </w:r>
                </w:p>
                <w:p w14:paraId="58993930">
                  <w:pPr>
                    <w:pStyle w:val="6"/>
                    <w:spacing w:before="66" w:line="228" w:lineRule="auto"/>
                    <w:ind w:left="147"/>
                    <w:rPr>
                      <w:sz w:val="20"/>
                      <w:szCs w:val="20"/>
                    </w:rPr>
                  </w:pPr>
                  <w:r>
                    <w:rPr>
                      <w:sz w:val="20"/>
                      <w:szCs w:val="20"/>
                    </w:rPr>
                    <w:t>料</w:t>
                  </w:r>
                  <w:r>
                    <w:rPr>
                      <w:spacing w:val="62"/>
                      <w:sz w:val="20"/>
                      <w:szCs w:val="20"/>
                    </w:rPr>
                    <w:t xml:space="preserve"> </w:t>
                  </w:r>
                  <w:r>
                    <w:rPr>
                      <w:sz w:val="20"/>
                      <w:szCs w:val="20"/>
                    </w:rPr>
                    <w:t>堆</w:t>
                  </w:r>
                </w:p>
                <w:p w14:paraId="3FEA4A5B">
                  <w:pPr>
                    <w:pStyle w:val="6"/>
                    <w:spacing w:before="64" w:line="228" w:lineRule="auto"/>
                    <w:ind w:left="146"/>
                    <w:rPr>
                      <w:sz w:val="20"/>
                      <w:szCs w:val="20"/>
                    </w:rPr>
                  </w:pPr>
                  <w:r>
                    <w:rPr>
                      <w:spacing w:val="5"/>
                      <w:sz w:val="20"/>
                      <w:szCs w:val="20"/>
                    </w:rPr>
                    <w:t>存区</w:t>
                  </w:r>
                </w:p>
              </w:tc>
            </w:tr>
          </w:tbl>
          <w:p w14:paraId="7585C74B">
            <w:pPr>
              <w:spacing w:line="229" w:lineRule="exact"/>
              <w:rPr>
                <w:rFonts w:ascii="Arial"/>
                <w:sz w:val="19"/>
              </w:rPr>
            </w:pPr>
          </w:p>
        </w:tc>
        <w:tc>
          <w:tcPr>
            <w:tcW w:w="1215" w:type="dxa"/>
            <w:vMerge w:val="restart"/>
            <w:tcBorders>
              <w:bottom w:val="nil"/>
              <w:right w:val="single" w:color="000000" w:sz="8" w:space="0"/>
            </w:tcBorders>
            <w:vAlign w:val="top"/>
          </w:tcPr>
          <w:p w14:paraId="447DE097">
            <w:pPr>
              <w:spacing w:line="266" w:lineRule="auto"/>
              <w:rPr>
                <w:rFonts w:ascii="Arial"/>
                <w:sz w:val="21"/>
              </w:rPr>
            </w:pPr>
          </w:p>
          <w:p w14:paraId="11AFC74F">
            <w:pPr>
              <w:spacing w:line="267" w:lineRule="auto"/>
              <w:rPr>
                <w:rFonts w:ascii="Arial"/>
                <w:sz w:val="21"/>
              </w:rPr>
            </w:pPr>
          </w:p>
          <w:p w14:paraId="475F727E">
            <w:pPr>
              <w:spacing w:line="267" w:lineRule="auto"/>
              <w:rPr>
                <w:rFonts w:ascii="Arial"/>
                <w:sz w:val="21"/>
              </w:rPr>
            </w:pPr>
          </w:p>
          <w:p w14:paraId="4C5851AD">
            <w:pPr>
              <w:pStyle w:val="6"/>
              <w:spacing w:line="3915" w:lineRule="exact"/>
              <w:ind w:firstLine="422"/>
            </w:pPr>
            <w:r>
              <w:rPr>
                <w:position w:val="-78"/>
              </w:rPr>
              <w:pict>
                <v:group id="_x0000_s1122" o:spid="_x0000_s1122" o:spt="203" style="height:195.75pt;width:28.9pt;" coordsize="577,3915">
                  <o:lock v:ext="edit"/>
                  <v:shape id="_x0000_s1123" o:spid="_x0000_s1123" o:spt="75" type="#_x0000_t75" style="position:absolute;left:0;top:0;height:3915;width:577;" filled="f" stroked="f" coordsize="21600,21600">
                    <v:path/>
                    <v:fill on="f" focussize="0,0"/>
                    <v:stroke on="f"/>
                    <v:imagedata r:id="rId217" o:title=""/>
                    <o:lock v:ext="edit" aspectratio="t"/>
                  </v:shape>
                  <v:shape id="_x0000_s1124" o:spid="_x0000_s1124" o:spt="202" type="#_x0000_t202" style="position:absolute;left:-20;top:-20;height:3955;width:617;" filled="f" stroked="f" coordsize="21600,21600">
                    <v:path/>
                    <v:fill on="f" focussize="0,0"/>
                    <v:stroke on="f"/>
                    <v:imagedata o:title=""/>
                    <o:lock v:ext="edit" aspectratio="f"/>
                    <v:textbox inset="0mm,0mm,0mm,0mm" style="layout-flow:vertical-ideographic;">
                      <w:txbxContent>
                        <w:p w14:paraId="3747480A">
                          <w:pPr>
                            <w:spacing w:before="181" w:line="228" w:lineRule="auto"/>
                            <w:ind w:left="159"/>
                            <w:rPr>
                              <w:rFonts w:ascii="宋体" w:hAnsi="宋体" w:eastAsia="宋体" w:cs="宋体"/>
                              <w:sz w:val="20"/>
                              <w:szCs w:val="20"/>
                            </w:rPr>
                          </w:pPr>
                          <w:r>
                            <w:rPr>
                              <w:rFonts w:ascii="宋体" w:hAnsi="宋体" w:eastAsia="宋体" w:cs="宋体"/>
                              <w:spacing w:val="6"/>
                              <w:position w:val="1"/>
                              <w:sz w:val="20"/>
                              <w:szCs w:val="20"/>
                            </w:rPr>
                            <w:t>仪 器 房</w:t>
                          </w:r>
                          <w:r>
                            <w:rPr>
                              <w:rFonts w:ascii="宋体" w:hAnsi="宋体" w:eastAsia="宋体" w:cs="宋体"/>
                              <w:spacing w:val="20"/>
                              <w:position w:val="1"/>
                              <w:sz w:val="20"/>
                              <w:szCs w:val="20"/>
                            </w:rPr>
                            <w:t xml:space="preserve">   </w:t>
                          </w:r>
                          <w:r>
                            <w:rPr>
                              <w:rFonts w:ascii="宋体" w:hAnsi="宋体" w:eastAsia="宋体" w:cs="宋体"/>
                              <w:spacing w:val="6"/>
                              <w:position w:val="-1"/>
                              <w:sz w:val="20"/>
                              <w:szCs w:val="20"/>
                            </w:rPr>
                            <w:t>录 井 房</w:t>
                          </w:r>
                          <w:r>
                            <w:rPr>
                              <w:rFonts w:ascii="宋体" w:hAnsi="宋体" w:eastAsia="宋体" w:cs="宋体"/>
                              <w:spacing w:val="26"/>
                              <w:position w:val="-1"/>
                              <w:sz w:val="20"/>
                              <w:szCs w:val="20"/>
                            </w:rPr>
                            <w:t xml:space="preserve">   </w:t>
                          </w:r>
                          <w:r>
                            <w:rPr>
                              <w:rFonts w:ascii="宋体" w:hAnsi="宋体" w:eastAsia="宋体" w:cs="宋体"/>
                              <w:spacing w:val="6"/>
                              <w:sz w:val="20"/>
                              <w:szCs w:val="20"/>
                            </w:rPr>
                            <w:t>清 水 罐 区</w:t>
                          </w:r>
                        </w:p>
                      </w:txbxContent>
                    </v:textbox>
                  </v:shape>
                  <w10:wrap type="none"/>
                  <w10:anchorlock/>
                </v:group>
              </w:pict>
            </w:r>
          </w:p>
        </w:tc>
      </w:tr>
      <w:tr w14:paraId="776F3AC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56" w:hRule="atLeast"/>
        </w:trPr>
        <w:tc>
          <w:tcPr>
            <w:tcW w:w="1553" w:type="dxa"/>
            <w:vMerge w:val="continue"/>
            <w:tcBorders>
              <w:top w:val="nil"/>
              <w:left w:val="single" w:color="000000" w:sz="8" w:space="0"/>
            </w:tcBorders>
            <w:vAlign w:val="top"/>
          </w:tcPr>
          <w:p w14:paraId="79CFC812">
            <w:pPr>
              <w:rPr>
                <w:rFonts w:ascii="Arial"/>
                <w:sz w:val="21"/>
              </w:rPr>
            </w:pPr>
          </w:p>
        </w:tc>
        <w:tc>
          <w:tcPr>
            <w:tcW w:w="3864" w:type="dxa"/>
            <w:vAlign w:val="top"/>
          </w:tcPr>
          <w:p w14:paraId="6E7C7909">
            <w:pPr>
              <w:spacing w:before="8"/>
            </w:pPr>
            <w:r>
              <w:drawing>
                <wp:anchor distT="0" distB="0" distL="0" distR="0" simplePos="0" relativeHeight="251734016" behindDoc="0" locked="0" layoutInCell="1" allowOverlap="1">
                  <wp:simplePos x="0" y="0"/>
                  <wp:positionH relativeFrom="rightMargin">
                    <wp:posOffset>-1362075</wp:posOffset>
                  </wp:positionH>
                  <wp:positionV relativeFrom="topMargin">
                    <wp:posOffset>1607185</wp:posOffset>
                  </wp:positionV>
                  <wp:extent cx="735965" cy="10160"/>
                  <wp:effectExtent l="0" t="0" r="0" b="0"/>
                  <wp:wrapNone/>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218"/>
                          <a:stretch>
                            <a:fillRect/>
                          </a:stretch>
                        </pic:blipFill>
                        <pic:spPr>
                          <a:xfrm>
                            <a:off x="0" y="0"/>
                            <a:ext cx="735964" cy="10160"/>
                          </a:xfrm>
                          <a:prstGeom prst="rect">
                            <a:avLst/>
                          </a:prstGeom>
                        </pic:spPr>
                      </pic:pic>
                    </a:graphicData>
                  </a:graphic>
                </wp:anchor>
              </w:drawing>
            </w:r>
            <w:r>
              <w:pict>
                <v:shape id="_x0000_s1125" o:spid="_x0000_s1125" o:spt="202" type="#_x0000_t202" style="position:absolute;left:0pt;margin-left:52.15pt;margin-top:12.2pt;height:34.85pt;width:70.8pt;mso-position-horizontal-relative:page;mso-position-vertical-relative:page;z-index:251731968;mso-width-relative:page;mso-height-relative:page;" filled="f" stroked="f" coordsize="21600,21600">
                  <v:path/>
                  <v:fill on="f" focussize="0,0"/>
                  <v:stroke on="f"/>
                  <v:imagedata o:title=""/>
                  <o:lock v:ext="edit" aspectratio="f"/>
                  <v:textbox inset="0mm,0mm,0mm,0mm">
                    <w:txbxContent>
                      <w:p w14:paraId="506A2EFA">
                        <w:pPr>
                          <w:spacing w:line="20" w:lineRule="exact"/>
                        </w:pPr>
                      </w:p>
                      <w:tbl>
                        <w:tblPr>
                          <w:tblStyle w:val="5"/>
                          <w:tblW w:w="1350" w:type="dxa"/>
                          <w:tblInd w:w="32" w:type="dxa"/>
                          <w:tblBorders>
                            <w:top w:val="single" w:color="000000" w:sz="10" w:space="0"/>
                            <w:left w:val="single" w:color="000000" w:sz="10" w:space="0"/>
                            <w:bottom w:val="single" w:color="000000" w:sz="8" w:space="0"/>
                            <w:right w:val="single" w:color="000000" w:sz="10" w:space="0"/>
                            <w:insideH w:val="none" w:color="auto" w:sz="0" w:space="0"/>
                            <w:insideV w:val="none" w:color="auto" w:sz="0" w:space="0"/>
                          </w:tblBorders>
                          <w:shd w:val="clear" w:color="auto" w:fill="C6D9F1"/>
                          <w:tblLayout w:type="fixed"/>
                          <w:tblCellMar>
                            <w:top w:w="0" w:type="dxa"/>
                            <w:left w:w="0" w:type="dxa"/>
                            <w:bottom w:w="0" w:type="dxa"/>
                            <w:right w:w="0" w:type="dxa"/>
                          </w:tblCellMar>
                        </w:tblPr>
                        <w:tblGrid>
                          <w:gridCol w:w="1350"/>
                        </w:tblGrid>
                        <w:tr w14:paraId="49539677">
                          <w:tblPrEx>
                            <w:tblBorders>
                              <w:top w:val="single" w:color="000000" w:sz="10" w:space="0"/>
                              <w:left w:val="single" w:color="000000" w:sz="10" w:space="0"/>
                              <w:bottom w:val="single" w:color="000000" w:sz="8" w:space="0"/>
                              <w:right w:val="single" w:color="000000" w:sz="10" w:space="0"/>
                              <w:insideH w:val="none" w:color="auto" w:sz="0" w:space="0"/>
                              <w:insideV w:val="none" w:color="auto" w:sz="0" w:space="0"/>
                            </w:tblBorders>
                            <w:shd w:val="clear" w:color="auto" w:fill="C6D9F1"/>
                            <w:tblCellMar>
                              <w:top w:w="0" w:type="dxa"/>
                              <w:left w:w="0" w:type="dxa"/>
                              <w:bottom w:w="0" w:type="dxa"/>
                              <w:right w:w="0" w:type="dxa"/>
                            </w:tblCellMar>
                          </w:tblPrEx>
                          <w:trPr>
                            <w:trHeight w:val="611" w:hRule="atLeast"/>
                          </w:trPr>
                          <w:tc>
                            <w:tcPr>
                              <w:tcW w:w="1350" w:type="dxa"/>
                              <w:shd w:val="clear" w:color="auto" w:fill="C6D9F1"/>
                              <w:vAlign w:val="top"/>
                            </w:tcPr>
                            <w:p w14:paraId="13C9CDCB">
                              <w:pPr>
                                <w:pStyle w:val="6"/>
                                <w:spacing w:before="113" w:line="228" w:lineRule="auto"/>
                                <w:ind w:left="252"/>
                                <w:rPr>
                                  <w:sz w:val="20"/>
                                  <w:szCs w:val="20"/>
                                </w:rPr>
                              </w:pPr>
                              <w:r>
                                <w:rPr>
                                  <w:spacing w:val="6"/>
                                  <w:sz w:val="20"/>
                                  <w:szCs w:val="20"/>
                                </w:rPr>
                                <w:t>泥浆泵房</w:t>
                              </w:r>
                            </w:p>
                          </w:tc>
                        </w:tr>
                      </w:tbl>
                      <w:p w14:paraId="6FA32FEC">
                        <w:pPr>
                          <w:rPr>
                            <w:rFonts w:ascii="Arial"/>
                            <w:sz w:val="21"/>
                          </w:rPr>
                        </w:pPr>
                      </w:p>
                    </w:txbxContent>
                  </v:textbox>
                </v:shape>
              </w:pict>
            </w:r>
            <w:r>
              <w:pict>
                <v:shape id="_x0000_s1126" o:spid="_x0000_s1126" o:spt="202" type="#_x0000_t202" style="position:absolute;left:0pt;margin-left:112.85pt;margin-top:149.85pt;height:52pt;width:60.5pt;mso-position-horizontal-relative:page;mso-position-vertical-relative:page;z-index:251730944;mso-width-relative:page;mso-height-relative:page;" filled="f" stroked="f" coordsize="21600,21600">
                  <v:path/>
                  <v:fill on="f" focussize="0,0"/>
                  <v:stroke on="f"/>
                  <v:imagedata o:title=""/>
                  <o:lock v:ext="edit" aspectratio="f"/>
                  <v:textbox inset="0mm,0mm,0mm,0mm">
                    <w:txbxContent>
                      <w:p w14:paraId="21D8C21F">
                        <w:pPr>
                          <w:spacing w:line="20" w:lineRule="exact"/>
                        </w:pPr>
                      </w:p>
                      <w:tbl>
                        <w:tblPr>
                          <w:tblStyle w:val="5"/>
                          <w:tblW w:w="1147" w:type="dxa"/>
                          <w:tblInd w:w="32" w:type="dxa"/>
                          <w:tblBorders>
                            <w:top w:val="single" w:color="000000" w:sz="10" w:space="0"/>
                            <w:left w:val="single" w:color="000000" w:sz="10" w:space="0"/>
                            <w:bottom w:val="single" w:color="000000" w:sz="10" w:space="0"/>
                            <w:right w:val="single" w:color="000000" w:sz="8" w:space="0"/>
                            <w:insideH w:val="none" w:color="auto" w:sz="0" w:space="0"/>
                            <w:insideV w:val="none" w:color="auto" w:sz="0" w:space="0"/>
                          </w:tblBorders>
                          <w:shd w:val="clear" w:color="auto" w:fill="C6D9F1"/>
                          <w:tblLayout w:type="fixed"/>
                          <w:tblCellMar>
                            <w:top w:w="0" w:type="dxa"/>
                            <w:left w:w="0" w:type="dxa"/>
                            <w:bottom w:w="0" w:type="dxa"/>
                            <w:right w:w="0" w:type="dxa"/>
                          </w:tblCellMar>
                        </w:tblPr>
                        <w:tblGrid>
                          <w:gridCol w:w="1147"/>
                        </w:tblGrid>
                        <w:tr w14:paraId="6ADBF46F">
                          <w:tblPrEx>
                            <w:tblBorders>
                              <w:top w:val="single" w:color="000000" w:sz="10" w:space="0"/>
                              <w:left w:val="single" w:color="000000" w:sz="10" w:space="0"/>
                              <w:bottom w:val="single" w:color="000000" w:sz="10" w:space="0"/>
                              <w:right w:val="single" w:color="000000" w:sz="8" w:space="0"/>
                              <w:insideH w:val="none" w:color="auto" w:sz="0" w:space="0"/>
                              <w:insideV w:val="none" w:color="auto" w:sz="0" w:space="0"/>
                            </w:tblBorders>
                            <w:shd w:val="clear" w:color="auto" w:fill="C6D9F1"/>
                            <w:tblCellMar>
                              <w:top w:w="0" w:type="dxa"/>
                              <w:left w:w="0" w:type="dxa"/>
                              <w:bottom w:w="0" w:type="dxa"/>
                              <w:right w:w="0" w:type="dxa"/>
                            </w:tblCellMar>
                          </w:tblPrEx>
                          <w:trPr>
                            <w:trHeight w:val="949" w:hRule="atLeast"/>
                          </w:trPr>
                          <w:tc>
                            <w:tcPr>
                              <w:tcW w:w="1147" w:type="dxa"/>
                              <w:shd w:val="clear" w:color="auto" w:fill="C6D9F1"/>
                              <w:vAlign w:val="top"/>
                            </w:tcPr>
                            <w:p w14:paraId="77B8C5CD">
                              <w:pPr>
                                <w:spacing w:line="303" w:lineRule="auto"/>
                                <w:rPr>
                                  <w:rFonts w:ascii="Arial"/>
                                  <w:sz w:val="21"/>
                                </w:rPr>
                              </w:pPr>
                            </w:p>
                            <w:p w14:paraId="2394BF1B">
                              <w:pPr>
                                <w:pStyle w:val="6"/>
                                <w:spacing w:before="65" w:line="229" w:lineRule="auto"/>
                                <w:ind w:left="359"/>
                                <w:rPr>
                                  <w:sz w:val="20"/>
                                  <w:szCs w:val="20"/>
                                </w:rPr>
                              </w:pPr>
                              <w:r>
                                <w:rPr>
                                  <w:spacing w:val="4"/>
                                  <w:sz w:val="20"/>
                                  <w:szCs w:val="20"/>
                                </w:rPr>
                                <w:t>钻具</w:t>
                              </w:r>
                            </w:p>
                          </w:tc>
                        </w:tr>
                      </w:tbl>
                      <w:p w14:paraId="73A777FF">
                        <w:pPr>
                          <w:rPr>
                            <w:rFonts w:ascii="Arial"/>
                            <w:sz w:val="21"/>
                          </w:rPr>
                        </w:pPr>
                      </w:p>
                    </w:txbxContent>
                  </v:textbox>
                </v:shape>
              </w:pict>
            </w:r>
          </w:p>
          <w:tbl>
            <w:tblPr>
              <w:tblStyle w:val="5"/>
              <w:tblW w:w="1303" w:type="dxa"/>
              <w:tblInd w:w="2153" w:type="dxa"/>
              <w:tblBorders>
                <w:top w:val="single" w:color="000000" w:sz="8" w:space="0"/>
                <w:left w:val="single" w:color="000000" w:sz="8" w:space="0"/>
                <w:bottom w:val="single" w:color="000000" w:sz="8" w:space="0"/>
                <w:right w:val="single" w:color="000000" w:sz="10" w:space="0"/>
                <w:insideH w:val="none" w:color="auto" w:sz="0" w:space="0"/>
                <w:insideV w:val="none" w:color="auto" w:sz="0" w:space="0"/>
              </w:tblBorders>
              <w:shd w:val="clear" w:color="auto" w:fill="C6D9F1"/>
              <w:tblLayout w:type="fixed"/>
              <w:tblCellMar>
                <w:top w:w="0" w:type="dxa"/>
                <w:left w:w="0" w:type="dxa"/>
                <w:bottom w:w="0" w:type="dxa"/>
                <w:right w:w="0" w:type="dxa"/>
              </w:tblCellMar>
            </w:tblPr>
            <w:tblGrid>
              <w:gridCol w:w="289"/>
              <w:gridCol w:w="161"/>
              <w:gridCol w:w="1142"/>
            </w:tblGrid>
            <w:tr w14:paraId="7269C2C1">
              <w:tblPrEx>
                <w:tblBorders>
                  <w:top w:val="single" w:color="000000" w:sz="8" w:space="0"/>
                  <w:left w:val="single" w:color="000000" w:sz="8" w:space="0"/>
                  <w:bottom w:val="single" w:color="000000" w:sz="8" w:space="0"/>
                  <w:right w:val="single" w:color="000000" w:sz="10" w:space="0"/>
                  <w:insideH w:val="none" w:color="auto" w:sz="0" w:space="0"/>
                  <w:insideV w:val="none" w:color="auto" w:sz="0" w:space="0"/>
                </w:tblBorders>
                <w:tblCellMar>
                  <w:top w:w="0" w:type="dxa"/>
                  <w:left w:w="0" w:type="dxa"/>
                  <w:bottom w:w="0" w:type="dxa"/>
                  <w:right w:w="0" w:type="dxa"/>
                </w:tblCellMar>
              </w:tblPrEx>
              <w:trPr>
                <w:gridBefore w:val="1"/>
                <w:wBefore w:w="289" w:type="dxa"/>
                <w:trHeight w:val="604" w:hRule="atLeast"/>
              </w:trPr>
              <w:tc>
                <w:tcPr>
                  <w:tcW w:w="1303" w:type="dxa"/>
                  <w:gridSpan w:val="2"/>
                  <w:shd w:val="clear" w:color="auto" w:fill="C6D9F1"/>
                  <w:vAlign w:val="top"/>
                </w:tcPr>
                <w:p w14:paraId="08C5814A">
                  <w:pPr>
                    <w:pStyle w:val="6"/>
                    <w:spacing w:before="116" w:line="223" w:lineRule="auto"/>
                    <w:ind w:left="234"/>
                    <w:rPr>
                      <w:sz w:val="20"/>
                      <w:szCs w:val="20"/>
                    </w:rPr>
                  </w:pPr>
                  <w:r>
                    <w:rPr>
                      <w:spacing w:val="6"/>
                      <w:sz w:val="20"/>
                      <w:szCs w:val="20"/>
                    </w:rPr>
                    <w:t>发电机房</w:t>
                  </w:r>
                </w:p>
              </w:tc>
            </w:tr>
            <w:tr w14:paraId="427F7FF1">
              <w:tblPrEx>
                <w:tblBorders>
                  <w:top w:val="single" w:color="000000" w:sz="8" w:space="0"/>
                  <w:left w:val="single" w:color="000000" w:sz="10" w:space="0"/>
                  <w:bottom w:val="single" w:color="000000" w:sz="8" w:space="0"/>
                  <w:right w:val="single" w:color="000000" w:sz="10" w:space="0"/>
                  <w:insideH w:val="none" w:color="auto" w:sz="0" w:space="0"/>
                  <w:insideV w:val="none" w:color="auto" w:sz="0" w:space="0"/>
                </w:tblBorders>
                <w:shd w:val="clear" w:color="auto" w:fill="FFC000"/>
                <w:tblCellMar>
                  <w:top w:w="0" w:type="dxa"/>
                  <w:left w:w="0" w:type="dxa"/>
                  <w:bottom w:w="0" w:type="dxa"/>
                  <w:right w:w="0" w:type="dxa"/>
                </w:tblCellMar>
              </w:tblPrEx>
              <w:trPr>
                <w:gridAfter w:val="1"/>
                <w:wAfter w:w="1142" w:type="dxa"/>
                <w:trHeight w:val="834" w:hRule="atLeast"/>
              </w:trPr>
              <w:tc>
                <w:tcPr>
                  <w:tcW w:w="450" w:type="dxa"/>
                  <w:gridSpan w:val="2"/>
                  <w:shd w:val="clear" w:color="auto" w:fill="FFC000"/>
                  <w:textDirection w:val="tbRlV"/>
                  <w:vAlign w:val="top"/>
                </w:tcPr>
                <w:p w14:paraId="16FA1E72">
                  <w:pPr>
                    <w:pStyle w:val="6"/>
                    <w:spacing w:before="81" w:line="216" w:lineRule="auto"/>
                    <w:ind w:left="104"/>
                    <w:rPr>
                      <w:sz w:val="20"/>
                      <w:szCs w:val="20"/>
                    </w:rPr>
                  </w:pPr>
                  <w:r>
                    <w:rPr>
                      <w:spacing w:val="4"/>
                      <w:sz w:val="20"/>
                      <w:szCs w:val="20"/>
                    </w:rPr>
                    <w:t>机 房</w:t>
                  </w:r>
                </w:p>
              </w:tc>
            </w:tr>
          </w:tbl>
          <w:p w14:paraId="13A09BC1">
            <w:pPr>
              <w:pStyle w:val="6"/>
              <w:spacing w:line="1247" w:lineRule="exact"/>
              <w:ind w:firstLine="1725"/>
            </w:pPr>
            <w:r>
              <w:rPr>
                <w:position w:val="-24"/>
              </w:rPr>
              <w:pict>
                <v:group id="_x0000_s1127" o:spid="_x0000_s1127" o:spt="203" style="height:62.4pt;width:58.7pt;" coordsize="1174,1248">
                  <o:lock v:ext="edit"/>
                  <v:shape id="_x0000_s1128" o:spid="_x0000_s1128" o:spt="75" type="#_x0000_t75" style="position:absolute;left:6;top:-1;height:1244;width:1160;" filled="f" stroked="f" coordsize="21600,21600">
                    <v:path/>
                    <v:fill on="f" focussize="0,0"/>
                    <v:stroke on="f"/>
                    <v:imagedata r:id="rId219" o:title=""/>
                    <o:lock v:ext="edit" aspectratio="t"/>
                  </v:shape>
                  <v:shape id="_x0000_s1129" o:spid="_x0000_s1129" o:spt="202" type="#_x0000_t202" style="position:absolute;left:-20;top:-30;height:1298;width:1214;" filled="f" stroked="f" coordsize="21600,21600">
                    <v:path/>
                    <v:fill on="f" focussize="0,0"/>
                    <v:stroke on="f"/>
                    <v:imagedata o:title=""/>
                    <o:lock v:ext="edit" aspectratio="f"/>
                    <v:textbox inset="0mm,0mm,0mm,0mm">
                      <w:txbxContent>
                        <w:p w14:paraId="176551ED">
                          <w:pPr>
                            <w:spacing w:line="20" w:lineRule="exact"/>
                          </w:pPr>
                        </w:p>
                        <w:tbl>
                          <w:tblPr>
                            <w:tblStyle w:val="5"/>
                            <w:tblW w:w="1163" w:type="dxa"/>
                            <w:tblInd w:w="2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163"/>
                          </w:tblGrid>
                          <w:tr w14:paraId="7C6A1A3E">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237" w:hRule="atLeast"/>
                            </w:trPr>
                            <w:tc>
                              <w:tcPr>
                                <w:tcW w:w="1163" w:type="dxa"/>
                                <w:vAlign w:val="top"/>
                              </w:tcPr>
                              <w:p w14:paraId="12747819">
                                <w:pPr>
                                  <w:spacing w:before="129" w:line="230" w:lineRule="auto"/>
                                  <w:ind w:left="374"/>
                                  <w:rPr>
                                    <w:rFonts w:ascii="宋体" w:hAnsi="宋体" w:eastAsia="宋体" w:cs="宋体"/>
                                    <w:sz w:val="20"/>
                                    <w:szCs w:val="20"/>
                                  </w:rPr>
                                </w:pPr>
                                <w:r>
                                  <w:rPr>
                                    <w:rFonts w:ascii="宋体" w:hAnsi="宋体" w:eastAsia="宋体" w:cs="宋体"/>
                                    <w:spacing w:val="4"/>
                                    <w:sz w:val="20"/>
                                    <w:szCs w:val="20"/>
                                  </w:rPr>
                                  <w:t>钻台</w:t>
                                </w:r>
                              </w:p>
                              <w:p w14:paraId="57F751D9">
                                <w:pPr>
                                  <w:spacing w:before="123" w:line="298" w:lineRule="auto"/>
                                  <w:ind w:left="535" w:right="448" w:hanging="31"/>
                                  <w:rPr>
                                    <w:rFonts w:ascii="宋体" w:hAnsi="宋体" w:eastAsia="宋体" w:cs="宋体"/>
                                    <w:sz w:val="20"/>
                                    <w:szCs w:val="20"/>
                                  </w:rPr>
                                </w:pPr>
                                <w:r>
                                  <w:rPr>
                                    <w:rFonts w:ascii="宋体" w:hAnsi="宋体" w:eastAsia="宋体" w:cs="宋体"/>
                                    <w:sz w:val="20"/>
                                    <w:szCs w:val="20"/>
                                  </w:rPr>
                                  <w:t>井</w:t>
                                </w:r>
                                <w:r>
                                  <w:rPr>
                                    <w:rFonts w:ascii="宋体" w:hAnsi="宋体" w:eastAsia="宋体" w:cs="宋体"/>
                                    <w:spacing w:val="-31"/>
                                    <w:sz w:val="20"/>
                                    <w:szCs w:val="20"/>
                                  </w:rPr>
                                  <w:t>口</w:t>
                                </w:r>
                              </w:p>
                            </w:tc>
                          </w:tr>
                        </w:tbl>
                        <w:p w14:paraId="6B594BF7">
                          <w:pPr>
                            <w:rPr>
                              <w:rFonts w:ascii="Arial"/>
                              <w:sz w:val="21"/>
                            </w:rPr>
                          </w:pPr>
                        </w:p>
                      </w:txbxContent>
                    </v:textbox>
                  </v:shape>
                  <w10:wrap type="none"/>
                  <w10:anchorlock/>
                </v:group>
              </w:pict>
            </w:r>
          </w:p>
          <w:tbl>
            <w:tblPr>
              <w:tblStyle w:val="5"/>
              <w:tblW w:w="1145" w:type="dxa"/>
              <w:tblInd w:w="1110" w:type="dxa"/>
              <w:tblBorders>
                <w:top w:val="single" w:color="000000" w:sz="8" w:space="0"/>
                <w:left w:val="single" w:color="000000" w:sz="10" w:space="0"/>
                <w:bottom w:val="single" w:color="000000" w:sz="10" w:space="0"/>
                <w:right w:val="single" w:color="000000" w:sz="10" w:space="0"/>
                <w:insideH w:val="none" w:color="auto" w:sz="0" w:space="0"/>
                <w:insideV w:val="none" w:color="auto" w:sz="0" w:space="0"/>
              </w:tblBorders>
              <w:shd w:val="clear" w:color="auto" w:fill="C6D9F1"/>
              <w:tblLayout w:type="fixed"/>
              <w:tblCellMar>
                <w:top w:w="0" w:type="dxa"/>
                <w:left w:w="0" w:type="dxa"/>
                <w:bottom w:w="0" w:type="dxa"/>
                <w:right w:w="0" w:type="dxa"/>
              </w:tblCellMar>
            </w:tblPr>
            <w:tblGrid>
              <w:gridCol w:w="1145"/>
            </w:tblGrid>
            <w:tr w14:paraId="6A49F405">
              <w:tblPrEx>
                <w:tblBorders>
                  <w:top w:val="single" w:color="000000" w:sz="8"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953" w:hRule="atLeast"/>
              </w:trPr>
              <w:tc>
                <w:tcPr>
                  <w:tcW w:w="1145" w:type="dxa"/>
                  <w:shd w:val="clear" w:color="auto" w:fill="C6D9F1"/>
                  <w:vAlign w:val="top"/>
                </w:tcPr>
                <w:p w14:paraId="3F5BEC31">
                  <w:pPr>
                    <w:spacing w:line="307" w:lineRule="auto"/>
                    <w:rPr>
                      <w:rFonts w:ascii="Arial"/>
                      <w:sz w:val="21"/>
                    </w:rPr>
                  </w:pPr>
                </w:p>
                <w:p w14:paraId="43F63B71">
                  <w:pPr>
                    <w:pStyle w:val="6"/>
                    <w:spacing w:before="65" w:line="229" w:lineRule="auto"/>
                    <w:ind w:left="357"/>
                    <w:rPr>
                      <w:sz w:val="20"/>
                      <w:szCs w:val="20"/>
                    </w:rPr>
                  </w:pPr>
                  <w:r>
                    <w:rPr>
                      <w:spacing w:val="4"/>
                      <w:sz w:val="20"/>
                      <w:szCs w:val="20"/>
                    </w:rPr>
                    <w:t>钻具</w:t>
                  </w:r>
                </w:p>
              </w:tc>
            </w:tr>
          </w:tbl>
          <w:p w14:paraId="1912675B">
            <w:pPr>
              <w:spacing w:line="195" w:lineRule="exact"/>
            </w:pPr>
          </w:p>
          <w:tbl>
            <w:tblPr>
              <w:tblStyle w:val="5"/>
              <w:tblW w:w="1056" w:type="dxa"/>
              <w:tblInd w:w="550" w:type="dxa"/>
              <w:tblBorders>
                <w:top w:val="single" w:color="000000" w:sz="10" w:space="0"/>
                <w:left w:val="single" w:color="000000" w:sz="10" w:space="0"/>
                <w:bottom w:val="single" w:color="000000" w:sz="8" w:space="0"/>
                <w:right w:val="single" w:color="000000" w:sz="10" w:space="0"/>
                <w:insideH w:val="none" w:color="auto" w:sz="0" w:space="0"/>
                <w:insideV w:val="none" w:color="auto" w:sz="0" w:space="0"/>
              </w:tblBorders>
              <w:shd w:val="clear" w:color="auto" w:fill="C6D9F1"/>
              <w:tblLayout w:type="fixed"/>
              <w:tblCellMar>
                <w:top w:w="0" w:type="dxa"/>
                <w:left w:w="0" w:type="dxa"/>
                <w:bottom w:w="0" w:type="dxa"/>
                <w:right w:w="0" w:type="dxa"/>
              </w:tblCellMar>
            </w:tblPr>
            <w:tblGrid>
              <w:gridCol w:w="1056"/>
            </w:tblGrid>
            <w:tr w14:paraId="0D48A26C">
              <w:tblPrEx>
                <w:tblBorders>
                  <w:top w:val="single" w:color="000000" w:sz="10" w:space="0"/>
                  <w:left w:val="single" w:color="000000" w:sz="10" w:space="0"/>
                  <w:bottom w:val="single" w:color="000000" w:sz="8"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470" w:hRule="atLeast"/>
              </w:trPr>
              <w:tc>
                <w:tcPr>
                  <w:tcW w:w="1056" w:type="dxa"/>
                  <w:shd w:val="clear" w:color="auto" w:fill="C6D9F1"/>
                  <w:vAlign w:val="top"/>
                </w:tcPr>
                <w:p w14:paraId="186AFB0C">
                  <w:pPr>
                    <w:pStyle w:val="6"/>
                    <w:spacing w:before="114" w:line="228" w:lineRule="auto"/>
                    <w:ind w:left="209"/>
                    <w:rPr>
                      <w:sz w:val="20"/>
                      <w:szCs w:val="20"/>
                    </w:rPr>
                  </w:pPr>
                  <w:r>
                    <w:rPr>
                      <w:spacing w:val="6"/>
                      <w:sz w:val="20"/>
                      <w:szCs w:val="20"/>
                    </w:rPr>
                    <w:t>井控房</w:t>
                  </w:r>
                </w:p>
              </w:tc>
            </w:tr>
          </w:tbl>
          <w:p w14:paraId="7B7B32B2">
            <w:pPr>
              <w:rPr>
                <w:rFonts w:ascii="Arial"/>
                <w:sz w:val="21"/>
              </w:rPr>
            </w:pPr>
          </w:p>
        </w:tc>
        <w:tc>
          <w:tcPr>
            <w:tcW w:w="1565" w:type="dxa"/>
            <w:vAlign w:val="top"/>
          </w:tcPr>
          <w:p w14:paraId="6E00BAFA">
            <w:pPr>
              <w:spacing w:line="420" w:lineRule="auto"/>
              <w:rPr>
                <w:rFonts w:ascii="Arial"/>
                <w:sz w:val="21"/>
              </w:rPr>
            </w:pPr>
            <w:r>
              <w:pict>
                <v:shape id="_x0000_s1130" o:spid="_x0000_s1130" o:spt="202" type="#_x0000_t202" style="position:absolute;left:0pt;margin-left:38.25pt;margin-top:21.9pt;height:121.3pt;width:19.65pt;mso-position-horizontal-relative:page;mso-position-vertical-relative:page;z-index:251732992;mso-width-relative:page;mso-height-relative:page;" fillcolor="#C6D9F1" filled="t" stroked="f" coordsize="21600,21600">
                  <v:path/>
                  <v:fill on="t" focussize="0,0"/>
                  <v:stroke on="f"/>
                  <v:imagedata o:title=""/>
                  <o:lock v:ext="edit" aspectratio="f"/>
                  <v:textbox inset="0mm,0mm,0mm,0mm" style="layout-flow:vertical-ideographic;">
                    <w:txbxContent>
                      <w:p w14:paraId="756ED0CB">
                        <w:pPr>
                          <w:pStyle w:val="6"/>
                          <w:spacing w:before="23" w:line="216" w:lineRule="auto"/>
                          <w:ind w:left="137"/>
                          <w:rPr>
                            <w:sz w:val="20"/>
                            <w:szCs w:val="20"/>
                          </w:rPr>
                        </w:pPr>
                        <w:r>
                          <w:rPr>
                            <w:spacing w:val="6"/>
                            <w:sz w:val="20"/>
                            <w:szCs w:val="20"/>
                          </w:rPr>
                          <w:t>可 移 动 废 水 罐 区</w:t>
                        </w:r>
                      </w:p>
                    </w:txbxContent>
                  </v:textbox>
                </v:shape>
              </w:pict>
            </w:r>
          </w:p>
          <w:p w14:paraId="7111E9E9">
            <w:pPr>
              <w:pStyle w:val="6"/>
              <w:spacing w:line="3751" w:lineRule="exact"/>
              <w:ind w:firstLine="111"/>
            </w:pPr>
            <w:r>
              <w:rPr>
                <w:position w:val="-75"/>
              </w:rPr>
              <w:pict>
                <v:group id="_x0000_s1131" o:spid="_x0000_s1131" o:spt="203" style="height:187.6pt;width:33.3pt;" coordsize="665,3752">
                  <o:lock v:ext="edit"/>
                  <v:shape id="_x0000_s1132" o:spid="_x0000_s1132" o:spt="75" type="#_x0000_t75" style="position:absolute;left:0;top:0;height:3752;width:665;" filled="f" stroked="f" coordsize="21600,21600">
                    <v:path/>
                    <v:fill on="f" focussize="0,0"/>
                    <v:stroke on="f"/>
                    <v:imagedata r:id="rId220" o:title=""/>
                    <o:lock v:ext="edit" aspectratio="t"/>
                  </v:shape>
                  <v:shape id="_x0000_s1133" o:spid="_x0000_s1133" o:spt="202" type="#_x0000_t202" style="position:absolute;left:-20;top:-20;height:3792;width:705;" filled="f" stroked="f" coordsize="21600,21600">
                    <v:path/>
                    <v:fill on="f" focussize="0,0"/>
                    <v:stroke on="f"/>
                    <v:imagedata o:title=""/>
                    <o:lock v:ext="edit" aspectratio="f"/>
                    <v:textbox inset="0mm,0mm,0mm,0mm" style="layout-flow:vertical-ideographic;">
                      <w:txbxContent>
                        <w:p w14:paraId="1BA85894">
                          <w:pPr>
                            <w:spacing w:before="31" w:line="216" w:lineRule="auto"/>
                            <w:ind w:left="165"/>
                            <w:rPr>
                              <w:rFonts w:ascii="宋体" w:hAnsi="宋体" w:eastAsia="宋体" w:cs="宋体"/>
                              <w:sz w:val="20"/>
                              <w:szCs w:val="20"/>
                            </w:rPr>
                          </w:pPr>
                          <w:r>
                            <w:rPr>
                              <w:rFonts w:ascii="宋体" w:hAnsi="宋体" w:eastAsia="宋体" w:cs="宋体"/>
                              <w:spacing w:val="6"/>
                              <w:sz w:val="20"/>
                              <w:szCs w:val="20"/>
                            </w:rPr>
                            <w:t>泥 浆 不 落 地 循 环 系 统 区</w:t>
                          </w:r>
                        </w:p>
                        <w:p w14:paraId="10CF00D1">
                          <w:pPr>
                            <w:spacing w:before="151" w:line="205" w:lineRule="auto"/>
                            <w:ind w:left="170"/>
                            <w:rPr>
                              <w:rFonts w:ascii="宋体" w:hAnsi="宋体" w:eastAsia="宋体" w:cs="宋体"/>
                              <w:sz w:val="20"/>
                              <w:szCs w:val="20"/>
                            </w:rPr>
                          </w:pPr>
                          <w:r>
                            <w:rPr>
                              <w:rFonts w:ascii="宋体" w:hAnsi="宋体" w:eastAsia="宋体" w:cs="宋体"/>
                              <w:spacing w:val="21"/>
                              <w:sz w:val="20"/>
                              <w:szCs w:val="20"/>
                            </w:rPr>
                            <w:t>离心机</w:t>
                          </w:r>
                          <w:r>
                            <w:rPr>
                              <w:rFonts w:ascii="宋体" w:hAnsi="宋体" w:eastAsia="宋体" w:cs="宋体"/>
                              <w:spacing w:val="69"/>
                              <w:sz w:val="20"/>
                              <w:szCs w:val="20"/>
                            </w:rPr>
                            <w:t xml:space="preserve"> </w:t>
                          </w:r>
                          <w:r>
                            <w:rPr>
                              <w:rFonts w:ascii="宋体" w:hAnsi="宋体" w:eastAsia="宋体" w:cs="宋体"/>
                              <w:spacing w:val="21"/>
                              <w:position w:val="-1"/>
                              <w:sz w:val="20"/>
                              <w:szCs w:val="20"/>
                            </w:rPr>
                            <w:t>除砂器</w:t>
                          </w:r>
                          <w:r>
                            <w:rPr>
                              <w:rFonts w:ascii="宋体" w:hAnsi="宋体" w:eastAsia="宋体" w:cs="宋体"/>
                              <w:spacing w:val="2"/>
                              <w:position w:val="-1"/>
                              <w:sz w:val="20"/>
                              <w:szCs w:val="20"/>
                            </w:rPr>
                            <w:t xml:space="preserve">  </w:t>
                          </w:r>
                          <w:r>
                            <w:rPr>
                              <w:rFonts w:ascii="宋体" w:hAnsi="宋体" w:eastAsia="宋体" w:cs="宋体"/>
                              <w:spacing w:val="21"/>
                              <w:position w:val="-1"/>
                              <w:sz w:val="20"/>
                              <w:szCs w:val="20"/>
                            </w:rPr>
                            <w:t>除气器</w:t>
                          </w:r>
                          <w:r>
                            <w:rPr>
                              <w:rFonts w:ascii="宋体" w:hAnsi="宋体" w:eastAsia="宋体" w:cs="宋体"/>
                              <w:spacing w:val="32"/>
                              <w:position w:val="-1"/>
                              <w:sz w:val="20"/>
                              <w:szCs w:val="20"/>
                            </w:rPr>
                            <w:t xml:space="preserve">  </w:t>
                          </w:r>
                          <w:r>
                            <w:rPr>
                              <w:rFonts w:ascii="宋体" w:hAnsi="宋体" w:eastAsia="宋体" w:cs="宋体"/>
                              <w:spacing w:val="21"/>
                              <w:position w:val="1"/>
                              <w:sz w:val="20"/>
                              <w:szCs w:val="20"/>
                            </w:rPr>
                            <w:t>振 动 筛</w:t>
                          </w:r>
                        </w:p>
                      </w:txbxContent>
                    </v:textbox>
                  </v:shape>
                  <w10:wrap type="none"/>
                  <w10:anchorlock/>
                </v:group>
              </w:pict>
            </w:r>
          </w:p>
        </w:tc>
        <w:tc>
          <w:tcPr>
            <w:tcW w:w="1215" w:type="dxa"/>
            <w:vMerge w:val="continue"/>
            <w:tcBorders>
              <w:top w:val="nil"/>
              <w:right w:val="single" w:color="000000" w:sz="8" w:space="0"/>
            </w:tcBorders>
            <w:vAlign w:val="top"/>
          </w:tcPr>
          <w:p w14:paraId="6465813E">
            <w:pPr>
              <w:rPr>
                <w:rFonts w:ascii="Arial"/>
                <w:sz w:val="21"/>
              </w:rPr>
            </w:pPr>
          </w:p>
        </w:tc>
      </w:tr>
      <w:tr w14:paraId="74989DB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22" w:hRule="atLeast"/>
        </w:trPr>
        <w:tc>
          <w:tcPr>
            <w:tcW w:w="8197" w:type="dxa"/>
            <w:gridSpan w:val="4"/>
            <w:tcBorders>
              <w:left w:val="single" w:color="000000" w:sz="8" w:space="0"/>
              <w:bottom w:val="single" w:color="000000" w:sz="6" w:space="0"/>
              <w:right w:val="single" w:color="000000" w:sz="8" w:space="0"/>
            </w:tcBorders>
            <w:vAlign w:val="top"/>
          </w:tcPr>
          <w:p w14:paraId="3E8FCE15">
            <w:pPr>
              <w:spacing w:line="335" w:lineRule="auto"/>
              <w:rPr>
                <w:rFonts w:ascii="Arial"/>
                <w:sz w:val="21"/>
              </w:rPr>
            </w:pPr>
          </w:p>
          <w:p w14:paraId="52EBD1AF">
            <w:pPr>
              <w:spacing w:line="335" w:lineRule="auto"/>
              <w:rPr>
                <w:rFonts w:ascii="Arial"/>
                <w:sz w:val="21"/>
              </w:rPr>
            </w:pPr>
          </w:p>
          <w:p w14:paraId="2B1AC899">
            <w:pPr>
              <w:pStyle w:val="6"/>
              <w:spacing w:before="78" w:line="221" w:lineRule="auto"/>
              <w:ind w:left="6581"/>
            </w:pPr>
            <w:r>
              <w:rPr>
                <w:b/>
                <w:bCs/>
                <w:spacing w:val="-19"/>
              </w:rPr>
              <w:t>图</w:t>
            </w:r>
            <w:r>
              <w:rPr>
                <w:spacing w:val="4"/>
              </w:rPr>
              <w:t xml:space="preserve">  </w:t>
            </w:r>
            <w:r>
              <w:rPr>
                <w:b/>
                <w:bCs/>
                <w:spacing w:val="-19"/>
              </w:rPr>
              <w:t>例</w:t>
            </w:r>
          </w:p>
          <w:p w14:paraId="4876D8D3">
            <w:pPr>
              <w:pStyle w:val="6"/>
              <w:spacing w:before="194" w:line="338" w:lineRule="auto"/>
              <w:ind w:left="5919" w:right="229" w:hanging="29"/>
              <w:jc w:val="both"/>
              <w:rPr>
                <w:sz w:val="22"/>
                <w:szCs w:val="22"/>
              </w:rPr>
            </w:pPr>
            <w:r>
              <w:pict>
                <v:shape id="_x0000_s1134" o:spid="_x0000_s1134" o:spt="202" type="#_x0000_t202" style="position:absolute;left:0pt;margin-left:3.35pt;margin-top:19.3pt;height:63.65pt;width:206pt;z-index:251728896;mso-width-relative:page;mso-height-relative:page;" filled="f" stroked="f" coordsize="21600,21600">
                  <v:path/>
                  <v:fill on="f" focussize="0,0"/>
                  <v:stroke on="f"/>
                  <v:imagedata o:title=""/>
                  <o:lock v:ext="edit" aspectratio="f"/>
                  <v:textbox inset="0mm,0mm,0mm,0mm">
                    <w:txbxContent>
                      <w:p w14:paraId="4039344A">
                        <w:pPr>
                          <w:spacing w:line="20" w:lineRule="exact"/>
                        </w:pPr>
                      </w:p>
                      <w:tbl>
                        <w:tblPr>
                          <w:tblStyle w:val="5"/>
                          <w:tblW w:w="4055" w:type="dxa"/>
                          <w:tblInd w:w="3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4055"/>
                        </w:tblGrid>
                        <w:tr w14:paraId="0C6D089A">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574" w:hRule="atLeast"/>
                          </w:trPr>
                          <w:tc>
                            <w:tcPr>
                              <w:tcW w:w="4055" w:type="dxa"/>
                              <w:tcBorders>
                                <w:left w:val="single" w:color="000000" w:sz="8" w:space="0"/>
                              </w:tcBorders>
                              <w:vAlign w:val="top"/>
                            </w:tcPr>
                            <w:p w14:paraId="18CEC9FD">
                              <w:pPr>
                                <w:pStyle w:val="6"/>
                                <w:spacing w:before="170" w:line="228" w:lineRule="auto"/>
                                <w:ind w:left="1709"/>
                                <w:rPr>
                                  <w:sz w:val="20"/>
                                  <w:szCs w:val="20"/>
                                </w:rPr>
                              </w:pPr>
                              <w:r>
                                <w:rPr>
                                  <w:spacing w:val="6"/>
                                  <w:sz w:val="20"/>
                                  <w:szCs w:val="20"/>
                                </w:rPr>
                                <w:t>值班房</w:t>
                              </w:r>
                            </w:p>
                          </w:tc>
                        </w:tr>
                        <w:tr w14:paraId="49210CAA">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583" w:hRule="atLeast"/>
                          </w:trPr>
                          <w:tc>
                            <w:tcPr>
                              <w:tcW w:w="4055" w:type="dxa"/>
                              <w:vAlign w:val="top"/>
                            </w:tcPr>
                            <w:p w14:paraId="632DEEC3">
                              <w:pPr>
                                <w:pStyle w:val="6"/>
                                <w:spacing w:before="198" w:line="228" w:lineRule="auto"/>
                                <w:ind w:left="1718"/>
                                <w:rPr>
                                  <w:sz w:val="20"/>
                                  <w:szCs w:val="20"/>
                                </w:rPr>
                              </w:pPr>
                              <w:r>
                                <w:rPr>
                                  <w:spacing w:val="6"/>
                                  <w:sz w:val="20"/>
                                  <w:szCs w:val="20"/>
                                </w:rPr>
                                <w:t>生活区</w:t>
                              </w:r>
                            </w:p>
                          </w:tc>
                        </w:tr>
                      </w:tbl>
                      <w:p w14:paraId="06AA7496">
                        <w:pPr>
                          <w:rPr>
                            <w:rFonts w:ascii="Arial"/>
                            <w:sz w:val="21"/>
                          </w:rPr>
                        </w:pPr>
                      </w:p>
                    </w:txbxContent>
                  </v:textbox>
                </v:shape>
              </w:pict>
            </w:r>
            <w:r>
              <w:pict>
                <v:shape id="_x0000_s1135" o:spid="_x0000_s1135" o:spt="202" type="#_x0000_t202" style="position:absolute;left:0pt;margin-left:210.45pt;margin-top:20.75pt;height:63.7pt;width:55.85pt;z-index:251729920;mso-width-relative:page;mso-height-relative:page;" filled="f" stroked="f" coordsize="21600,21600">
                  <v:path/>
                  <v:fill on="f" focussize="0,0"/>
                  <v:stroke on="f"/>
                  <v:imagedata o:title=""/>
                  <o:lock v:ext="edit" aspectratio="f"/>
                  <v:textbox inset="0mm,0mm,0mm,0mm">
                    <w:txbxContent>
                      <w:p w14:paraId="2E6C5725">
                        <w:pPr>
                          <w:spacing w:line="20" w:lineRule="exact"/>
                        </w:pPr>
                      </w:p>
                      <w:tbl>
                        <w:tblPr>
                          <w:tblStyle w:val="5"/>
                          <w:tblW w:w="1066" w:type="dxa"/>
                          <w:tblInd w:w="2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066"/>
                        </w:tblGrid>
                        <w:tr w14:paraId="3940AAC7">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213" w:hRule="atLeast"/>
                          </w:trPr>
                          <w:tc>
                            <w:tcPr>
                              <w:tcW w:w="1066" w:type="dxa"/>
                              <w:vAlign w:val="top"/>
                            </w:tcPr>
                            <w:p w14:paraId="5A4C6467">
                              <w:pPr>
                                <w:spacing w:line="434" w:lineRule="auto"/>
                                <w:rPr>
                                  <w:rFonts w:ascii="Arial"/>
                                  <w:sz w:val="21"/>
                                </w:rPr>
                              </w:pPr>
                            </w:p>
                            <w:p w14:paraId="35B171F7">
                              <w:pPr>
                                <w:pStyle w:val="6"/>
                                <w:spacing w:before="65" w:line="228" w:lineRule="auto"/>
                                <w:ind w:left="222"/>
                                <w:rPr>
                                  <w:sz w:val="20"/>
                                  <w:szCs w:val="20"/>
                                </w:rPr>
                              </w:pPr>
                              <w:r>
                                <w:rPr>
                                  <w:spacing w:val="6"/>
                                  <w:sz w:val="20"/>
                                  <w:szCs w:val="20"/>
                                </w:rPr>
                                <w:t>集散点</w:t>
                              </w:r>
                            </w:p>
                          </w:tc>
                        </w:tr>
                      </w:tbl>
                      <w:p w14:paraId="67D9958C">
                        <w:pPr>
                          <w:rPr>
                            <w:rFonts w:ascii="Arial"/>
                            <w:sz w:val="21"/>
                          </w:rPr>
                        </w:pPr>
                      </w:p>
                    </w:txbxContent>
                  </v:textbox>
                </v:shape>
              </w:pict>
            </w:r>
            <w:r>
              <w:rPr>
                <w:position w:val="-9"/>
                <w:sz w:val="22"/>
                <w:szCs w:val="22"/>
              </w:rPr>
              <w:drawing>
                <wp:inline distT="0" distB="0" distL="0" distR="0">
                  <wp:extent cx="457200" cy="241300"/>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221"/>
                          <a:stretch>
                            <a:fillRect/>
                          </a:stretch>
                        </pic:blipFill>
                        <pic:spPr>
                          <a:xfrm>
                            <a:off x="0" y="0"/>
                            <a:ext cx="457200" cy="241401"/>
                          </a:xfrm>
                          <a:prstGeom prst="rect">
                            <a:avLst/>
                          </a:prstGeom>
                        </pic:spPr>
                      </pic:pic>
                    </a:graphicData>
                  </a:graphic>
                </wp:inline>
              </w:drawing>
            </w:r>
            <w:r>
              <w:rPr>
                <w:spacing w:val="13"/>
                <w:sz w:val="22"/>
                <w:szCs w:val="22"/>
              </w:rPr>
              <w:t xml:space="preserve">  </w:t>
            </w:r>
            <w:r>
              <w:rPr>
                <w:spacing w:val="-2"/>
                <w:sz w:val="22"/>
                <w:szCs w:val="22"/>
              </w:rPr>
              <w:t>重点防渗区</w:t>
            </w:r>
            <w:r>
              <w:rPr>
                <w:sz w:val="22"/>
                <w:szCs w:val="22"/>
              </w:rPr>
              <w:t xml:space="preserve"> </w:t>
            </w:r>
            <w:r>
              <w:rPr>
                <w:position w:val="-7"/>
                <w:sz w:val="22"/>
                <w:szCs w:val="22"/>
              </w:rPr>
              <w:drawing>
                <wp:inline distT="0" distB="0" distL="0" distR="0">
                  <wp:extent cx="439420" cy="223520"/>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222"/>
                          <a:stretch>
                            <a:fillRect/>
                          </a:stretch>
                        </pic:blipFill>
                        <pic:spPr>
                          <a:xfrm>
                            <a:off x="0" y="0"/>
                            <a:ext cx="439420" cy="223621"/>
                          </a:xfrm>
                          <a:prstGeom prst="rect">
                            <a:avLst/>
                          </a:prstGeom>
                        </pic:spPr>
                      </pic:pic>
                    </a:graphicData>
                  </a:graphic>
                </wp:inline>
              </w:drawing>
            </w:r>
            <w:r>
              <w:rPr>
                <w:spacing w:val="15"/>
                <w:sz w:val="22"/>
                <w:szCs w:val="22"/>
              </w:rPr>
              <w:t xml:space="preserve">  </w:t>
            </w:r>
            <w:r>
              <w:rPr>
                <w:spacing w:val="-3"/>
                <w:sz w:val="22"/>
                <w:szCs w:val="22"/>
              </w:rPr>
              <w:t>一般防渗区</w:t>
            </w:r>
            <w:r>
              <w:rPr>
                <w:sz w:val="22"/>
                <w:szCs w:val="22"/>
              </w:rPr>
              <w:t xml:space="preserve"> </w:t>
            </w:r>
            <w:r>
              <w:rPr>
                <w:position w:val="-7"/>
                <w:sz w:val="22"/>
                <w:szCs w:val="22"/>
              </w:rPr>
              <w:drawing>
                <wp:inline distT="0" distB="0" distL="0" distR="0">
                  <wp:extent cx="438785" cy="222885"/>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223"/>
                          <a:stretch>
                            <a:fillRect/>
                          </a:stretch>
                        </pic:blipFill>
                        <pic:spPr>
                          <a:xfrm>
                            <a:off x="0" y="0"/>
                            <a:ext cx="439216" cy="223519"/>
                          </a:xfrm>
                          <a:prstGeom prst="rect">
                            <a:avLst/>
                          </a:prstGeom>
                        </pic:spPr>
                      </pic:pic>
                    </a:graphicData>
                  </a:graphic>
                </wp:inline>
              </w:drawing>
            </w:r>
            <w:r>
              <w:rPr>
                <w:spacing w:val="15"/>
                <w:sz w:val="22"/>
                <w:szCs w:val="22"/>
              </w:rPr>
              <w:t xml:space="preserve">  </w:t>
            </w:r>
            <w:r>
              <w:rPr>
                <w:spacing w:val="-3"/>
                <w:sz w:val="22"/>
                <w:szCs w:val="22"/>
              </w:rPr>
              <w:t>简单防渗区</w:t>
            </w:r>
          </w:p>
        </w:tc>
      </w:tr>
    </w:tbl>
    <w:p w14:paraId="4052163D">
      <w:pPr>
        <w:pStyle w:val="2"/>
        <w:spacing w:before="94" w:line="219" w:lineRule="auto"/>
        <w:ind w:left="2379"/>
      </w:pPr>
      <w:r>
        <w:rPr>
          <w:b/>
          <w:bCs/>
          <w:spacing w:val="-4"/>
        </w:rPr>
        <w:t>附图</w:t>
      </w:r>
      <w:r>
        <w:rPr>
          <w:spacing w:val="-41"/>
        </w:rPr>
        <w:t xml:space="preserve"> </w:t>
      </w:r>
      <w:r>
        <w:rPr>
          <w:rFonts w:ascii="Times New Roman" w:hAnsi="Times New Roman" w:eastAsia="Times New Roman" w:cs="Times New Roman"/>
          <w:b/>
          <w:bCs/>
          <w:spacing w:val="-4"/>
        </w:rPr>
        <w:t xml:space="preserve">6-1  </w:t>
      </w:r>
      <w:r>
        <w:rPr>
          <w:b/>
          <w:bCs/>
          <w:spacing w:val="-4"/>
        </w:rPr>
        <w:t>钻井阶段井场平面布置图</w:t>
      </w:r>
    </w:p>
    <w:p w14:paraId="38AFD863">
      <w:pPr>
        <w:spacing w:line="219" w:lineRule="auto"/>
        <w:sectPr>
          <w:headerReference r:id="rId126" w:type="default"/>
          <w:pgSz w:w="11906" w:h="16839"/>
          <w:pgMar w:top="400" w:right="1785" w:bottom="400" w:left="1785" w:header="0" w:footer="0" w:gutter="0"/>
          <w:cols w:space="720" w:num="1"/>
        </w:sectPr>
      </w:pPr>
    </w:p>
    <w:p w14:paraId="2862F82F">
      <w:pPr>
        <w:spacing w:line="247" w:lineRule="auto"/>
        <w:rPr>
          <w:rFonts w:ascii="Arial"/>
          <w:sz w:val="21"/>
        </w:rPr>
      </w:pPr>
    </w:p>
    <w:p w14:paraId="6E9C13F4">
      <w:pPr>
        <w:spacing w:line="247" w:lineRule="auto"/>
        <w:rPr>
          <w:rFonts w:ascii="Arial"/>
          <w:sz w:val="21"/>
        </w:rPr>
      </w:pPr>
    </w:p>
    <w:p w14:paraId="386A2522">
      <w:pPr>
        <w:spacing w:line="247" w:lineRule="auto"/>
        <w:rPr>
          <w:rFonts w:ascii="Arial"/>
          <w:sz w:val="21"/>
        </w:rPr>
      </w:pPr>
    </w:p>
    <w:p w14:paraId="73EB4050">
      <w:pPr>
        <w:spacing w:line="247" w:lineRule="auto"/>
        <w:rPr>
          <w:rFonts w:ascii="Arial"/>
          <w:sz w:val="21"/>
        </w:rPr>
      </w:pPr>
    </w:p>
    <w:p w14:paraId="661C7303">
      <w:pPr>
        <w:spacing w:line="247" w:lineRule="auto"/>
        <w:rPr>
          <w:rFonts w:ascii="Arial"/>
          <w:sz w:val="21"/>
        </w:rPr>
      </w:pPr>
    </w:p>
    <w:p w14:paraId="2F367260">
      <w:pPr>
        <w:spacing w:line="247" w:lineRule="auto"/>
        <w:rPr>
          <w:rFonts w:ascii="Arial"/>
          <w:sz w:val="21"/>
        </w:rPr>
      </w:pPr>
    </w:p>
    <w:p w14:paraId="3FBAF49B">
      <w:pPr>
        <w:spacing w:line="247" w:lineRule="auto"/>
        <w:rPr>
          <w:rFonts w:ascii="Arial"/>
          <w:sz w:val="21"/>
        </w:rPr>
      </w:pPr>
      <w:r>
        <w:pict>
          <v:group id="_x0000_s1136" o:spid="_x0000_s1136" o:spt="203" style="position:absolute;left:0pt;margin-left:374.25pt;margin-top:4.4pt;height:57.55pt;width:36.85pt;z-index:251739136;mso-width-relative:page;mso-height-relative:page;" coordsize="736,1150">
            <o:lock v:ext="edit"/>
            <v:shape id="_x0000_s1137" o:spid="_x0000_s1137" o:spt="75" type="#_x0000_t75" style="position:absolute;left:0;top:38;height:1111;width:736;" filled="f" stroked="f" coordsize="21600,21600">
              <v:path/>
              <v:fill on="f" focussize="0,0"/>
              <v:stroke on="f"/>
              <v:imagedata r:id="rId216" o:title=""/>
              <o:lock v:ext="edit" aspectratio="t"/>
            </v:shape>
            <v:shape id="_x0000_s1138" o:spid="_x0000_s1138" o:spt="202" type="#_x0000_t202" style="position:absolute;left:285;top:-20;height:223;width:187;" filled="f" stroked="f" coordsize="21600,21600">
              <v:path/>
              <v:fill on="f" focussize="0,0"/>
              <v:stroke on="f"/>
              <v:imagedata o:title=""/>
              <o:lock v:ext="edit" aspectratio="f"/>
              <v:textbox inset="0mm,0mm,0mm,0mm">
                <w:txbxContent>
                  <w:p w14:paraId="116D7F97">
                    <w:pPr>
                      <w:spacing w:before="19" w:line="192" w:lineRule="auto"/>
                      <w:ind w:left="20"/>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N</w:t>
                    </w:r>
                  </w:p>
                </w:txbxContent>
              </v:textbox>
            </v:shape>
          </v:group>
        </w:pict>
      </w:r>
    </w:p>
    <w:p w14:paraId="540C13EC">
      <w:pPr>
        <w:spacing w:line="247" w:lineRule="auto"/>
        <w:rPr>
          <w:rFonts w:ascii="Arial"/>
          <w:sz w:val="21"/>
        </w:rPr>
      </w:pPr>
    </w:p>
    <w:p w14:paraId="486BF0BB">
      <w:pPr>
        <w:spacing w:line="247" w:lineRule="auto"/>
        <w:rPr>
          <w:rFonts w:ascii="Arial"/>
          <w:sz w:val="21"/>
        </w:rPr>
      </w:pPr>
    </w:p>
    <w:p w14:paraId="61534B01">
      <w:pPr>
        <w:spacing w:line="247" w:lineRule="auto"/>
        <w:rPr>
          <w:rFonts w:ascii="Arial"/>
          <w:sz w:val="21"/>
        </w:rPr>
      </w:pPr>
    </w:p>
    <w:p w14:paraId="6F0223DE">
      <w:pPr>
        <w:spacing w:line="247" w:lineRule="auto"/>
        <w:rPr>
          <w:rFonts w:ascii="Arial"/>
          <w:sz w:val="21"/>
        </w:rPr>
      </w:pPr>
    </w:p>
    <w:p w14:paraId="7D8A450F">
      <w:pPr>
        <w:spacing w:line="247" w:lineRule="auto"/>
        <w:rPr>
          <w:rFonts w:ascii="Arial"/>
          <w:sz w:val="21"/>
        </w:rPr>
      </w:pPr>
    </w:p>
    <w:p w14:paraId="7B6916D9">
      <w:pPr>
        <w:spacing w:line="247" w:lineRule="auto"/>
        <w:rPr>
          <w:rFonts w:ascii="Arial"/>
          <w:sz w:val="21"/>
        </w:rPr>
      </w:pPr>
    </w:p>
    <w:p w14:paraId="06375558">
      <w:pPr>
        <w:spacing w:line="247" w:lineRule="auto"/>
        <w:rPr>
          <w:rFonts w:ascii="Arial"/>
          <w:sz w:val="21"/>
        </w:rPr>
      </w:pPr>
    </w:p>
    <w:p w14:paraId="1A80EEF0">
      <w:pPr>
        <w:spacing w:line="247" w:lineRule="auto"/>
        <w:rPr>
          <w:rFonts w:ascii="Arial"/>
          <w:sz w:val="21"/>
        </w:rPr>
      </w:pPr>
    </w:p>
    <w:p w14:paraId="1489FC51">
      <w:pPr>
        <w:spacing w:line="247" w:lineRule="auto"/>
        <w:rPr>
          <w:rFonts w:ascii="Arial"/>
          <w:sz w:val="21"/>
        </w:rPr>
      </w:pPr>
      <w:r>
        <w:pict>
          <v:group id="_x0000_s1139" o:spid="_x0000_s1139" o:spt="203" style="position:absolute;left:0pt;margin-left:263.05pt;margin-top:0.05pt;height:17.6pt;width:29.1pt;z-index:251742208;mso-width-relative:page;mso-height-relative:page;" coordsize="582,352">
            <o:lock v:ext="edit"/>
            <v:shape id="_x0000_s1140" o:spid="_x0000_s1140" o:spt="75" type="#_x0000_t75" style="position:absolute;left:0;top:0;height:352;width:582;" filled="f" stroked="f" coordsize="21600,21600">
              <v:path/>
              <v:fill on="f" focussize="0,0"/>
              <v:stroke on="f"/>
              <v:imagedata r:id="rId224" o:title=""/>
              <o:lock v:ext="edit" aspectratio="t"/>
            </v:shape>
            <v:shape id="_x0000_s1141" o:spid="_x0000_s1141" o:spt="202" type="#_x0000_t202" style="position:absolute;left:-20;top:-20;height:430;width:622;" filled="f" stroked="f" coordsize="21600,21600">
              <v:path/>
              <v:fill on="f" focussize="0,0"/>
              <v:stroke on="f"/>
              <v:imagedata o:title=""/>
              <o:lock v:ext="edit" aspectratio="f"/>
              <v:textbox inset="0mm,0mm,0mm,0mm">
                <w:txbxContent>
                  <w:p w14:paraId="0130F3C2">
                    <w:pPr>
                      <w:pStyle w:val="2"/>
                      <w:spacing w:before="116" w:line="228" w:lineRule="auto"/>
                      <w:ind w:left="67"/>
                      <w:rPr>
                        <w:sz w:val="20"/>
                        <w:szCs w:val="20"/>
                      </w:rPr>
                    </w:pPr>
                    <w:r>
                      <w:rPr>
                        <w:spacing w:val="3"/>
                        <w:sz w:val="20"/>
                        <w:szCs w:val="20"/>
                      </w:rPr>
                      <w:t>火炬</w:t>
                    </w:r>
                  </w:p>
                </w:txbxContent>
              </v:textbox>
            </v:shape>
          </v:group>
        </w:pict>
      </w:r>
    </w:p>
    <w:p w14:paraId="34B4B9B9">
      <w:pPr>
        <w:spacing w:line="247" w:lineRule="auto"/>
        <w:rPr>
          <w:rFonts w:ascii="Arial"/>
          <w:sz w:val="21"/>
        </w:rPr>
      </w:pPr>
    </w:p>
    <w:p w14:paraId="1172E0A4">
      <w:pPr>
        <w:spacing w:line="247" w:lineRule="auto"/>
        <w:rPr>
          <w:rFonts w:ascii="Arial"/>
          <w:sz w:val="21"/>
        </w:rPr>
      </w:pPr>
    </w:p>
    <w:p w14:paraId="1819FA7D">
      <w:pPr>
        <w:spacing w:line="248" w:lineRule="auto"/>
        <w:rPr>
          <w:rFonts w:ascii="Arial"/>
          <w:sz w:val="21"/>
        </w:rPr>
      </w:pPr>
    </w:p>
    <w:p w14:paraId="26FE2536">
      <w:pPr>
        <w:pStyle w:val="2"/>
        <w:spacing w:before="91" w:line="220" w:lineRule="auto"/>
        <w:ind w:left="2457"/>
        <w:rPr>
          <w:sz w:val="28"/>
          <w:szCs w:val="28"/>
        </w:rPr>
      </w:pPr>
      <w:r>
        <w:pict>
          <v:shape id="_x0000_s1142" o:spid="_x0000_s1142" o:spt="202" type="#_x0000_t202" style="position:absolute;left:0pt;margin-left:15.15pt;margin-top:-152.55pt;height:165.85pt;width:35.25pt;z-index:251736064;mso-width-relative:page;mso-height-relative:page;" filled="f" stroked="f" coordsize="21600,21600">
            <v:path/>
            <v:fill on="f" focussize="0,0"/>
            <v:stroke on="f"/>
            <v:imagedata o:title=""/>
            <o:lock v:ext="edit" aspectratio="f"/>
            <v:textbox inset="0mm,0mm,0mm,0mm">
              <w:txbxContent>
                <w:p w14:paraId="59EDC379">
                  <w:pPr>
                    <w:spacing w:line="20" w:lineRule="exact"/>
                  </w:pPr>
                </w:p>
                <w:tbl>
                  <w:tblPr>
                    <w:tblStyle w:val="5"/>
                    <w:tblW w:w="639" w:type="dxa"/>
                    <w:tblInd w:w="3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639"/>
                  </w:tblGrid>
                  <w:tr w14:paraId="69789592">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685" w:hRule="atLeast"/>
                    </w:trPr>
                    <w:tc>
                      <w:tcPr>
                        <w:tcW w:w="639" w:type="dxa"/>
                        <w:shd w:val="clear" w:color="auto" w:fill="FFC000"/>
                        <w:textDirection w:val="tbRlV"/>
                        <w:vAlign w:val="top"/>
                      </w:tcPr>
                      <w:p w14:paraId="5F7E558E">
                        <w:pPr>
                          <w:pStyle w:val="6"/>
                          <w:spacing w:before="195" w:line="216" w:lineRule="auto"/>
                          <w:ind w:left="114"/>
                          <w:rPr>
                            <w:sz w:val="20"/>
                            <w:szCs w:val="20"/>
                          </w:rPr>
                        </w:pPr>
                        <w:r>
                          <w:rPr>
                            <w:spacing w:val="6"/>
                            <w:sz w:val="20"/>
                            <w:szCs w:val="20"/>
                          </w:rPr>
                          <w:t>危 废 贮 存 点</w:t>
                        </w:r>
                      </w:p>
                    </w:tc>
                  </w:tr>
                  <w:tr w14:paraId="1CD35227">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521" w:hRule="atLeast"/>
                    </w:trPr>
                    <w:tc>
                      <w:tcPr>
                        <w:tcW w:w="639" w:type="dxa"/>
                        <w:tcBorders>
                          <w:left w:val="single" w:color="000000" w:sz="8" w:space="0"/>
                          <w:bottom w:val="single" w:color="000000" w:sz="8" w:space="0"/>
                        </w:tcBorders>
                        <w:shd w:val="clear" w:color="auto" w:fill="FFC000"/>
                        <w:textDirection w:val="tbRlV"/>
                        <w:vAlign w:val="top"/>
                      </w:tcPr>
                      <w:p w14:paraId="67266CBF">
                        <w:pPr>
                          <w:pStyle w:val="6"/>
                          <w:spacing w:before="211" w:line="216" w:lineRule="auto"/>
                          <w:ind w:left="238"/>
                          <w:rPr>
                            <w:sz w:val="20"/>
                            <w:szCs w:val="20"/>
                          </w:rPr>
                        </w:pPr>
                        <w:r>
                          <w:rPr>
                            <w:spacing w:val="6"/>
                            <w:sz w:val="20"/>
                            <w:szCs w:val="20"/>
                          </w:rPr>
                          <w:t>柴 油 罐 区</w:t>
                        </w:r>
                      </w:p>
                    </w:tc>
                  </w:tr>
                </w:tbl>
                <w:p w14:paraId="381C6A72">
                  <w:pPr>
                    <w:rPr>
                      <w:rFonts w:ascii="Arial"/>
                      <w:sz w:val="21"/>
                    </w:rPr>
                  </w:pPr>
                </w:p>
              </w:txbxContent>
            </v:textbox>
          </v:shape>
        </w:pict>
      </w:r>
      <w:r>
        <w:pict>
          <v:shape id="_x0000_s1143" o:spid="_x0000_s1143" o:spt="202" type="#_x0000_t202" style="position:absolute;left:0pt;margin-left:249.35pt;margin-top:11.5pt;height:34.85pt;width:68.3pt;z-index:251738112;mso-width-relative:page;mso-height-relative:page;" filled="f" stroked="f" coordsize="21600,21600">
            <v:path/>
            <v:fill on="f" focussize="0,0"/>
            <v:stroke on="f"/>
            <v:imagedata o:title=""/>
            <o:lock v:ext="edit" aspectratio="f"/>
            <v:textbox inset="0mm,0mm,0mm,0mm">
              <w:txbxContent>
                <w:p w14:paraId="0E28C394">
                  <w:pPr>
                    <w:spacing w:line="20" w:lineRule="exact"/>
                  </w:pPr>
                </w:p>
                <w:tbl>
                  <w:tblPr>
                    <w:tblStyle w:val="5"/>
                    <w:tblW w:w="1303" w:type="dxa"/>
                    <w:tblInd w:w="30" w:type="dxa"/>
                    <w:tblBorders>
                      <w:top w:val="single" w:color="000000" w:sz="8" w:space="0"/>
                      <w:left w:val="single" w:color="000000" w:sz="8" w:space="0"/>
                      <w:bottom w:val="single" w:color="000000" w:sz="10" w:space="0"/>
                      <w:right w:val="single" w:color="000000" w:sz="10" w:space="0"/>
                      <w:insideH w:val="none" w:color="auto" w:sz="0" w:space="0"/>
                      <w:insideV w:val="none" w:color="auto" w:sz="0" w:space="0"/>
                    </w:tblBorders>
                    <w:shd w:val="clear" w:color="auto" w:fill="C6D9F1"/>
                    <w:tblLayout w:type="fixed"/>
                    <w:tblCellMar>
                      <w:top w:w="0" w:type="dxa"/>
                      <w:left w:w="0" w:type="dxa"/>
                      <w:bottom w:w="0" w:type="dxa"/>
                      <w:right w:w="0" w:type="dxa"/>
                    </w:tblCellMar>
                  </w:tblPr>
                  <w:tblGrid>
                    <w:gridCol w:w="1303"/>
                  </w:tblGrid>
                  <w:tr w14:paraId="467F450D">
                    <w:tblPrEx>
                      <w:tblBorders>
                        <w:top w:val="single" w:color="000000" w:sz="8" w:space="0"/>
                        <w:left w:val="single" w:color="000000" w:sz="8" w:space="0"/>
                        <w:bottom w:val="single" w:color="000000" w:sz="10" w:space="0"/>
                        <w:right w:val="single" w:color="000000" w:sz="10" w:space="0"/>
                        <w:insideH w:val="none" w:color="auto" w:sz="0" w:space="0"/>
                        <w:insideV w:val="none" w:color="auto" w:sz="0" w:space="0"/>
                      </w:tblBorders>
                      <w:shd w:val="clear" w:color="auto" w:fill="C6D9F1"/>
                      <w:tblCellMar>
                        <w:top w:w="0" w:type="dxa"/>
                        <w:left w:w="0" w:type="dxa"/>
                        <w:bottom w:w="0" w:type="dxa"/>
                        <w:right w:w="0" w:type="dxa"/>
                      </w:tblCellMar>
                    </w:tblPrEx>
                    <w:trPr>
                      <w:trHeight w:val="611" w:hRule="atLeast"/>
                    </w:trPr>
                    <w:tc>
                      <w:tcPr>
                        <w:tcW w:w="1303" w:type="dxa"/>
                        <w:shd w:val="clear" w:color="auto" w:fill="C6D9F1"/>
                        <w:vAlign w:val="top"/>
                      </w:tcPr>
                      <w:p w14:paraId="02552A02">
                        <w:pPr>
                          <w:pStyle w:val="6"/>
                          <w:spacing w:before="118" w:line="227" w:lineRule="auto"/>
                          <w:ind w:left="234"/>
                          <w:rPr>
                            <w:sz w:val="20"/>
                            <w:szCs w:val="20"/>
                          </w:rPr>
                        </w:pPr>
                        <w:r>
                          <w:rPr>
                            <w:spacing w:val="6"/>
                            <w:sz w:val="20"/>
                            <w:szCs w:val="20"/>
                          </w:rPr>
                          <w:t>发电机房</w:t>
                        </w:r>
                      </w:p>
                    </w:tc>
                  </w:tr>
                </w:tbl>
                <w:p w14:paraId="20CE3052">
                  <w:pPr>
                    <w:rPr>
                      <w:rFonts w:ascii="Arial"/>
                      <w:sz w:val="21"/>
                    </w:rPr>
                  </w:pPr>
                </w:p>
              </w:txbxContent>
            </v:textbox>
          </v:shape>
        </w:pict>
      </w:r>
      <w:r>
        <w:drawing>
          <wp:anchor distT="0" distB="0" distL="0" distR="0" simplePos="0" relativeHeight="251735040" behindDoc="1" locked="0" layoutInCell="1" allowOverlap="1">
            <wp:simplePos x="0" y="0"/>
            <wp:positionH relativeFrom="column">
              <wp:posOffset>998220</wp:posOffset>
            </wp:positionH>
            <wp:positionV relativeFrom="paragraph">
              <wp:posOffset>-316865</wp:posOffset>
            </wp:positionV>
            <wp:extent cx="2259330" cy="2881630"/>
            <wp:effectExtent l="0" t="0" r="0" b="0"/>
            <wp:wrapNone/>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225"/>
                    <a:stretch>
                      <a:fillRect/>
                    </a:stretch>
                  </pic:blipFill>
                  <pic:spPr>
                    <a:xfrm>
                      <a:off x="0" y="0"/>
                      <a:ext cx="2259329" cy="2881629"/>
                    </a:xfrm>
                    <a:prstGeom prst="rect">
                      <a:avLst/>
                    </a:prstGeom>
                  </pic:spPr>
                </pic:pic>
              </a:graphicData>
            </a:graphic>
          </wp:anchor>
        </w:drawing>
      </w:r>
      <w:r>
        <w:rPr>
          <w:spacing w:val="-3"/>
          <w:sz w:val="28"/>
          <w:szCs w:val="28"/>
        </w:rPr>
        <w:t>储液罐</w:t>
      </w:r>
    </w:p>
    <w:p w14:paraId="7A5F74D7">
      <w:pPr>
        <w:spacing w:line="298" w:lineRule="auto"/>
        <w:rPr>
          <w:rFonts w:ascii="Arial"/>
          <w:sz w:val="21"/>
        </w:rPr>
      </w:pPr>
    </w:p>
    <w:p w14:paraId="31143784">
      <w:pPr>
        <w:spacing w:line="298" w:lineRule="auto"/>
        <w:rPr>
          <w:rFonts w:ascii="Arial"/>
          <w:sz w:val="21"/>
        </w:rPr>
      </w:pPr>
    </w:p>
    <w:p w14:paraId="463D16E6">
      <w:pPr>
        <w:pStyle w:val="2"/>
        <w:spacing w:before="91" w:line="220" w:lineRule="auto"/>
        <w:ind w:left="2390"/>
        <w:rPr>
          <w:sz w:val="28"/>
          <w:szCs w:val="28"/>
        </w:rPr>
      </w:pPr>
      <w:r>
        <w:rPr>
          <w:spacing w:val="-3"/>
          <w:sz w:val="28"/>
          <w:szCs w:val="28"/>
        </w:rPr>
        <w:t>储液罐</w:t>
      </w:r>
    </w:p>
    <w:p w14:paraId="7AC44D4A">
      <w:pPr>
        <w:rPr>
          <w:rFonts w:ascii="Arial"/>
          <w:sz w:val="21"/>
        </w:rPr>
      </w:pPr>
    </w:p>
    <w:p w14:paraId="0C829BEA">
      <w:pPr>
        <w:rPr>
          <w:rFonts w:ascii="Arial"/>
          <w:sz w:val="21"/>
        </w:rPr>
      </w:pPr>
    </w:p>
    <w:p w14:paraId="54C8491B">
      <w:pPr>
        <w:spacing w:line="241" w:lineRule="auto"/>
        <w:rPr>
          <w:rFonts w:ascii="Arial"/>
          <w:sz w:val="21"/>
        </w:rPr>
      </w:pPr>
    </w:p>
    <w:p w14:paraId="49A3C76A">
      <w:pPr>
        <w:spacing w:line="241" w:lineRule="auto"/>
        <w:rPr>
          <w:rFonts w:ascii="Arial"/>
          <w:sz w:val="21"/>
        </w:rPr>
      </w:pPr>
    </w:p>
    <w:p w14:paraId="199E253B">
      <w:pPr>
        <w:spacing w:line="241" w:lineRule="auto"/>
        <w:rPr>
          <w:rFonts w:ascii="Arial"/>
          <w:sz w:val="21"/>
        </w:rPr>
      </w:pPr>
    </w:p>
    <w:p w14:paraId="02A1D449">
      <w:pPr>
        <w:spacing w:line="241" w:lineRule="auto"/>
        <w:rPr>
          <w:rFonts w:ascii="Arial"/>
          <w:sz w:val="21"/>
        </w:rPr>
      </w:pPr>
    </w:p>
    <w:p w14:paraId="15E9E086">
      <w:pPr>
        <w:spacing w:line="241" w:lineRule="auto"/>
        <w:rPr>
          <w:rFonts w:ascii="Arial"/>
          <w:sz w:val="21"/>
        </w:rPr>
      </w:pPr>
    </w:p>
    <w:p w14:paraId="05DC5200">
      <w:pPr>
        <w:spacing w:line="241" w:lineRule="auto"/>
        <w:rPr>
          <w:rFonts w:ascii="Arial"/>
          <w:sz w:val="21"/>
        </w:rPr>
      </w:pPr>
    </w:p>
    <w:p w14:paraId="57DBB583">
      <w:pPr>
        <w:spacing w:line="241" w:lineRule="auto"/>
        <w:rPr>
          <w:rFonts w:ascii="Arial"/>
          <w:sz w:val="21"/>
        </w:rPr>
      </w:pPr>
    </w:p>
    <w:p w14:paraId="658234B0">
      <w:pPr>
        <w:pStyle w:val="2"/>
        <w:spacing w:before="65" w:line="228" w:lineRule="auto"/>
        <w:ind w:left="4486"/>
        <w:rPr>
          <w:sz w:val="20"/>
          <w:szCs w:val="20"/>
        </w:rPr>
      </w:pPr>
      <w:r>
        <w:rPr>
          <w:spacing w:val="4"/>
          <w:sz w:val="20"/>
          <w:szCs w:val="20"/>
        </w:rPr>
        <w:t>井口</w:t>
      </w:r>
    </w:p>
    <w:p w14:paraId="2447135B">
      <w:pPr>
        <w:spacing w:line="253" w:lineRule="auto"/>
        <w:rPr>
          <w:rFonts w:ascii="Arial"/>
          <w:sz w:val="21"/>
        </w:rPr>
      </w:pPr>
    </w:p>
    <w:p w14:paraId="19046FCB">
      <w:pPr>
        <w:spacing w:line="253" w:lineRule="auto"/>
        <w:rPr>
          <w:rFonts w:ascii="Arial"/>
          <w:sz w:val="21"/>
        </w:rPr>
      </w:pPr>
    </w:p>
    <w:p w14:paraId="6217C43B">
      <w:pPr>
        <w:spacing w:line="253" w:lineRule="auto"/>
        <w:rPr>
          <w:rFonts w:ascii="Arial"/>
          <w:sz w:val="21"/>
        </w:rPr>
      </w:pPr>
    </w:p>
    <w:p w14:paraId="213FFAEF">
      <w:pPr>
        <w:spacing w:line="253" w:lineRule="auto"/>
        <w:rPr>
          <w:rFonts w:ascii="Arial"/>
          <w:sz w:val="21"/>
        </w:rPr>
      </w:pPr>
    </w:p>
    <w:p w14:paraId="00B92402">
      <w:pPr>
        <w:spacing w:line="253" w:lineRule="auto"/>
        <w:rPr>
          <w:rFonts w:ascii="Arial"/>
          <w:sz w:val="21"/>
        </w:rPr>
      </w:pPr>
    </w:p>
    <w:p w14:paraId="5C4B14B4">
      <w:pPr>
        <w:spacing w:line="253" w:lineRule="auto"/>
        <w:rPr>
          <w:rFonts w:ascii="Arial"/>
          <w:sz w:val="21"/>
        </w:rPr>
      </w:pPr>
    </w:p>
    <w:p w14:paraId="05E6E924">
      <w:pPr>
        <w:spacing w:line="253" w:lineRule="auto"/>
        <w:rPr>
          <w:rFonts w:ascii="Arial"/>
          <w:sz w:val="21"/>
        </w:rPr>
      </w:pPr>
    </w:p>
    <w:p w14:paraId="637B4730">
      <w:pPr>
        <w:spacing w:line="253" w:lineRule="auto"/>
        <w:rPr>
          <w:rFonts w:ascii="Arial"/>
          <w:sz w:val="21"/>
        </w:rPr>
      </w:pPr>
    </w:p>
    <w:p w14:paraId="0F90ECD5">
      <w:pPr>
        <w:spacing w:line="253" w:lineRule="auto"/>
        <w:rPr>
          <w:rFonts w:ascii="Arial"/>
          <w:sz w:val="21"/>
        </w:rPr>
      </w:pPr>
    </w:p>
    <w:p w14:paraId="0EB91AF1">
      <w:pPr>
        <w:spacing w:line="254" w:lineRule="auto"/>
        <w:rPr>
          <w:rFonts w:ascii="Arial"/>
          <w:sz w:val="21"/>
        </w:rPr>
      </w:pPr>
    </w:p>
    <w:p w14:paraId="61312892">
      <w:pPr>
        <w:spacing w:line="254" w:lineRule="auto"/>
        <w:rPr>
          <w:rFonts w:ascii="Arial"/>
          <w:sz w:val="21"/>
        </w:rPr>
      </w:pPr>
    </w:p>
    <w:p w14:paraId="6EA904A9">
      <w:pPr>
        <w:spacing w:line="254" w:lineRule="auto"/>
        <w:rPr>
          <w:rFonts w:ascii="Arial"/>
          <w:sz w:val="21"/>
        </w:rPr>
      </w:pPr>
    </w:p>
    <w:p w14:paraId="24CC466B">
      <w:pPr>
        <w:spacing w:line="254" w:lineRule="auto"/>
        <w:rPr>
          <w:rFonts w:ascii="Arial"/>
          <w:sz w:val="21"/>
        </w:rPr>
      </w:pPr>
    </w:p>
    <w:p w14:paraId="12DB5B6D">
      <w:pPr>
        <w:spacing w:line="254" w:lineRule="auto"/>
        <w:rPr>
          <w:rFonts w:ascii="Arial"/>
          <w:sz w:val="21"/>
        </w:rPr>
      </w:pPr>
    </w:p>
    <w:p w14:paraId="6A4C5E07">
      <w:pPr>
        <w:pStyle w:val="2"/>
        <w:spacing w:before="78" w:line="221" w:lineRule="auto"/>
        <w:ind w:left="6562"/>
      </w:pPr>
      <w:r>
        <w:pict>
          <v:shape id="_x0000_s1144" o:spid="_x0000_s1144" o:spt="202" type="#_x0000_t202" style="position:absolute;left:0pt;margin-left:289.9pt;margin-top:26.9pt;height:44.35pt;width:107.45pt;z-index:251737088;mso-width-relative:page;mso-height-relative:page;" filled="f" stroked="f" coordsize="21600,21600">
            <v:path/>
            <v:fill on="f" focussize="0,0"/>
            <v:stroke on="f"/>
            <v:imagedata o:title=""/>
            <o:lock v:ext="edit" aspectratio="f"/>
            <v:textbox inset="0mm,0mm,0mm,0mm">
              <w:txbxContent>
                <w:p w14:paraId="6579417E">
                  <w:pPr>
                    <w:pStyle w:val="2"/>
                    <w:spacing w:before="20" w:line="296" w:lineRule="auto"/>
                    <w:ind w:left="48" w:right="20" w:hanging="28"/>
                    <w:rPr>
                      <w:sz w:val="22"/>
                      <w:szCs w:val="22"/>
                    </w:rPr>
                  </w:pPr>
                  <w:r>
                    <w:rPr>
                      <w:position w:val="-9"/>
                      <w:sz w:val="22"/>
                      <w:szCs w:val="22"/>
                    </w:rPr>
                    <w:drawing>
                      <wp:inline distT="0" distB="0" distL="0" distR="0">
                        <wp:extent cx="457200" cy="241300"/>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226"/>
                                <a:stretch>
                                  <a:fillRect/>
                                </a:stretch>
                              </pic:blipFill>
                              <pic:spPr>
                                <a:xfrm>
                                  <a:off x="0" y="0"/>
                                  <a:ext cx="457200" cy="241401"/>
                                </a:xfrm>
                                <a:prstGeom prst="rect">
                                  <a:avLst/>
                                </a:prstGeom>
                              </pic:spPr>
                            </pic:pic>
                          </a:graphicData>
                        </a:graphic>
                      </wp:inline>
                    </w:drawing>
                  </w:r>
                  <w:r>
                    <w:rPr>
                      <w:spacing w:val="38"/>
                      <w:sz w:val="22"/>
                      <w:szCs w:val="22"/>
                    </w:rPr>
                    <w:t xml:space="preserve">  </w:t>
                  </w:r>
                  <w:r>
                    <w:rPr>
                      <w:spacing w:val="-2"/>
                      <w:sz w:val="22"/>
                      <w:szCs w:val="22"/>
                    </w:rPr>
                    <w:t>重点防渗区</w:t>
                  </w:r>
                  <w:r>
                    <w:rPr>
                      <w:spacing w:val="1"/>
                      <w:sz w:val="22"/>
                      <w:szCs w:val="22"/>
                    </w:rPr>
                    <w:t xml:space="preserve"> </w:t>
                  </w:r>
                  <w:r>
                    <w:rPr>
                      <w:position w:val="-7"/>
                      <w:sz w:val="22"/>
                      <w:szCs w:val="22"/>
                    </w:rPr>
                    <w:drawing>
                      <wp:inline distT="0" distB="0" distL="0" distR="0">
                        <wp:extent cx="439420" cy="223520"/>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227"/>
                                <a:stretch>
                                  <a:fillRect/>
                                </a:stretch>
                              </pic:blipFill>
                              <pic:spPr>
                                <a:xfrm>
                                  <a:off x="0" y="0"/>
                                  <a:ext cx="439420" cy="223621"/>
                                </a:xfrm>
                                <a:prstGeom prst="rect">
                                  <a:avLst/>
                                </a:prstGeom>
                              </pic:spPr>
                            </pic:pic>
                          </a:graphicData>
                        </a:graphic>
                      </wp:inline>
                    </w:drawing>
                  </w:r>
                  <w:r>
                    <w:rPr>
                      <w:spacing w:val="40"/>
                      <w:sz w:val="22"/>
                      <w:szCs w:val="22"/>
                    </w:rPr>
                    <w:t xml:space="preserve">  </w:t>
                  </w:r>
                  <w:r>
                    <w:rPr>
                      <w:spacing w:val="-3"/>
                      <w:sz w:val="22"/>
                      <w:szCs w:val="22"/>
                    </w:rPr>
                    <w:t>一般防渗区</w:t>
                  </w:r>
                </w:p>
              </w:txbxContent>
            </v:textbox>
          </v:shape>
        </w:pict>
      </w:r>
      <w:r>
        <w:pict>
          <v:shape id="_x0000_s1145" o:spid="_x0000_s1145" o:spt="202" type="#_x0000_t202" style="position:absolute;left:0pt;margin-left:340.9pt;margin-top:81.25pt;height:15.1pt;width:56.45pt;z-index:251741184;mso-width-relative:page;mso-height-relative:page;" filled="f" stroked="f" coordsize="21600,21600">
            <v:path/>
            <v:fill on="f" focussize="0,0"/>
            <v:stroke on="f"/>
            <v:imagedata o:title=""/>
            <o:lock v:ext="edit" aspectratio="f"/>
            <v:textbox inset="0mm,0mm,0mm,0mm">
              <w:txbxContent>
                <w:p w14:paraId="4294905E">
                  <w:pPr>
                    <w:pStyle w:val="2"/>
                    <w:spacing w:before="20" w:line="219" w:lineRule="auto"/>
                    <w:ind w:left="20"/>
                    <w:rPr>
                      <w:sz w:val="22"/>
                      <w:szCs w:val="22"/>
                    </w:rPr>
                  </w:pPr>
                  <w:r>
                    <w:rPr>
                      <w:spacing w:val="-3"/>
                      <w:sz w:val="22"/>
                      <w:szCs w:val="22"/>
                    </w:rPr>
                    <w:t>简单防渗区</w:t>
                  </w:r>
                </w:p>
              </w:txbxContent>
            </v:textbox>
          </v:shape>
        </w:pict>
      </w:r>
      <w:r>
        <w:drawing>
          <wp:anchor distT="0" distB="0" distL="0" distR="0" simplePos="0" relativeHeight="251740160" behindDoc="0" locked="0" layoutInCell="1" allowOverlap="1">
            <wp:simplePos x="0" y="0"/>
            <wp:positionH relativeFrom="column">
              <wp:posOffset>3712845</wp:posOffset>
            </wp:positionH>
            <wp:positionV relativeFrom="paragraph">
              <wp:posOffset>991870</wp:posOffset>
            </wp:positionV>
            <wp:extent cx="439420" cy="223520"/>
            <wp:effectExtent l="0" t="0" r="0" b="0"/>
            <wp:wrapNone/>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228"/>
                    <a:stretch>
                      <a:fillRect/>
                    </a:stretch>
                  </pic:blipFill>
                  <pic:spPr>
                    <a:xfrm>
                      <a:off x="0" y="0"/>
                      <a:ext cx="439216" cy="223519"/>
                    </a:xfrm>
                    <a:prstGeom prst="rect">
                      <a:avLst/>
                    </a:prstGeom>
                  </pic:spPr>
                </pic:pic>
              </a:graphicData>
            </a:graphic>
          </wp:anchor>
        </w:drawing>
      </w:r>
      <w:r>
        <w:rPr>
          <w:b/>
          <w:bCs/>
          <w:spacing w:val="-19"/>
        </w:rPr>
        <w:t>图</w:t>
      </w:r>
      <w:r>
        <w:rPr>
          <w:spacing w:val="4"/>
        </w:rPr>
        <w:t xml:space="preserve">  </w:t>
      </w:r>
      <w:r>
        <w:rPr>
          <w:b/>
          <w:bCs/>
          <w:spacing w:val="-19"/>
        </w:rPr>
        <w:t>例</w:t>
      </w:r>
    </w:p>
    <w:p w14:paraId="2DA92F24">
      <w:pPr>
        <w:spacing w:before="31"/>
      </w:pPr>
    </w:p>
    <w:tbl>
      <w:tblPr>
        <w:tblStyle w:val="5"/>
        <w:tblW w:w="4055" w:type="dxa"/>
        <w:tblInd w:w="609"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4055"/>
      </w:tblGrid>
      <w:tr w14:paraId="3138E64B">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733" w:hRule="atLeast"/>
        </w:trPr>
        <w:tc>
          <w:tcPr>
            <w:tcW w:w="4055" w:type="dxa"/>
            <w:vAlign w:val="top"/>
          </w:tcPr>
          <w:p w14:paraId="1D7258AC">
            <w:pPr>
              <w:pStyle w:val="6"/>
              <w:spacing w:before="262" w:line="228" w:lineRule="auto"/>
              <w:ind w:left="1709"/>
              <w:rPr>
                <w:sz w:val="20"/>
                <w:szCs w:val="20"/>
              </w:rPr>
            </w:pPr>
            <w:r>
              <w:rPr>
                <w:spacing w:val="6"/>
                <w:sz w:val="20"/>
                <w:szCs w:val="20"/>
              </w:rPr>
              <w:t>值班房</w:t>
            </w:r>
          </w:p>
        </w:tc>
      </w:tr>
    </w:tbl>
    <w:p w14:paraId="50894A44">
      <w:pPr>
        <w:spacing w:line="53" w:lineRule="exact"/>
      </w:pPr>
    </w:p>
    <w:tbl>
      <w:tblPr>
        <w:tblStyle w:val="5"/>
        <w:tblW w:w="4040" w:type="dxa"/>
        <w:tblInd w:w="603"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4040"/>
      </w:tblGrid>
      <w:tr w14:paraId="36EEB035">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559" w:hRule="atLeast"/>
        </w:trPr>
        <w:tc>
          <w:tcPr>
            <w:tcW w:w="4040" w:type="dxa"/>
            <w:vAlign w:val="top"/>
          </w:tcPr>
          <w:p w14:paraId="7C066D29">
            <w:pPr>
              <w:pStyle w:val="6"/>
              <w:spacing w:before="176" w:line="228" w:lineRule="auto"/>
              <w:ind w:left="1702"/>
              <w:rPr>
                <w:sz w:val="20"/>
                <w:szCs w:val="20"/>
              </w:rPr>
            </w:pPr>
            <w:r>
              <w:rPr>
                <w:spacing w:val="6"/>
                <w:sz w:val="20"/>
                <w:szCs w:val="20"/>
              </w:rPr>
              <w:t>生活区</w:t>
            </w:r>
          </w:p>
        </w:tc>
      </w:tr>
    </w:tbl>
    <w:p w14:paraId="2FEF03CF">
      <w:pPr>
        <w:pStyle w:val="2"/>
        <w:spacing w:before="174" w:line="219" w:lineRule="auto"/>
        <w:ind w:left="2379"/>
      </w:pPr>
      <w:r>
        <w:rPr>
          <w:b/>
          <w:bCs/>
          <w:spacing w:val="-4"/>
        </w:rPr>
        <w:t>附图</w:t>
      </w:r>
      <w:r>
        <w:rPr>
          <w:spacing w:val="-41"/>
        </w:rPr>
        <w:t xml:space="preserve"> </w:t>
      </w:r>
      <w:r>
        <w:rPr>
          <w:rFonts w:ascii="Times New Roman" w:hAnsi="Times New Roman" w:eastAsia="Times New Roman" w:cs="Times New Roman"/>
          <w:b/>
          <w:bCs/>
          <w:spacing w:val="-4"/>
        </w:rPr>
        <w:t xml:space="preserve">6-2  </w:t>
      </w:r>
      <w:r>
        <w:rPr>
          <w:b/>
          <w:bCs/>
          <w:spacing w:val="-4"/>
        </w:rPr>
        <w:t>试采阶段井场平面布置图</w:t>
      </w:r>
    </w:p>
    <w:p w14:paraId="0EAF66CC">
      <w:pPr>
        <w:spacing w:line="219" w:lineRule="auto"/>
        <w:sectPr>
          <w:headerReference r:id="rId127" w:type="default"/>
          <w:pgSz w:w="11906" w:h="16839"/>
          <w:pgMar w:top="400" w:right="1785" w:bottom="400" w:left="1785" w:header="0" w:footer="0" w:gutter="0"/>
          <w:cols w:space="720" w:num="1"/>
        </w:sectPr>
      </w:pPr>
    </w:p>
    <w:p w14:paraId="7770D187">
      <w:pPr>
        <w:spacing w:line="248" w:lineRule="auto"/>
        <w:rPr>
          <w:rFonts w:ascii="Arial"/>
          <w:sz w:val="21"/>
        </w:rPr>
      </w:pPr>
    </w:p>
    <w:p w14:paraId="72890F2F">
      <w:pPr>
        <w:spacing w:line="248" w:lineRule="auto"/>
        <w:rPr>
          <w:rFonts w:ascii="Arial"/>
          <w:sz w:val="21"/>
        </w:rPr>
      </w:pPr>
    </w:p>
    <w:p w14:paraId="68EC645D">
      <w:pPr>
        <w:spacing w:line="248" w:lineRule="auto"/>
        <w:rPr>
          <w:rFonts w:ascii="Arial"/>
          <w:sz w:val="21"/>
        </w:rPr>
      </w:pPr>
    </w:p>
    <w:p w14:paraId="0DEEB517">
      <w:pPr>
        <w:spacing w:line="248" w:lineRule="auto"/>
        <w:rPr>
          <w:rFonts w:ascii="Arial"/>
          <w:sz w:val="21"/>
        </w:rPr>
      </w:pPr>
    </w:p>
    <w:p w14:paraId="76DD955B">
      <w:pPr>
        <w:spacing w:line="248" w:lineRule="auto"/>
        <w:rPr>
          <w:rFonts w:ascii="Arial"/>
          <w:sz w:val="21"/>
        </w:rPr>
      </w:pPr>
    </w:p>
    <w:p w14:paraId="5DDCF838">
      <w:pPr>
        <w:pStyle w:val="2"/>
        <w:spacing w:line="1847" w:lineRule="exact"/>
        <w:ind w:firstLine="1896"/>
      </w:pPr>
      <w:r>
        <w:pict>
          <v:shape id="_x0000_s1146" o:spid="_x0000_s1146" o:spt="202" type="#_x0000_t202" style="position:absolute;left:0pt;margin-left:18.2pt;margin-top:5.25pt;height:11.2pt;width:9.4pt;z-index:251751424;mso-width-relative:page;mso-height-relative:page;" filled="f" stroked="f" coordsize="21600,21600">
            <v:path/>
            <v:fill on="f" focussize="0,0"/>
            <v:stroke on="f"/>
            <v:imagedata o:title=""/>
            <o:lock v:ext="edit" aspectratio="f"/>
            <v:textbox inset="0mm,0mm,0mm,0mm">
              <w:txbxContent>
                <w:p w14:paraId="5CAD6C95">
                  <w:pPr>
                    <w:spacing w:before="19" w:line="192" w:lineRule="auto"/>
                    <w:ind w:left="20"/>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N</w:t>
                  </w:r>
                </w:p>
              </w:txbxContent>
            </v:textbox>
          </v:shape>
        </w:pict>
      </w:r>
      <w:r>
        <w:drawing>
          <wp:anchor distT="0" distB="0" distL="0" distR="0" simplePos="0" relativeHeight="251750400" behindDoc="0" locked="0" layoutInCell="1" allowOverlap="1">
            <wp:simplePos x="0" y="0"/>
            <wp:positionH relativeFrom="column">
              <wp:posOffset>83185</wp:posOffset>
            </wp:positionH>
            <wp:positionV relativeFrom="paragraph">
              <wp:posOffset>226060</wp:posOffset>
            </wp:positionV>
            <wp:extent cx="467995" cy="705485"/>
            <wp:effectExtent l="0" t="0" r="0" b="0"/>
            <wp:wrapNone/>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216"/>
                    <a:stretch>
                      <a:fillRect/>
                    </a:stretch>
                  </pic:blipFill>
                  <pic:spPr>
                    <a:xfrm>
                      <a:off x="0" y="0"/>
                      <a:ext cx="467867" cy="705611"/>
                    </a:xfrm>
                    <a:prstGeom prst="rect">
                      <a:avLst/>
                    </a:prstGeom>
                  </pic:spPr>
                </pic:pic>
              </a:graphicData>
            </a:graphic>
          </wp:anchor>
        </w:drawing>
      </w:r>
      <w:r>
        <w:rPr>
          <w:position w:val="-36"/>
        </w:rPr>
        <w:pict>
          <v:group id="_x0000_s1147" o:spid="_x0000_s1147" o:spt="203" style="height:92.4pt;width:309.2pt;" coordsize="6184,1848">
            <o:lock v:ext="edit"/>
            <v:shape id="_x0000_s1148" o:spid="_x0000_s1148" o:spt="75" type="#_x0000_t75" style="position:absolute;left:0;top:0;height:1848;width:6184;" filled="f" stroked="f" coordsize="21600,21600">
              <v:path/>
              <v:fill on="f" focussize="0,0"/>
              <v:stroke on="f"/>
              <v:imagedata r:id="rId229" o:title=""/>
              <o:lock v:ext="edit" aspectratio="t"/>
            </v:shape>
            <v:shape id="_x0000_s1149" o:spid="_x0000_s1149" o:spt="202" type="#_x0000_t202" style="position:absolute;left:2907;top:118;height:1185;width:3136;" filled="f" stroked="f" coordsize="21600,21600">
              <v:path/>
              <v:fill on="f" focussize="0,0"/>
              <v:stroke on="f"/>
              <v:imagedata o:title=""/>
              <o:lock v:ext="edit" aspectratio="f"/>
              <v:textbox inset="0mm,0mm,0mm,0mm">
                <w:txbxContent>
                  <w:p w14:paraId="4B9E11DD">
                    <w:pPr>
                      <w:spacing w:before="19" w:line="228" w:lineRule="auto"/>
                      <w:ind w:left="1042"/>
                      <w:rPr>
                        <w:rFonts w:ascii="宋体" w:hAnsi="宋体" w:eastAsia="宋体" w:cs="宋体"/>
                        <w:sz w:val="20"/>
                        <w:szCs w:val="20"/>
                      </w:rPr>
                    </w:pPr>
                    <w:r>
                      <w:rPr>
                        <w:rFonts w:ascii="宋体" w:hAnsi="宋体" w:eastAsia="宋体" w:cs="宋体"/>
                        <w:b/>
                        <w:bCs/>
                        <w:spacing w:val="6"/>
                        <w:sz w:val="20"/>
                        <w:szCs w:val="20"/>
                      </w:rPr>
                      <w:t>表土堆存区</w:t>
                    </w:r>
                  </w:p>
                  <w:p w14:paraId="076E29E5">
                    <w:pPr>
                      <w:spacing w:before="65" w:line="228" w:lineRule="auto"/>
                      <w:ind w:left="20"/>
                      <w:rPr>
                        <w:rFonts w:ascii="宋体" w:hAnsi="宋体" w:eastAsia="宋体" w:cs="宋体"/>
                        <w:sz w:val="20"/>
                        <w:szCs w:val="20"/>
                      </w:rPr>
                    </w:pPr>
                    <w:r>
                      <w:rPr>
                        <w:rFonts w:ascii="宋体" w:hAnsi="宋体" w:eastAsia="宋体" w:cs="宋体"/>
                        <w:spacing w:val="6"/>
                        <w:sz w:val="20"/>
                        <w:szCs w:val="20"/>
                      </w:rPr>
                      <w:t>生态保护措施：</w:t>
                    </w:r>
                  </w:p>
                  <w:p w14:paraId="0EAC9FDB">
                    <w:pPr>
                      <w:spacing w:before="64" w:line="228" w:lineRule="auto"/>
                      <w:ind w:left="20"/>
                      <w:rPr>
                        <w:rFonts w:ascii="宋体" w:hAnsi="宋体" w:eastAsia="宋体" w:cs="宋体"/>
                        <w:sz w:val="20"/>
                        <w:szCs w:val="20"/>
                      </w:rPr>
                    </w:pPr>
                    <w:r>
                      <w:rPr>
                        <w:rFonts w:ascii="宋体" w:hAnsi="宋体" w:eastAsia="宋体" w:cs="宋体"/>
                        <w:spacing w:val="8"/>
                        <w:sz w:val="20"/>
                        <w:szCs w:val="20"/>
                      </w:rPr>
                      <w:t>工程措施：设置围挡</w:t>
                    </w:r>
                  </w:p>
                  <w:p w14:paraId="4C5AA9FD">
                    <w:pPr>
                      <w:spacing w:before="64" w:line="228" w:lineRule="auto"/>
                      <w:ind w:left="29"/>
                      <w:rPr>
                        <w:rFonts w:ascii="宋体" w:hAnsi="宋体" w:eastAsia="宋体" w:cs="宋体"/>
                        <w:sz w:val="20"/>
                        <w:szCs w:val="20"/>
                      </w:rPr>
                    </w:pPr>
                    <w:r>
                      <w:rPr>
                        <w:rFonts w:ascii="宋体" w:hAnsi="宋体" w:eastAsia="宋体" w:cs="宋体"/>
                        <w:spacing w:val="5"/>
                        <w:sz w:val="20"/>
                        <w:szCs w:val="20"/>
                      </w:rPr>
                      <w:t>临时措施：苫盖防尘网，定期洒水</w:t>
                    </w:r>
                  </w:p>
                </w:txbxContent>
              </v:textbox>
            </v:shape>
            <v:shape id="_x0000_s1150" o:spid="_x0000_s1150" o:spt="202" type="#_x0000_t202" style="position:absolute;left:148;top:569;height:1185;width:2076;" filled="f" stroked="f" coordsize="21600,21600">
              <v:path/>
              <v:fill on="f" focussize="0,0"/>
              <v:stroke on="f"/>
              <v:imagedata o:title=""/>
              <o:lock v:ext="edit" aspectratio="f"/>
              <v:textbox inset="0mm,0mm,0mm,0mm">
                <w:txbxContent>
                  <w:p w14:paraId="250B9169">
                    <w:pPr>
                      <w:spacing w:before="19" w:line="228" w:lineRule="auto"/>
                      <w:ind w:left="30"/>
                      <w:rPr>
                        <w:rFonts w:ascii="宋体" w:hAnsi="宋体" w:eastAsia="宋体" w:cs="宋体"/>
                        <w:sz w:val="20"/>
                        <w:szCs w:val="20"/>
                      </w:rPr>
                    </w:pPr>
                    <w:r>
                      <w:rPr>
                        <w:rFonts w:ascii="宋体" w:hAnsi="宋体" w:eastAsia="宋体" w:cs="宋体"/>
                        <w:spacing w:val="6"/>
                        <w:sz w:val="20"/>
                        <w:szCs w:val="20"/>
                      </w:rPr>
                      <w:t>临时占地恢复措施：</w:t>
                    </w:r>
                  </w:p>
                  <w:p w14:paraId="7E8A4852">
                    <w:pPr>
                      <w:spacing w:before="65" w:line="228" w:lineRule="auto"/>
                      <w:jc w:val="right"/>
                      <w:rPr>
                        <w:rFonts w:ascii="宋体" w:hAnsi="宋体" w:eastAsia="宋体" w:cs="宋体"/>
                        <w:sz w:val="20"/>
                        <w:szCs w:val="20"/>
                      </w:rPr>
                    </w:pPr>
                    <w:r>
                      <w:rPr>
                        <w:rFonts w:ascii="宋体" w:hAnsi="宋体" w:eastAsia="宋体" w:cs="宋体"/>
                        <w:spacing w:val="3"/>
                        <w:sz w:val="20"/>
                        <w:szCs w:val="20"/>
                      </w:rPr>
                      <w:t>工程措施：表土回覆；</w:t>
                    </w:r>
                  </w:p>
                  <w:p w14:paraId="5808B1D8">
                    <w:pPr>
                      <w:spacing w:before="64" w:line="267" w:lineRule="auto"/>
                      <w:ind w:left="29" w:right="36" w:hanging="9"/>
                      <w:rPr>
                        <w:rFonts w:ascii="宋体" w:hAnsi="宋体" w:eastAsia="宋体" w:cs="宋体"/>
                        <w:sz w:val="20"/>
                        <w:szCs w:val="20"/>
                      </w:rPr>
                    </w:pPr>
                    <w:r>
                      <w:rPr>
                        <w:rFonts w:ascii="宋体" w:hAnsi="宋体" w:eastAsia="宋体" w:cs="宋体"/>
                        <w:spacing w:val="18"/>
                        <w:sz w:val="20"/>
                        <w:szCs w:val="20"/>
                      </w:rPr>
                      <w:t>植物措施：</w:t>
                    </w:r>
                    <w:r>
                      <w:rPr>
                        <w:rFonts w:ascii="宋体" w:hAnsi="宋体" w:eastAsia="宋体" w:cs="宋体"/>
                        <w:spacing w:val="-44"/>
                        <w:sz w:val="20"/>
                        <w:szCs w:val="20"/>
                      </w:rPr>
                      <w:t xml:space="preserve"> </w:t>
                    </w:r>
                    <w:r>
                      <w:rPr>
                        <w:rFonts w:ascii="宋体" w:hAnsi="宋体" w:eastAsia="宋体" w:cs="宋体"/>
                        <w:spacing w:val="18"/>
                        <w:sz w:val="20"/>
                        <w:szCs w:val="20"/>
                      </w:rPr>
                      <w:t>翻耕复垦</w:t>
                    </w:r>
                    <w:r>
                      <w:rPr>
                        <w:rFonts w:ascii="宋体" w:hAnsi="宋体" w:eastAsia="宋体" w:cs="宋体"/>
                        <w:spacing w:val="5"/>
                        <w:sz w:val="20"/>
                        <w:szCs w:val="20"/>
                      </w:rPr>
                      <w:t>（当季农作物）</w:t>
                    </w:r>
                  </w:p>
                </w:txbxContent>
              </v:textbox>
            </v:shape>
            <w10:wrap type="none"/>
            <w10:anchorlock/>
          </v:group>
        </w:pict>
      </w:r>
    </w:p>
    <w:p w14:paraId="7AADBCA4">
      <w:pPr>
        <w:spacing w:line="321" w:lineRule="auto"/>
        <w:rPr>
          <w:rFonts w:ascii="Arial"/>
          <w:sz w:val="21"/>
        </w:rPr>
      </w:pPr>
      <w:r>
        <w:pict>
          <v:shape id="_x0000_s1151" o:spid="_x0000_s1151" o:spt="202" type="#_x0000_t202" style="position:absolute;left:0pt;margin-left:72.9pt;margin-top:6.35pt;height:431.15pt;width:279.25pt;z-index:-251572224;mso-width-relative:page;mso-height-relative:page;" filled="f" stroked="f" coordsize="21600,21600">
            <v:path/>
            <v:fill on="f" focussize="0,0"/>
            <v:stroke on="f"/>
            <v:imagedata o:title=""/>
            <o:lock v:ext="edit" aspectratio="f"/>
            <v:textbox inset="0mm,0mm,0mm,0mm">
              <w:txbxContent>
                <w:p w14:paraId="314292B0">
                  <w:pPr>
                    <w:spacing w:line="20" w:lineRule="exact"/>
                  </w:pPr>
                </w:p>
                <w:tbl>
                  <w:tblPr>
                    <w:tblStyle w:val="5"/>
                    <w:tblW w:w="5540" w:type="dxa"/>
                    <w:tblInd w:w="2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5540"/>
                  </w:tblGrid>
                  <w:tr w14:paraId="7249B23D">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8572" w:hRule="atLeast"/>
                    </w:trPr>
                    <w:tc>
                      <w:tcPr>
                        <w:tcW w:w="5540" w:type="dxa"/>
                        <w:vAlign w:val="top"/>
                      </w:tcPr>
                      <w:p w14:paraId="54F51C54">
                        <w:pPr>
                          <w:spacing w:line="8562" w:lineRule="exact"/>
                          <w:ind w:firstLine="2"/>
                        </w:pPr>
                        <w:r>
                          <w:rPr>
                            <w:position w:val="-171"/>
                          </w:rPr>
                          <w:drawing>
                            <wp:inline distT="0" distB="0" distL="0" distR="0">
                              <wp:extent cx="3512820" cy="5436870"/>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230"/>
                                      <a:stretch>
                                        <a:fillRect/>
                                      </a:stretch>
                                    </pic:blipFill>
                                    <pic:spPr>
                                      <a:xfrm>
                                        <a:off x="0" y="0"/>
                                        <a:ext cx="3512820" cy="5436870"/>
                                      </a:xfrm>
                                      <a:prstGeom prst="rect">
                                        <a:avLst/>
                                      </a:prstGeom>
                                    </pic:spPr>
                                  </pic:pic>
                                </a:graphicData>
                              </a:graphic>
                            </wp:inline>
                          </w:drawing>
                        </w:r>
                      </w:p>
                    </w:tc>
                  </w:tr>
                </w:tbl>
                <w:p w14:paraId="5FE85D84">
                  <w:pPr>
                    <w:rPr>
                      <w:rFonts w:ascii="Arial"/>
                      <w:sz w:val="21"/>
                    </w:rPr>
                  </w:pPr>
                </w:p>
              </w:txbxContent>
            </v:textbox>
          </v:shape>
        </w:pict>
      </w:r>
      <w:r>
        <w:pict>
          <v:shape id="_x0000_s1152" o:spid="_x0000_s1152" o:spt="202" type="#_x0000_t202" style="position:absolute;left:0pt;margin-left:14.8pt;margin-top:12.5pt;height:96.95pt;width:34.4pt;z-index:251747328;mso-width-relative:page;mso-height-relative:page;" filled="f" stroked="f" coordsize="21600,21600">
            <v:path/>
            <v:fill on="f" focussize="0,0"/>
            <v:stroke on="f"/>
            <v:imagedata o:title=""/>
            <o:lock v:ext="edit" aspectratio="f"/>
            <v:textbox inset="0mm,0mm,0mm,0mm">
              <w:txbxContent>
                <w:p w14:paraId="0A98F287">
                  <w:pPr>
                    <w:spacing w:line="20" w:lineRule="exact"/>
                  </w:pPr>
                </w:p>
                <w:tbl>
                  <w:tblPr>
                    <w:tblStyle w:val="5"/>
                    <w:tblW w:w="622"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622"/>
                  </w:tblGrid>
                  <w:tr w14:paraId="52E7B731">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1848" w:hRule="atLeast"/>
                    </w:trPr>
                    <w:tc>
                      <w:tcPr>
                        <w:tcW w:w="622" w:type="dxa"/>
                        <w:textDirection w:val="tbRlV"/>
                        <w:vAlign w:val="top"/>
                      </w:tcPr>
                      <w:p w14:paraId="579DB669">
                        <w:pPr>
                          <w:pStyle w:val="6"/>
                          <w:spacing w:before="195" w:line="216" w:lineRule="auto"/>
                          <w:ind w:left="113"/>
                          <w:rPr>
                            <w:sz w:val="20"/>
                            <w:szCs w:val="20"/>
                          </w:rPr>
                        </w:pPr>
                        <w:r>
                          <w:rPr>
                            <w:spacing w:val="6"/>
                            <w:sz w:val="20"/>
                            <w:szCs w:val="20"/>
                          </w:rPr>
                          <w:t>危 废 贮 存 点</w:t>
                        </w:r>
                      </w:p>
                    </w:tc>
                  </w:tr>
                </w:tbl>
                <w:p w14:paraId="70F7081B">
                  <w:pPr>
                    <w:rPr>
                      <w:rFonts w:ascii="Arial"/>
                      <w:sz w:val="21"/>
                    </w:rPr>
                  </w:pPr>
                </w:p>
              </w:txbxContent>
            </v:textbox>
          </v:shape>
        </w:pict>
      </w:r>
    </w:p>
    <w:p w14:paraId="4969B6D1">
      <w:pPr>
        <w:spacing w:line="321" w:lineRule="auto"/>
        <w:rPr>
          <w:rFonts w:ascii="Arial"/>
          <w:sz w:val="21"/>
        </w:rPr>
      </w:pPr>
    </w:p>
    <w:p w14:paraId="068A6E6B">
      <w:pPr>
        <w:pStyle w:val="2"/>
        <w:spacing w:line="3915" w:lineRule="exact"/>
        <w:ind w:firstLine="7471"/>
      </w:pPr>
      <w:r>
        <w:pict>
          <v:shape id="_x0000_s1153" o:spid="_x0000_s1153" o:spt="202" type="#_x0000_t202" style="position:absolute;left:0pt;margin-left:14.85pt;margin-top:79.65pt;height:74.2pt;width:34.4pt;z-index:251748352;mso-width-relative:page;mso-height-relative:page;" filled="f" stroked="f" coordsize="21600,21600">
            <v:path/>
            <v:fill on="f" focussize="0,0"/>
            <v:stroke on="f"/>
            <v:imagedata o:title=""/>
            <o:lock v:ext="edit" aspectratio="f"/>
            <v:textbox inset="0mm,0mm,0mm,0mm">
              <w:txbxContent>
                <w:p w14:paraId="1EB2A471">
                  <w:pPr>
                    <w:spacing w:line="20" w:lineRule="exact"/>
                  </w:pPr>
                </w:p>
                <w:tbl>
                  <w:tblPr>
                    <w:tblStyle w:val="5"/>
                    <w:tblW w:w="622"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622"/>
                  </w:tblGrid>
                  <w:tr w14:paraId="7BB1545D">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1393" w:hRule="atLeast"/>
                    </w:trPr>
                    <w:tc>
                      <w:tcPr>
                        <w:tcW w:w="622" w:type="dxa"/>
                        <w:textDirection w:val="tbRlV"/>
                        <w:vAlign w:val="top"/>
                      </w:tcPr>
                      <w:p w14:paraId="3CB503FD">
                        <w:pPr>
                          <w:pStyle w:val="6"/>
                          <w:spacing w:before="195" w:line="216" w:lineRule="auto"/>
                          <w:ind w:left="113"/>
                          <w:rPr>
                            <w:sz w:val="20"/>
                            <w:szCs w:val="20"/>
                          </w:rPr>
                        </w:pPr>
                        <w:r>
                          <w:rPr>
                            <w:spacing w:val="6"/>
                            <w:sz w:val="20"/>
                            <w:szCs w:val="20"/>
                          </w:rPr>
                          <w:t>柴 油 罐 区</w:t>
                        </w:r>
                      </w:p>
                    </w:tc>
                  </w:tr>
                </w:tbl>
                <w:p w14:paraId="0559C8B3">
                  <w:pPr>
                    <w:rPr>
                      <w:rFonts w:ascii="Arial"/>
                      <w:sz w:val="21"/>
                    </w:rPr>
                  </w:pPr>
                </w:p>
              </w:txbxContent>
            </v:textbox>
          </v:shape>
        </w:pict>
      </w:r>
      <w:r>
        <w:pict>
          <v:shape id="_x0000_s1154" o:spid="_x0000_s1154" o:spt="202" type="#_x0000_t202" style="position:absolute;left:0pt;margin-left:14.05pt;margin-top:159.55pt;height:74.2pt;width:34.4pt;z-index:251749376;mso-width-relative:page;mso-height-relative:page;" filled="f" stroked="f" coordsize="21600,21600">
            <v:path/>
            <v:fill on="f" focussize="0,0"/>
            <v:stroke on="f"/>
            <v:imagedata o:title=""/>
            <o:lock v:ext="edit" aspectratio="f"/>
            <v:textbox inset="0mm,0mm,0mm,0mm">
              <w:txbxContent>
                <w:p w14:paraId="5AACC394">
                  <w:pPr>
                    <w:spacing w:line="20" w:lineRule="exact"/>
                  </w:pPr>
                </w:p>
                <w:tbl>
                  <w:tblPr>
                    <w:tblStyle w:val="5"/>
                    <w:tblW w:w="624" w:type="dxa"/>
                    <w:tblInd w:w="30" w:type="dxa"/>
                    <w:tblBorders>
                      <w:top w:val="single" w:color="000000" w:sz="10" w:space="0"/>
                      <w:left w:val="single" w:color="000000" w:sz="8"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624"/>
                  </w:tblGrid>
                  <w:tr w14:paraId="23F297FC">
                    <w:tblPrEx>
                      <w:tblBorders>
                        <w:top w:val="single" w:color="000000" w:sz="10" w:space="0"/>
                        <w:left w:val="single" w:color="000000" w:sz="8"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1393" w:hRule="atLeast"/>
                    </w:trPr>
                    <w:tc>
                      <w:tcPr>
                        <w:tcW w:w="624" w:type="dxa"/>
                        <w:textDirection w:val="tbRlV"/>
                        <w:vAlign w:val="top"/>
                      </w:tcPr>
                      <w:p w14:paraId="082CA9FD">
                        <w:pPr>
                          <w:pStyle w:val="6"/>
                          <w:spacing w:before="193" w:line="215" w:lineRule="auto"/>
                          <w:ind w:left="114"/>
                          <w:rPr>
                            <w:sz w:val="20"/>
                            <w:szCs w:val="20"/>
                          </w:rPr>
                        </w:pPr>
                        <w:r>
                          <w:rPr>
                            <w:spacing w:val="6"/>
                            <w:sz w:val="20"/>
                            <w:szCs w:val="20"/>
                          </w:rPr>
                          <w:t>材 料 区</w:t>
                        </w:r>
                      </w:p>
                    </w:tc>
                  </w:tr>
                </w:tbl>
                <w:p w14:paraId="34F7C374">
                  <w:pPr>
                    <w:rPr>
                      <w:rFonts w:ascii="Arial"/>
                      <w:sz w:val="21"/>
                    </w:rPr>
                  </w:pPr>
                </w:p>
              </w:txbxContent>
            </v:textbox>
          </v:shape>
        </w:pict>
      </w:r>
      <w:r>
        <w:rPr>
          <w:position w:val="-78"/>
        </w:rPr>
        <w:pict>
          <v:group id="_x0000_s1155" o:spid="_x0000_s1155" o:spt="203" style="height:195.75pt;width:28.95pt;" coordsize="579,3915">
            <o:lock v:ext="edit"/>
            <v:shape id="_x0000_s1156" o:spid="_x0000_s1156" o:spt="75" type="#_x0000_t75" style="position:absolute;left:0;top:0;height:3915;width:579;" filled="f" stroked="f" coordsize="21600,21600">
              <v:path/>
              <v:fill on="f" focussize="0,0"/>
              <v:stroke on="f"/>
              <v:imagedata r:id="rId231" o:title=""/>
              <o:lock v:ext="edit" aspectratio="t"/>
            </v:shape>
            <v:shape id="_x0000_s1157" o:spid="_x0000_s1157" o:spt="202" type="#_x0000_t202" style="position:absolute;left:-20;top:-20;height:3955;width:619;" filled="f" stroked="f" coordsize="21600,21600">
              <v:path/>
              <v:fill on="f" focussize="0,0"/>
              <v:stroke on="f"/>
              <v:imagedata o:title=""/>
              <o:lock v:ext="edit" aspectratio="f"/>
              <v:textbox inset="0mm,0mm,0mm,0mm" style="layout-flow:vertical-ideographic;">
                <w:txbxContent>
                  <w:p w14:paraId="2CBAA75C">
                    <w:pPr>
                      <w:spacing w:before="181" w:line="228" w:lineRule="auto"/>
                      <w:ind w:left="159"/>
                      <w:rPr>
                        <w:rFonts w:ascii="宋体" w:hAnsi="宋体" w:eastAsia="宋体" w:cs="宋体"/>
                        <w:sz w:val="20"/>
                        <w:szCs w:val="20"/>
                      </w:rPr>
                    </w:pPr>
                    <w:r>
                      <w:rPr>
                        <w:rFonts w:ascii="宋体" w:hAnsi="宋体" w:eastAsia="宋体" w:cs="宋体"/>
                        <w:spacing w:val="6"/>
                        <w:position w:val="1"/>
                        <w:sz w:val="20"/>
                        <w:szCs w:val="20"/>
                      </w:rPr>
                      <w:t>仪 器 房</w:t>
                    </w:r>
                    <w:r>
                      <w:rPr>
                        <w:rFonts w:ascii="宋体" w:hAnsi="宋体" w:eastAsia="宋体" w:cs="宋体"/>
                        <w:spacing w:val="20"/>
                        <w:position w:val="1"/>
                        <w:sz w:val="20"/>
                        <w:szCs w:val="20"/>
                      </w:rPr>
                      <w:t xml:space="preserve">   </w:t>
                    </w:r>
                    <w:r>
                      <w:rPr>
                        <w:rFonts w:ascii="宋体" w:hAnsi="宋体" w:eastAsia="宋体" w:cs="宋体"/>
                        <w:spacing w:val="6"/>
                        <w:position w:val="-1"/>
                        <w:sz w:val="20"/>
                        <w:szCs w:val="20"/>
                      </w:rPr>
                      <w:t>录 井 房</w:t>
                    </w:r>
                    <w:r>
                      <w:rPr>
                        <w:rFonts w:ascii="宋体" w:hAnsi="宋体" w:eastAsia="宋体" w:cs="宋体"/>
                        <w:spacing w:val="26"/>
                        <w:position w:val="-1"/>
                        <w:sz w:val="20"/>
                        <w:szCs w:val="20"/>
                      </w:rPr>
                      <w:t xml:space="preserve">   </w:t>
                    </w:r>
                    <w:r>
                      <w:rPr>
                        <w:rFonts w:ascii="宋体" w:hAnsi="宋体" w:eastAsia="宋体" w:cs="宋体"/>
                        <w:spacing w:val="6"/>
                        <w:sz w:val="20"/>
                        <w:szCs w:val="20"/>
                      </w:rPr>
                      <w:t>清 水 罐 区</w:t>
                    </w:r>
                  </w:p>
                </w:txbxContent>
              </v:textbox>
            </v:shape>
            <w10:wrap type="none"/>
            <w10:anchorlock/>
          </v:group>
        </w:pict>
      </w:r>
    </w:p>
    <w:p w14:paraId="33F662A2">
      <w:pPr>
        <w:spacing w:before="57"/>
      </w:pPr>
    </w:p>
    <w:p w14:paraId="5C371BF0">
      <w:pPr>
        <w:spacing w:before="56"/>
      </w:pPr>
    </w:p>
    <w:p w14:paraId="2C82E832">
      <w:pPr>
        <w:spacing w:before="56"/>
      </w:pPr>
    </w:p>
    <w:tbl>
      <w:tblPr>
        <w:tblStyle w:val="5"/>
        <w:tblW w:w="624" w:type="dxa"/>
        <w:tblInd w:w="298" w:type="dxa"/>
        <w:tblBorders>
          <w:top w:val="single" w:color="000000" w:sz="10" w:space="0"/>
          <w:left w:val="single" w:color="000000" w:sz="10" w:space="0"/>
          <w:bottom w:val="single" w:color="000000" w:sz="10"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624"/>
      </w:tblGrid>
      <w:tr w14:paraId="42EAD78A">
        <w:tblPrEx>
          <w:tblBorders>
            <w:top w:val="single" w:color="000000" w:sz="10" w:space="0"/>
            <w:left w:val="single" w:color="000000" w:sz="10" w:space="0"/>
            <w:bottom w:val="single" w:color="000000" w:sz="10"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1394" w:hRule="atLeast"/>
        </w:trPr>
        <w:tc>
          <w:tcPr>
            <w:tcW w:w="624" w:type="dxa"/>
            <w:textDirection w:val="tbRlV"/>
            <w:vAlign w:val="top"/>
          </w:tcPr>
          <w:p w14:paraId="2216D205">
            <w:pPr>
              <w:pStyle w:val="6"/>
              <w:spacing w:before="199" w:line="215" w:lineRule="auto"/>
              <w:ind w:left="114"/>
              <w:rPr>
                <w:sz w:val="20"/>
                <w:szCs w:val="20"/>
              </w:rPr>
            </w:pPr>
            <w:r>
              <w:drawing>
                <wp:anchor distT="0" distB="0" distL="0" distR="0" simplePos="0" relativeHeight="251743232" behindDoc="1" locked="0" layoutInCell="1" allowOverlap="1">
                  <wp:simplePos x="0" y="0"/>
                  <wp:positionH relativeFrom="column">
                    <wp:posOffset>-537210</wp:posOffset>
                  </wp:positionH>
                  <wp:positionV relativeFrom="paragraph">
                    <wp:posOffset>-4744085</wp:posOffset>
                  </wp:positionV>
                  <wp:extent cx="5208270" cy="8239125"/>
                  <wp:effectExtent l="0" t="0" r="0" b="0"/>
                  <wp:wrapNone/>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232"/>
                          <a:stretch>
                            <a:fillRect/>
                          </a:stretch>
                        </pic:blipFill>
                        <pic:spPr>
                          <a:xfrm>
                            <a:off x="0" y="0"/>
                            <a:ext cx="5208270" cy="8239125"/>
                          </a:xfrm>
                          <a:prstGeom prst="rect">
                            <a:avLst/>
                          </a:prstGeom>
                        </pic:spPr>
                      </pic:pic>
                    </a:graphicData>
                  </a:graphic>
                </wp:anchor>
              </w:drawing>
            </w:r>
            <w:r>
              <w:rPr>
                <w:spacing w:val="6"/>
                <w:sz w:val="20"/>
                <w:szCs w:val="20"/>
              </w:rPr>
              <w:t>材 料 区</w:t>
            </w:r>
          </w:p>
        </w:tc>
      </w:tr>
    </w:tbl>
    <w:p w14:paraId="6A6E2CF2">
      <w:pPr>
        <w:spacing w:line="243" w:lineRule="auto"/>
        <w:rPr>
          <w:rFonts w:ascii="Arial"/>
          <w:sz w:val="21"/>
        </w:rPr>
      </w:pPr>
    </w:p>
    <w:p w14:paraId="1C195AC0">
      <w:pPr>
        <w:spacing w:line="243" w:lineRule="auto"/>
        <w:rPr>
          <w:rFonts w:ascii="Arial"/>
          <w:sz w:val="21"/>
        </w:rPr>
      </w:pPr>
    </w:p>
    <w:p w14:paraId="0CBB47F7">
      <w:pPr>
        <w:spacing w:line="243" w:lineRule="auto"/>
        <w:rPr>
          <w:rFonts w:ascii="Arial"/>
          <w:sz w:val="21"/>
        </w:rPr>
      </w:pPr>
    </w:p>
    <w:p w14:paraId="01714DA1">
      <w:pPr>
        <w:spacing w:line="243" w:lineRule="auto"/>
        <w:rPr>
          <w:rFonts w:ascii="Arial"/>
          <w:sz w:val="21"/>
        </w:rPr>
      </w:pPr>
    </w:p>
    <w:p w14:paraId="432BCD81">
      <w:pPr>
        <w:spacing w:line="244" w:lineRule="auto"/>
        <w:rPr>
          <w:rFonts w:ascii="Arial"/>
          <w:sz w:val="21"/>
        </w:rPr>
      </w:pPr>
    </w:p>
    <w:p w14:paraId="0C4C5741">
      <w:pPr>
        <w:spacing w:line="244" w:lineRule="auto"/>
        <w:rPr>
          <w:rFonts w:ascii="Arial"/>
          <w:sz w:val="21"/>
        </w:rPr>
      </w:pPr>
    </w:p>
    <w:p w14:paraId="26E49D62">
      <w:pPr>
        <w:spacing w:line="244" w:lineRule="auto"/>
        <w:rPr>
          <w:rFonts w:ascii="Arial"/>
          <w:sz w:val="21"/>
        </w:rPr>
      </w:pPr>
    </w:p>
    <w:p w14:paraId="3ED7C2D5">
      <w:pPr>
        <w:pStyle w:val="2"/>
        <w:spacing w:line="1594" w:lineRule="exact"/>
        <w:ind w:firstLine="5631"/>
      </w:pPr>
      <w:r>
        <w:pict>
          <v:shape id="_x0000_s1158" o:spid="_x0000_s1158" o:spt="202" type="#_x0000_t202" style="position:absolute;left:0pt;margin-left:7.2pt;margin-top:48.25pt;height:32pt;width:205.9pt;z-index:251745280;mso-width-relative:page;mso-height-relative:page;" filled="f" stroked="f" coordsize="21600,21600">
            <v:path/>
            <v:fill on="f" focussize="0,0"/>
            <v:stroke on="f"/>
            <v:imagedata o:title=""/>
            <o:lock v:ext="edit" aspectratio="f"/>
            <v:textbox inset="0mm,0mm,0mm,0mm">
              <w:txbxContent>
                <w:p w14:paraId="49771168">
                  <w:pPr>
                    <w:spacing w:line="20" w:lineRule="exact"/>
                  </w:pPr>
                </w:p>
                <w:tbl>
                  <w:tblPr>
                    <w:tblStyle w:val="5"/>
                    <w:tblW w:w="4052"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4052"/>
                  </w:tblGrid>
                  <w:tr w14:paraId="0ED6570D">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550" w:hRule="atLeast"/>
                    </w:trPr>
                    <w:tc>
                      <w:tcPr>
                        <w:tcW w:w="4052" w:type="dxa"/>
                        <w:vAlign w:val="top"/>
                      </w:tcPr>
                      <w:p w14:paraId="0CC2A9AD">
                        <w:pPr>
                          <w:pStyle w:val="6"/>
                          <w:spacing w:before="170" w:line="228" w:lineRule="auto"/>
                          <w:ind w:left="1707"/>
                          <w:rPr>
                            <w:sz w:val="20"/>
                            <w:szCs w:val="20"/>
                          </w:rPr>
                        </w:pPr>
                        <w:r>
                          <w:rPr>
                            <w:spacing w:val="6"/>
                            <w:sz w:val="20"/>
                            <w:szCs w:val="20"/>
                          </w:rPr>
                          <w:t>值班房</w:t>
                        </w:r>
                      </w:p>
                    </w:tc>
                  </w:tr>
                </w:tbl>
                <w:p w14:paraId="3A6C43E8">
                  <w:pPr>
                    <w:rPr>
                      <w:rFonts w:ascii="Arial"/>
                      <w:sz w:val="21"/>
                    </w:rPr>
                  </w:pPr>
                </w:p>
              </w:txbxContent>
            </v:textbox>
          </v:shape>
        </w:pict>
      </w:r>
      <w:r>
        <w:pict>
          <v:shape id="_x0000_s1159" o:spid="_x0000_s1159" o:spt="202" type="#_x0000_t202" style="position:absolute;left:0pt;margin-left:214.3pt;margin-top:49.7pt;height:63.7pt;width:55.8pt;z-index:251746304;mso-width-relative:page;mso-height-relative:page;" filled="f" stroked="f" coordsize="21600,21600">
            <v:path/>
            <v:fill on="f" focussize="0,0"/>
            <v:stroke on="f"/>
            <v:imagedata o:title=""/>
            <o:lock v:ext="edit" aspectratio="f"/>
            <v:textbox inset="0mm,0mm,0mm,0mm">
              <w:txbxContent>
                <w:p w14:paraId="7DBE29DB">
                  <w:pPr>
                    <w:spacing w:line="20" w:lineRule="exact"/>
                  </w:pPr>
                </w:p>
                <w:tbl>
                  <w:tblPr>
                    <w:tblStyle w:val="5"/>
                    <w:tblW w:w="1065" w:type="dxa"/>
                    <w:tblInd w:w="2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1065"/>
                  </w:tblGrid>
                  <w:tr w14:paraId="1A7EB19D">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FFFFFF"/>
                      <w:tblCellMar>
                        <w:top w:w="0" w:type="dxa"/>
                        <w:left w:w="0" w:type="dxa"/>
                        <w:bottom w:w="0" w:type="dxa"/>
                        <w:right w:w="0" w:type="dxa"/>
                      </w:tblCellMar>
                    </w:tblPrEx>
                    <w:trPr>
                      <w:trHeight w:val="1213" w:hRule="atLeast"/>
                    </w:trPr>
                    <w:tc>
                      <w:tcPr>
                        <w:tcW w:w="1065" w:type="dxa"/>
                        <w:shd w:val="clear" w:color="auto" w:fill="FFFFFF"/>
                        <w:vAlign w:val="top"/>
                      </w:tcPr>
                      <w:p w14:paraId="1B5D5525">
                        <w:pPr>
                          <w:spacing w:line="434" w:lineRule="auto"/>
                          <w:rPr>
                            <w:rFonts w:ascii="Arial"/>
                            <w:sz w:val="21"/>
                          </w:rPr>
                        </w:pPr>
                      </w:p>
                      <w:p w14:paraId="35676015">
                        <w:pPr>
                          <w:pStyle w:val="6"/>
                          <w:spacing w:before="65" w:line="228" w:lineRule="auto"/>
                          <w:ind w:left="222"/>
                          <w:rPr>
                            <w:sz w:val="20"/>
                            <w:szCs w:val="20"/>
                          </w:rPr>
                        </w:pPr>
                        <w:r>
                          <w:rPr>
                            <w:spacing w:val="6"/>
                            <w:sz w:val="20"/>
                            <w:szCs w:val="20"/>
                          </w:rPr>
                          <w:t>集散点</w:t>
                        </w:r>
                      </w:p>
                    </w:tc>
                  </w:tr>
                </w:tbl>
                <w:p w14:paraId="72F590E7">
                  <w:pPr>
                    <w:rPr>
                      <w:rFonts w:ascii="Arial"/>
                      <w:sz w:val="21"/>
                    </w:rPr>
                  </w:pPr>
                </w:p>
              </w:txbxContent>
            </v:textbox>
          </v:shape>
        </w:pict>
      </w:r>
      <w:r>
        <w:rPr>
          <w:position w:val="-31"/>
        </w:rPr>
        <w:pict>
          <v:group id="_x0000_s1160" o:spid="_x0000_s1160" o:spt="203" style="height:79.7pt;width:124.15pt;" coordsize="2483,1593">
            <o:lock v:ext="edit"/>
            <v:shape id="_x0000_s1161" o:spid="_x0000_s1161" o:spt="75" type="#_x0000_t75" style="position:absolute;left:0;top:0;height:1593;width:2483;" filled="f" stroked="f" coordsize="21600,21600">
              <v:path/>
              <v:fill on="f" focussize="0,0"/>
              <v:stroke on="f"/>
              <v:imagedata r:id="rId233" o:title=""/>
              <o:lock v:ext="edit" aspectratio="t"/>
            </v:shape>
            <v:shape id="_x0000_s1162" o:spid="_x0000_s1162" o:spt="202" type="#_x0000_t202" style="position:absolute;left:-20;top:-20;height:1633;width:2523;" filled="f" stroked="f" coordsize="21600,21600">
              <v:path/>
              <v:fill on="f" focussize="0,0"/>
              <v:stroke on="f"/>
              <v:imagedata o:title=""/>
              <o:lock v:ext="edit" aspectratio="f"/>
              <v:textbox inset="0mm,0mm,0mm,0mm">
                <w:txbxContent>
                  <w:p w14:paraId="4AF72EF4">
                    <w:pPr>
                      <w:spacing w:line="301" w:lineRule="auto"/>
                      <w:rPr>
                        <w:rFonts w:ascii="Arial"/>
                        <w:sz w:val="21"/>
                      </w:rPr>
                    </w:pPr>
                  </w:p>
                  <w:p w14:paraId="60D40BBD">
                    <w:pPr>
                      <w:spacing w:line="302" w:lineRule="auto"/>
                      <w:rPr>
                        <w:rFonts w:ascii="Arial"/>
                        <w:sz w:val="21"/>
                      </w:rPr>
                    </w:pPr>
                  </w:p>
                  <w:p w14:paraId="4306EC5A">
                    <w:pPr>
                      <w:spacing w:line="302" w:lineRule="auto"/>
                      <w:rPr>
                        <w:rFonts w:ascii="Arial"/>
                        <w:sz w:val="21"/>
                      </w:rPr>
                    </w:pPr>
                  </w:p>
                  <w:p w14:paraId="5A7F4469">
                    <w:pPr>
                      <w:spacing w:before="65" w:line="289" w:lineRule="auto"/>
                      <w:ind w:left="187" w:right="231"/>
                      <w:rPr>
                        <w:rFonts w:ascii="宋体" w:hAnsi="宋体" w:eastAsia="宋体" w:cs="宋体"/>
                        <w:sz w:val="20"/>
                        <w:szCs w:val="20"/>
                      </w:rPr>
                    </w:pPr>
                    <w:r>
                      <w:rPr>
                        <w:rFonts w:ascii="宋体" w:hAnsi="宋体" w:eastAsia="宋体" w:cs="宋体"/>
                        <w:spacing w:val="10"/>
                        <w:sz w:val="20"/>
                        <w:szCs w:val="20"/>
                      </w:rPr>
                      <w:t>试油期保留井场范围，</w:t>
                    </w:r>
                    <w:r>
                      <w:rPr>
                        <w:rFonts w:ascii="宋体" w:hAnsi="宋体" w:eastAsia="宋体" w:cs="宋体"/>
                        <w:spacing w:val="8"/>
                        <w:sz w:val="20"/>
                        <w:szCs w:val="20"/>
                      </w:rPr>
                      <w:t>其他临时用地进行恢复</w:t>
                    </w:r>
                  </w:p>
                </w:txbxContent>
              </v:textbox>
            </v:shape>
            <w10:wrap type="none"/>
            <w10:anchorlock/>
          </v:group>
        </w:pict>
      </w:r>
    </w:p>
    <w:p w14:paraId="4A39FFFA">
      <w:pPr>
        <w:pStyle w:val="2"/>
        <w:spacing w:before="213" w:line="228" w:lineRule="auto"/>
        <w:ind w:left="1907"/>
        <w:rPr>
          <w:sz w:val="20"/>
          <w:szCs w:val="20"/>
        </w:rPr>
      </w:pPr>
      <w:r>
        <w:rPr>
          <w:spacing w:val="6"/>
          <w:sz w:val="20"/>
          <w:szCs w:val="20"/>
        </w:rPr>
        <w:t>生活区</w:t>
      </w:r>
    </w:p>
    <w:p w14:paraId="44309A80">
      <w:pPr>
        <w:spacing w:line="336" w:lineRule="auto"/>
        <w:rPr>
          <w:rFonts w:ascii="Arial"/>
          <w:sz w:val="21"/>
        </w:rPr>
      </w:pPr>
    </w:p>
    <w:p w14:paraId="116B15C0">
      <w:pPr>
        <w:pStyle w:val="2"/>
        <w:spacing w:before="79" w:line="219" w:lineRule="auto"/>
        <w:ind w:left="1998"/>
      </w:pPr>
      <w:r>
        <w:rPr>
          <w:b/>
          <w:bCs/>
          <w:spacing w:val="-4"/>
        </w:rPr>
        <w:t>附图</w:t>
      </w:r>
      <w:r>
        <w:rPr>
          <w:spacing w:val="-40"/>
        </w:rPr>
        <w:t xml:space="preserve"> </w:t>
      </w:r>
      <w:r>
        <w:rPr>
          <w:rFonts w:ascii="Times New Roman" w:hAnsi="Times New Roman" w:eastAsia="Times New Roman" w:cs="Times New Roman"/>
          <w:b/>
          <w:bCs/>
          <w:spacing w:val="-4"/>
        </w:rPr>
        <w:t xml:space="preserve">7  </w:t>
      </w:r>
      <w:r>
        <w:rPr>
          <w:b/>
          <w:bCs/>
          <w:spacing w:val="-4"/>
        </w:rPr>
        <w:t>临时占地典型生态保护措施示意图</w:t>
      </w:r>
    </w:p>
    <w:p w14:paraId="53E4F7EC">
      <w:pPr>
        <w:spacing w:line="219" w:lineRule="auto"/>
        <w:sectPr>
          <w:headerReference r:id="rId128" w:type="default"/>
          <w:pgSz w:w="11906" w:h="16839"/>
          <w:pgMar w:top="400" w:right="1785" w:bottom="400" w:left="1785" w:header="0" w:footer="0" w:gutter="0"/>
          <w:cols w:space="720" w:num="1"/>
        </w:sectPr>
      </w:pPr>
    </w:p>
    <w:p w14:paraId="436FF1A4">
      <w:pPr>
        <w:spacing w:line="31666" w:lineRule="exact"/>
      </w:pPr>
      <w:r>
        <w:rPr>
          <w:position w:val="-633"/>
        </w:rPr>
        <w:drawing>
          <wp:inline distT="0" distB="0" distL="0" distR="0">
            <wp:extent cx="14225905" cy="20107910"/>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234"/>
                    <a:stretch>
                      <a:fillRect/>
                    </a:stretch>
                  </pic:blipFill>
                  <pic:spPr>
                    <a:xfrm>
                      <a:off x="0" y="0"/>
                      <a:ext cx="14226443" cy="20108081"/>
                    </a:xfrm>
                    <a:prstGeom prst="rect">
                      <a:avLst/>
                    </a:prstGeom>
                  </pic:spPr>
                </pic:pic>
              </a:graphicData>
            </a:graphic>
          </wp:inline>
        </w:drawing>
      </w:r>
    </w:p>
    <w:p w14:paraId="2936FBA1">
      <w:pPr>
        <w:spacing w:line="31666" w:lineRule="exact"/>
        <w:sectPr>
          <w:headerReference r:id="rId129" w:type="default"/>
          <w:pgSz w:w="22411" w:h="31680"/>
          <w:pgMar w:top="1" w:right="7" w:bottom="2" w:left="0" w:header="0" w:footer="0" w:gutter="0"/>
          <w:cols w:space="720" w:num="1"/>
        </w:sectPr>
      </w:pPr>
    </w:p>
    <w:p w14:paraId="6F277EC4">
      <w:pPr>
        <w:spacing w:line="31667" w:lineRule="exact"/>
      </w:pPr>
      <w:r>
        <w:rPr>
          <w:position w:val="-633"/>
        </w:rPr>
        <w:drawing>
          <wp:inline distT="0" distB="0" distL="0" distR="0">
            <wp:extent cx="14223365" cy="20108545"/>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235"/>
                    <a:stretch>
                      <a:fillRect/>
                    </a:stretch>
                  </pic:blipFill>
                  <pic:spPr>
                    <a:xfrm>
                      <a:off x="0" y="0"/>
                      <a:ext cx="14223516" cy="20108698"/>
                    </a:xfrm>
                    <a:prstGeom prst="rect">
                      <a:avLst/>
                    </a:prstGeom>
                  </pic:spPr>
                </pic:pic>
              </a:graphicData>
            </a:graphic>
          </wp:inline>
        </w:drawing>
      </w:r>
    </w:p>
    <w:p w14:paraId="17CDF22F">
      <w:pPr>
        <w:spacing w:line="31667" w:lineRule="exact"/>
        <w:sectPr>
          <w:pgSz w:w="22406" w:h="31680"/>
          <w:pgMar w:top="1" w:right="6" w:bottom="1" w:left="0" w:header="0" w:footer="0" w:gutter="0"/>
          <w:cols w:space="720" w:num="1"/>
        </w:sectPr>
      </w:pPr>
    </w:p>
    <w:p w14:paraId="52498E4A">
      <w:pPr>
        <w:spacing w:line="16822" w:lineRule="exact"/>
      </w:pPr>
      <w:r>
        <w:rPr>
          <w:position w:val="-336"/>
        </w:rPr>
        <w:drawing>
          <wp:inline distT="0" distB="0" distL="0" distR="0">
            <wp:extent cx="7556500" cy="10681970"/>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236"/>
                    <a:stretch>
                      <a:fillRect/>
                    </a:stretch>
                  </pic:blipFill>
                  <pic:spPr>
                    <a:xfrm>
                      <a:off x="0" y="0"/>
                      <a:ext cx="7556500" cy="10682110"/>
                    </a:xfrm>
                    <a:prstGeom prst="rect">
                      <a:avLst/>
                    </a:prstGeom>
                  </pic:spPr>
                </pic:pic>
              </a:graphicData>
            </a:graphic>
          </wp:inline>
        </w:drawing>
      </w:r>
    </w:p>
    <w:p w14:paraId="4F5DB367">
      <w:pPr>
        <w:spacing w:line="16822" w:lineRule="exact"/>
        <w:sectPr>
          <w:pgSz w:w="11900" w:h="16840"/>
          <w:pgMar w:top="1" w:right="0" w:bottom="6" w:left="0" w:header="0" w:footer="0" w:gutter="0"/>
          <w:cols w:space="720" w:num="1"/>
        </w:sectPr>
      </w:pPr>
    </w:p>
    <w:p w14:paraId="5D224869">
      <w:pPr>
        <w:spacing w:line="15938" w:lineRule="exact"/>
      </w:pPr>
      <w:r>
        <w:rPr>
          <w:position w:val="-318"/>
        </w:rPr>
        <w:drawing>
          <wp:inline distT="0" distB="0" distL="0" distR="0">
            <wp:extent cx="6931025" cy="10120630"/>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237"/>
                    <a:stretch>
                      <a:fillRect/>
                    </a:stretch>
                  </pic:blipFill>
                  <pic:spPr>
                    <a:xfrm>
                      <a:off x="0" y="0"/>
                      <a:ext cx="6931338" cy="10121024"/>
                    </a:xfrm>
                    <a:prstGeom prst="rect">
                      <a:avLst/>
                    </a:prstGeom>
                  </pic:spPr>
                </pic:pic>
              </a:graphicData>
            </a:graphic>
          </wp:inline>
        </w:drawing>
      </w:r>
    </w:p>
    <w:p w14:paraId="04EB24FB">
      <w:pPr>
        <w:spacing w:line="15938" w:lineRule="exact"/>
        <w:sectPr>
          <w:footerReference r:id="rId130" w:type="default"/>
          <w:pgSz w:w="11900" w:h="16840"/>
          <w:pgMar w:top="1" w:right="200" w:bottom="700" w:left="492" w:header="0" w:footer="200" w:gutter="0"/>
          <w:cols w:space="720" w:num="1"/>
        </w:sectPr>
      </w:pPr>
    </w:p>
    <w:p w14:paraId="254B60F8">
      <w:pPr>
        <w:spacing w:line="275" w:lineRule="auto"/>
        <w:rPr>
          <w:rFonts w:ascii="Arial"/>
          <w:sz w:val="21"/>
        </w:rPr>
      </w:pPr>
    </w:p>
    <w:p w14:paraId="40FC830A">
      <w:pPr>
        <w:spacing w:line="275" w:lineRule="auto"/>
        <w:rPr>
          <w:rFonts w:ascii="Arial"/>
          <w:sz w:val="21"/>
        </w:rPr>
      </w:pPr>
    </w:p>
    <w:p w14:paraId="707F7E99">
      <w:pPr>
        <w:spacing w:line="276" w:lineRule="auto"/>
        <w:rPr>
          <w:rFonts w:ascii="Arial"/>
          <w:sz w:val="21"/>
        </w:rPr>
      </w:pPr>
    </w:p>
    <w:p w14:paraId="3D81BF8E">
      <w:pPr>
        <w:spacing w:line="276" w:lineRule="auto"/>
        <w:rPr>
          <w:rFonts w:ascii="Arial"/>
          <w:sz w:val="21"/>
        </w:rPr>
      </w:pPr>
    </w:p>
    <w:p w14:paraId="1DEC4BF9">
      <w:pPr>
        <w:spacing w:line="276" w:lineRule="auto"/>
        <w:rPr>
          <w:rFonts w:ascii="Arial"/>
          <w:sz w:val="21"/>
        </w:rPr>
      </w:pPr>
    </w:p>
    <w:p w14:paraId="32848E5A">
      <w:pPr>
        <w:spacing w:line="276" w:lineRule="auto"/>
        <w:rPr>
          <w:rFonts w:ascii="Arial"/>
          <w:sz w:val="21"/>
        </w:rPr>
      </w:pPr>
    </w:p>
    <w:p w14:paraId="3E1956EC">
      <w:pPr>
        <w:spacing w:line="1824" w:lineRule="exact"/>
      </w:pPr>
      <w:r>
        <w:rPr>
          <w:position w:val="-36"/>
        </w:rPr>
        <w:drawing>
          <wp:inline distT="0" distB="0" distL="0" distR="0">
            <wp:extent cx="5615305" cy="1157605"/>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238"/>
                    <a:stretch>
                      <a:fillRect/>
                    </a:stretch>
                  </pic:blipFill>
                  <pic:spPr>
                    <a:xfrm>
                      <a:off x="0" y="0"/>
                      <a:ext cx="5615847" cy="1158220"/>
                    </a:xfrm>
                    <a:prstGeom prst="rect">
                      <a:avLst/>
                    </a:prstGeom>
                  </pic:spPr>
                </pic:pic>
              </a:graphicData>
            </a:graphic>
          </wp:inline>
        </w:drawing>
      </w:r>
    </w:p>
    <w:p w14:paraId="10E26E64">
      <w:pPr>
        <w:spacing w:before="106" w:line="219" w:lineRule="auto"/>
        <w:ind w:left="1126"/>
        <w:rPr>
          <w:rFonts w:ascii="方正小标宋简体" w:hAnsi="方正小标宋简体" w:eastAsia="方正小标宋简体" w:cs="方正小标宋简体"/>
          <w:sz w:val="43"/>
          <w:szCs w:val="43"/>
        </w:rPr>
      </w:pPr>
      <w:r>
        <w:rPr>
          <w:rFonts w:ascii="方正小标宋简体" w:hAnsi="方正小标宋简体" w:eastAsia="方正小标宋简体" w:cs="方正小标宋简体"/>
          <w:spacing w:val="9"/>
          <w:sz w:val="43"/>
          <w:szCs w:val="43"/>
        </w:rPr>
        <w:t>关于中国石油天然气股份有限公司</w:t>
      </w:r>
    </w:p>
    <w:p w14:paraId="4E4DEEF0">
      <w:pPr>
        <w:spacing w:line="215" w:lineRule="auto"/>
        <w:ind w:left="1567"/>
        <w:rPr>
          <w:rFonts w:ascii="方正小标宋简体" w:hAnsi="方正小标宋简体" w:eastAsia="方正小标宋简体" w:cs="方正小标宋简体"/>
          <w:sz w:val="43"/>
          <w:szCs w:val="43"/>
        </w:rPr>
      </w:pPr>
      <w:r>
        <w:rPr>
          <w:rFonts w:ascii="方正小标宋简体" w:hAnsi="方正小标宋简体" w:eastAsia="方正小标宋简体" w:cs="方正小标宋简体"/>
          <w:spacing w:val="9"/>
          <w:sz w:val="43"/>
          <w:szCs w:val="43"/>
        </w:rPr>
        <w:t>华北油田巴彦勘探开发分公司</w:t>
      </w:r>
    </w:p>
    <w:p w14:paraId="4500C891">
      <w:pPr>
        <w:spacing w:before="1" w:line="219" w:lineRule="auto"/>
        <w:ind w:left="1633"/>
        <w:rPr>
          <w:rFonts w:ascii="方正小标宋简体" w:hAnsi="方正小标宋简体" w:eastAsia="方正小标宋简体" w:cs="方正小标宋简体"/>
          <w:sz w:val="43"/>
          <w:szCs w:val="43"/>
        </w:rPr>
      </w:pPr>
      <w:r>
        <w:rPr>
          <w:rFonts w:ascii="方正小标宋简体" w:hAnsi="方正小标宋简体" w:eastAsia="方正小标宋简体" w:cs="方正小标宋简体"/>
          <w:spacing w:val="7"/>
          <w:sz w:val="43"/>
          <w:szCs w:val="43"/>
        </w:rPr>
        <w:t>扎格 9X 井油气勘探开发项目</w:t>
      </w:r>
    </w:p>
    <w:p w14:paraId="59B7B9CD">
      <w:pPr>
        <w:spacing w:line="218" w:lineRule="auto"/>
        <w:ind w:left="2894"/>
        <w:rPr>
          <w:rFonts w:ascii="方正小标宋简体" w:hAnsi="方正小标宋简体" w:eastAsia="方正小标宋简体" w:cs="方正小标宋简体"/>
          <w:sz w:val="43"/>
          <w:szCs w:val="43"/>
        </w:rPr>
      </w:pPr>
      <w:r>
        <w:rPr>
          <w:rFonts w:ascii="方正小标宋简体" w:hAnsi="方正小标宋简体" w:eastAsia="方正小标宋简体" w:cs="方正小标宋简体"/>
          <w:spacing w:val="8"/>
          <w:sz w:val="43"/>
          <w:szCs w:val="43"/>
        </w:rPr>
        <w:t>临时用地的批复</w:t>
      </w:r>
    </w:p>
    <w:p w14:paraId="33A61071">
      <w:pPr>
        <w:spacing w:line="293" w:lineRule="auto"/>
        <w:rPr>
          <w:rFonts w:ascii="Arial"/>
          <w:sz w:val="21"/>
        </w:rPr>
      </w:pPr>
    </w:p>
    <w:p w14:paraId="1C965BFA">
      <w:pPr>
        <w:spacing w:line="294" w:lineRule="auto"/>
        <w:rPr>
          <w:rFonts w:ascii="Arial"/>
          <w:sz w:val="21"/>
        </w:rPr>
      </w:pPr>
    </w:p>
    <w:p w14:paraId="3F89E1EA">
      <w:pPr>
        <w:spacing w:before="101" w:line="220" w:lineRule="auto"/>
        <w:ind w:left="14"/>
        <w:rPr>
          <w:rFonts w:ascii="FangSong_GB2312" w:hAnsi="FangSong_GB2312" w:eastAsia="FangSong_GB2312" w:cs="FangSong_GB2312"/>
          <w:sz w:val="31"/>
          <w:szCs w:val="31"/>
        </w:rPr>
      </w:pPr>
      <w:r>
        <w:rPr>
          <w:rFonts w:ascii="FangSong_GB2312" w:hAnsi="FangSong_GB2312" w:eastAsia="FangSong_GB2312" w:cs="FangSong_GB2312"/>
          <w:spacing w:val="9"/>
          <w:sz w:val="31"/>
          <w:szCs w:val="31"/>
        </w:rPr>
        <w:t>磴口县自然资源局:</w:t>
      </w:r>
    </w:p>
    <w:p w14:paraId="53338BD8">
      <w:pPr>
        <w:spacing w:before="291" w:line="344" w:lineRule="auto"/>
        <w:ind w:left="9" w:right="952" w:firstLine="647"/>
        <w:jc w:val="both"/>
        <w:rPr>
          <w:rFonts w:ascii="FangSong_GB2312" w:hAnsi="FangSong_GB2312" w:eastAsia="FangSong_GB2312" w:cs="FangSong_GB2312"/>
          <w:sz w:val="31"/>
          <w:szCs w:val="31"/>
        </w:rPr>
      </w:pPr>
      <w:r>
        <w:rPr>
          <w:rFonts w:ascii="FangSong_GB2312" w:hAnsi="FangSong_GB2312" w:eastAsia="FangSong_GB2312" w:cs="FangSong_GB2312"/>
          <w:spacing w:val="5"/>
          <w:sz w:val="31"/>
          <w:szCs w:val="31"/>
        </w:rPr>
        <w:t>你单位报来的《关于中国石油天然气股份有限公司华北</w:t>
      </w:r>
      <w:r>
        <w:rPr>
          <w:rFonts w:ascii="FangSong_GB2312" w:hAnsi="FangSong_GB2312" w:eastAsia="FangSong_GB2312" w:cs="FangSong_GB2312"/>
          <w:spacing w:val="4"/>
          <w:sz w:val="31"/>
          <w:szCs w:val="31"/>
        </w:rPr>
        <w:t>油田</w:t>
      </w:r>
      <w:r>
        <w:rPr>
          <w:rFonts w:ascii="FangSong_GB2312" w:hAnsi="FangSong_GB2312" w:eastAsia="FangSong_GB2312" w:cs="FangSong_GB2312"/>
          <w:spacing w:val="7"/>
          <w:sz w:val="31"/>
          <w:szCs w:val="31"/>
        </w:rPr>
        <w:t>巴彦勘探开发分公司扎格</w:t>
      </w:r>
      <w:r>
        <w:rPr>
          <w:rFonts w:ascii="FangSong_GB2312" w:hAnsi="FangSong_GB2312" w:eastAsia="FangSong_GB2312" w:cs="FangSong_GB2312"/>
          <w:spacing w:val="-41"/>
          <w:sz w:val="31"/>
          <w:szCs w:val="31"/>
        </w:rPr>
        <w:t xml:space="preserve"> </w:t>
      </w:r>
      <w:r>
        <w:rPr>
          <w:rFonts w:ascii="FangSong_GB2312" w:hAnsi="FangSong_GB2312" w:eastAsia="FangSong_GB2312" w:cs="FangSong_GB2312"/>
          <w:spacing w:val="7"/>
          <w:sz w:val="31"/>
          <w:szCs w:val="31"/>
        </w:rPr>
        <w:t>9X</w:t>
      </w:r>
      <w:r>
        <w:rPr>
          <w:rFonts w:ascii="FangSong_GB2312" w:hAnsi="FangSong_GB2312" w:eastAsia="FangSong_GB2312" w:cs="FangSong_GB2312"/>
          <w:spacing w:val="-43"/>
          <w:sz w:val="31"/>
          <w:szCs w:val="31"/>
        </w:rPr>
        <w:t xml:space="preserve"> </w:t>
      </w:r>
      <w:r>
        <w:rPr>
          <w:rFonts w:ascii="FangSong_GB2312" w:hAnsi="FangSong_GB2312" w:eastAsia="FangSong_GB2312" w:cs="FangSong_GB2312"/>
          <w:spacing w:val="7"/>
          <w:sz w:val="31"/>
          <w:szCs w:val="31"/>
        </w:rPr>
        <w:t>井油气勘探开发项目临时用地的审</w:t>
      </w:r>
      <w:r>
        <w:rPr>
          <w:rFonts w:ascii="FangSong_GB2312" w:hAnsi="FangSong_GB2312" w:eastAsia="FangSong_GB2312" w:cs="FangSong_GB2312"/>
          <w:spacing w:val="5"/>
          <w:sz w:val="31"/>
          <w:szCs w:val="31"/>
        </w:rPr>
        <w:t>查报告》及相关资料已收悉。按照《自然资源部关于规范临时用</w:t>
      </w:r>
      <w:r>
        <w:rPr>
          <w:rFonts w:ascii="FangSong_GB2312" w:hAnsi="FangSong_GB2312" w:eastAsia="FangSong_GB2312" w:cs="FangSong_GB2312"/>
          <w:spacing w:val="-8"/>
          <w:sz w:val="31"/>
          <w:szCs w:val="31"/>
        </w:rPr>
        <w:t>地管理的通知》（自然资规〔2021〕2</w:t>
      </w:r>
      <w:r>
        <w:rPr>
          <w:rFonts w:ascii="FangSong_GB2312" w:hAnsi="FangSong_GB2312" w:eastAsia="FangSong_GB2312" w:cs="FangSong_GB2312"/>
          <w:spacing w:val="-33"/>
          <w:sz w:val="31"/>
          <w:szCs w:val="31"/>
        </w:rPr>
        <w:t xml:space="preserve"> </w:t>
      </w:r>
      <w:r>
        <w:rPr>
          <w:rFonts w:ascii="FangSong_GB2312" w:hAnsi="FangSong_GB2312" w:eastAsia="FangSong_GB2312" w:cs="FangSong_GB2312"/>
          <w:spacing w:val="-8"/>
          <w:sz w:val="31"/>
          <w:szCs w:val="31"/>
        </w:rPr>
        <w:t>号）、《内蒙古自治区自然</w:t>
      </w:r>
      <w:r>
        <w:rPr>
          <w:rFonts w:ascii="FangSong_GB2312" w:hAnsi="FangSong_GB2312" w:eastAsia="FangSong_GB2312" w:cs="FangSong_GB2312"/>
          <w:spacing w:val="4"/>
          <w:sz w:val="31"/>
          <w:szCs w:val="31"/>
        </w:rPr>
        <w:t>资源厅关于进一步规范临时用地管理有关事项的通知</w:t>
      </w:r>
      <w:r>
        <w:rPr>
          <w:rFonts w:ascii="FangSong_GB2312" w:hAnsi="FangSong_GB2312" w:eastAsia="FangSong_GB2312" w:cs="FangSong_GB2312"/>
          <w:spacing w:val="3"/>
          <w:sz w:val="31"/>
          <w:szCs w:val="31"/>
        </w:rPr>
        <w:t>》（内自然</w:t>
      </w:r>
      <w:r>
        <w:rPr>
          <w:rFonts w:ascii="FangSong_GB2312" w:hAnsi="FangSong_GB2312" w:eastAsia="FangSong_GB2312" w:cs="FangSong_GB2312"/>
          <w:spacing w:val="7"/>
          <w:sz w:val="31"/>
          <w:szCs w:val="31"/>
        </w:rPr>
        <w:t>资发〔2024〕22</w:t>
      </w:r>
      <w:r>
        <w:rPr>
          <w:rFonts w:ascii="FangSong_GB2312" w:hAnsi="FangSong_GB2312" w:eastAsia="FangSong_GB2312" w:cs="FangSong_GB2312"/>
          <w:spacing w:val="-41"/>
          <w:sz w:val="31"/>
          <w:szCs w:val="31"/>
        </w:rPr>
        <w:t xml:space="preserve"> </w:t>
      </w:r>
      <w:r>
        <w:rPr>
          <w:rFonts w:ascii="FangSong_GB2312" w:hAnsi="FangSong_GB2312" w:eastAsia="FangSong_GB2312" w:cs="FangSong_GB2312"/>
          <w:spacing w:val="7"/>
          <w:sz w:val="31"/>
          <w:szCs w:val="31"/>
        </w:rPr>
        <w:t>号）等相关要求，经审查，现批复如下：</w:t>
      </w:r>
    </w:p>
    <w:p w14:paraId="3C3D928A">
      <w:pPr>
        <w:spacing w:before="2" w:line="332" w:lineRule="auto"/>
        <w:ind w:left="12" w:right="801" w:firstLine="660"/>
        <w:jc w:val="both"/>
        <w:rPr>
          <w:rFonts w:ascii="FangSong_GB2312" w:hAnsi="FangSong_GB2312" w:eastAsia="FangSong_GB2312" w:cs="FangSong_GB2312"/>
          <w:sz w:val="31"/>
          <w:szCs w:val="31"/>
        </w:rPr>
      </w:pPr>
      <w:r>
        <w:rPr>
          <w:rFonts w:ascii="FangSong_GB2312" w:hAnsi="FangSong_GB2312" w:eastAsia="FangSong_GB2312" w:cs="FangSong_GB2312"/>
          <w:spacing w:val="4"/>
          <w:sz w:val="31"/>
          <w:szCs w:val="31"/>
        </w:rPr>
        <w:t>一、同意中国石油天然气股份有限公司华北油田巴彦勘探开</w:t>
      </w:r>
      <w:r>
        <w:rPr>
          <w:rFonts w:ascii="FangSong_GB2312" w:hAnsi="FangSong_GB2312" w:eastAsia="FangSong_GB2312" w:cs="FangSong_GB2312"/>
          <w:spacing w:val="8"/>
          <w:sz w:val="31"/>
          <w:szCs w:val="31"/>
        </w:rPr>
        <w:t>发分公司扎格</w:t>
      </w:r>
      <w:r>
        <w:rPr>
          <w:rFonts w:ascii="FangSong_GB2312" w:hAnsi="FangSong_GB2312" w:eastAsia="FangSong_GB2312" w:cs="FangSong_GB2312"/>
          <w:spacing w:val="-32"/>
          <w:sz w:val="31"/>
          <w:szCs w:val="31"/>
        </w:rPr>
        <w:t xml:space="preserve"> </w:t>
      </w:r>
      <w:r>
        <w:rPr>
          <w:rFonts w:ascii="FangSong_GB2312" w:hAnsi="FangSong_GB2312" w:eastAsia="FangSong_GB2312" w:cs="FangSong_GB2312"/>
          <w:spacing w:val="8"/>
          <w:sz w:val="31"/>
          <w:szCs w:val="31"/>
        </w:rPr>
        <w:t>9X</w:t>
      </w:r>
      <w:r>
        <w:rPr>
          <w:rFonts w:ascii="FangSong_GB2312" w:hAnsi="FangSong_GB2312" w:eastAsia="FangSong_GB2312" w:cs="FangSong_GB2312"/>
          <w:spacing w:val="-44"/>
          <w:sz w:val="31"/>
          <w:szCs w:val="31"/>
        </w:rPr>
        <w:t xml:space="preserve"> </w:t>
      </w:r>
      <w:r>
        <w:rPr>
          <w:rFonts w:ascii="FangSong_GB2312" w:hAnsi="FangSong_GB2312" w:eastAsia="FangSong_GB2312" w:cs="FangSong_GB2312"/>
          <w:spacing w:val="8"/>
          <w:sz w:val="31"/>
          <w:szCs w:val="31"/>
        </w:rPr>
        <w:t>井油气勘探开发项目临时用地申请。申请用地</w:t>
      </w:r>
      <w:r>
        <w:rPr>
          <w:rFonts w:ascii="FangSong_GB2312" w:hAnsi="FangSong_GB2312" w:eastAsia="FangSong_GB2312" w:cs="FangSong_GB2312"/>
          <w:spacing w:val="3"/>
          <w:sz w:val="31"/>
          <w:szCs w:val="31"/>
        </w:rPr>
        <w:t>总面积</w:t>
      </w:r>
      <w:r>
        <w:rPr>
          <w:rFonts w:ascii="FangSong_GB2312" w:hAnsi="FangSong_GB2312" w:eastAsia="FangSong_GB2312" w:cs="FangSong_GB2312"/>
          <w:spacing w:val="-35"/>
          <w:sz w:val="31"/>
          <w:szCs w:val="31"/>
        </w:rPr>
        <w:t xml:space="preserve"> </w:t>
      </w:r>
      <w:r>
        <w:rPr>
          <w:rFonts w:ascii="FangSong_GB2312" w:hAnsi="FangSong_GB2312" w:eastAsia="FangSong_GB2312" w:cs="FangSong_GB2312"/>
          <w:spacing w:val="3"/>
          <w:sz w:val="31"/>
          <w:szCs w:val="31"/>
        </w:rPr>
        <w:t>1.3293</w:t>
      </w:r>
      <w:r>
        <w:rPr>
          <w:rFonts w:ascii="FangSong_GB2312" w:hAnsi="FangSong_GB2312" w:eastAsia="FangSong_GB2312" w:cs="FangSong_GB2312"/>
          <w:spacing w:val="-64"/>
          <w:sz w:val="31"/>
          <w:szCs w:val="31"/>
        </w:rPr>
        <w:t xml:space="preserve"> </w:t>
      </w:r>
      <w:r>
        <w:rPr>
          <w:rFonts w:ascii="FangSong_GB2312" w:hAnsi="FangSong_GB2312" w:eastAsia="FangSong_GB2312" w:cs="FangSong_GB2312"/>
          <w:spacing w:val="3"/>
          <w:sz w:val="31"/>
          <w:szCs w:val="31"/>
        </w:rPr>
        <w:t>公顷，全部为集体农用地，其中：耕地（水浇地）</w:t>
      </w:r>
    </w:p>
    <w:p w14:paraId="2B14AFDE">
      <w:pPr>
        <w:spacing w:before="6" w:line="327" w:lineRule="auto"/>
        <w:ind w:left="32" w:right="954"/>
        <w:rPr>
          <w:rFonts w:ascii="FangSong_GB2312" w:hAnsi="FangSong_GB2312" w:eastAsia="FangSong_GB2312" w:cs="FangSong_GB2312"/>
          <w:sz w:val="31"/>
          <w:szCs w:val="31"/>
        </w:rPr>
      </w:pPr>
      <w:r>
        <w:rPr>
          <w:rFonts w:ascii="FangSong_GB2312" w:hAnsi="FangSong_GB2312" w:eastAsia="FangSong_GB2312" w:cs="FangSong_GB2312"/>
          <w:spacing w:val="8"/>
          <w:sz w:val="31"/>
          <w:szCs w:val="31"/>
        </w:rPr>
        <w:t>1.2989</w:t>
      </w:r>
      <w:r>
        <w:rPr>
          <w:rFonts w:ascii="FangSong_GB2312" w:hAnsi="FangSong_GB2312" w:eastAsia="FangSong_GB2312" w:cs="FangSong_GB2312"/>
          <w:spacing w:val="-65"/>
          <w:sz w:val="31"/>
          <w:szCs w:val="31"/>
        </w:rPr>
        <w:t xml:space="preserve"> </w:t>
      </w:r>
      <w:r>
        <w:rPr>
          <w:rFonts w:ascii="FangSong_GB2312" w:hAnsi="FangSong_GB2312" w:eastAsia="FangSong_GB2312" w:cs="FangSong_GB2312"/>
          <w:spacing w:val="8"/>
          <w:sz w:val="31"/>
          <w:szCs w:val="31"/>
        </w:rPr>
        <w:t>公顷、水域及水利设施用地（沟渠）0.0304</w:t>
      </w:r>
      <w:r>
        <w:rPr>
          <w:rFonts w:ascii="FangSong_GB2312" w:hAnsi="FangSong_GB2312" w:eastAsia="FangSong_GB2312" w:cs="FangSong_GB2312"/>
          <w:spacing w:val="-64"/>
          <w:sz w:val="31"/>
          <w:szCs w:val="31"/>
        </w:rPr>
        <w:t xml:space="preserve"> </w:t>
      </w:r>
      <w:r>
        <w:rPr>
          <w:rFonts w:ascii="FangSong_GB2312" w:hAnsi="FangSong_GB2312" w:eastAsia="FangSong_GB2312" w:cs="FangSong_GB2312"/>
          <w:spacing w:val="8"/>
          <w:sz w:val="31"/>
          <w:szCs w:val="31"/>
        </w:rPr>
        <w:t>公</w:t>
      </w:r>
      <w:r>
        <w:rPr>
          <w:rFonts w:ascii="FangSong_GB2312" w:hAnsi="FangSong_GB2312" w:eastAsia="FangSong_GB2312" w:cs="FangSong_GB2312"/>
          <w:spacing w:val="7"/>
          <w:sz w:val="31"/>
          <w:szCs w:val="31"/>
        </w:rPr>
        <w:t>顷；项目</w:t>
      </w:r>
      <w:r>
        <w:rPr>
          <w:rFonts w:ascii="FangSong_GB2312" w:hAnsi="FangSong_GB2312" w:eastAsia="FangSong_GB2312" w:cs="FangSong_GB2312"/>
          <w:spacing w:val="3"/>
          <w:sz w:val="31"/>
          <w:szCs w:val="31"/>
        </w:rPr>
        <w:t>涉及占用永久基本农田</w:t>
      </w:r>
      <w:r>
        <w:rPr>
          <w:rFonts w:ascii="FangSong_GB2312" w:hAnsi="FangSong_GB2312" w:eastAsia="FangSong_GB2312" w:cs="FangSong_GB2312"/>
          <w:spacing w:val="-28"/>
          <w:sz w:val="31"/>
          <w:szCs w:val="31"/>
        </w:rPr>
        <w:t xml:space="preserve"> </w:t>
      </w:r>
      <w:r>
        <w:rPr>
          <w:rFonts w:ascii="FangSong_GB2312" w:hAnsi="FangSong_GB2312" w:eastAsia="FangSong_GB2312" w:cs="FangSong_GB2312"/>
          <w:spacing w:val="3"/>
          <w:sz w:val="31"/>
          <w:szCs w:val="31"/>
        </w:rPr>
        <w:t>1.2987</w:t>
      </w:r>
      <w:r>
        <w:rPr>
          <w:rFonts w:ascii="FangSong_GB2312" w:hAnsi="FangSong_GB2312" w:eastAsia="FangSong_GB2312" w:cs="FangSong_GB2312"/>
          <w:spacing w:val="-65"/>
          <w:sz w:val="31"/>
          <w:szCs w:val="31"/>
        </w:rPr>
        <w:t xml:space="preserve"> </w:t>
      </w:r>
      <w:r>
        <w:rPr>
          <w:rFonts w:ascii="FangSong_GB2312" w:hAnsi="FangSong_GB2312" w:eastAsia="FangSong_GB2312" w:cs="FangSong_GB2312"/>
          <w:spacing w:val="3"/>
          <w:sz w:val="31"/>
          <w:szCs w:val="31"/>
        </w:rPr>
        <w:t>公顷。</w:t>
      </w:r>
    </w:p>
    <w:p w14:paraId="1C83B8C3">
      <w:pPr>
        <w:spacing w:before="2" w:line="218" w:lineRule="auto"/>
        <w:ind w:left="670"/>
        <w:rPr>
          <w:rFonts w:ascii="FangSong_GB2312" w:hAnsi="FangSong_GB2312" w:eastAsia="FangSong_GB2312" w:cs="FangSong_GB2312"/>
          <w:sz w:val="31"/>
          <w:szCs w:val="31"/>
        </w:rPr>
      </w:pPr>
      <w:r>
        <w:rPr>
          <w:rFonts w:ascii="FangSong_GB2312" w:hAnsi="FangSong_GB2312" w:eastAsia="FangSong_GB2312" w:cs="FangSong_GB2312"/>
          <w:spacing w:val="4"/>
          <w:sz w:val="31"/>
          <w:szCs w:val="31"/>
        </w:rPr>
        <w:t>二、该临时用地用于中国石油天然气股份有限公司华北油田</w:t>
      </w:r>
    </w:p>
    <w:p w14:paraId="6F731C5D">
      <w:pPr>
        <w:spacing w:line="253" w:lineRule="auto"/>
        <w:rPr>
          <w:rFonts w:ascii="Arial"/>
          <w:sz w:val="21"/>
        </w:rPr>
      </w:pPr>
    </w:p>
    <w:p w14:paraId="6719C2E5">
      <w:pPr>
        <w:spacing w:line="254" w:lineRule="auto"/>
        <w:rPr>
          <w:rFonts w:ascii="Arial"/>
          <w:sz w:val="21"/>
        </w:rPr>
      </w:pPr>
    </w:p>
    <w:p w14:paraId="734B1B1F">
      <w:pPr>
        <w:spacing w:line="254" w:lineRule="auto"/>
        <w:rPr>
          <w:rFonts w:ascii="Arial"/>
          <w:sz w:val="21"/>
        </w:rPr>
      </w:pPr>
    </w:p>
    <w:p w14:paraId="7630D7BF">
      <w:pPr>
        <w:pStyle w:val="2"/>
        <w:spacing w:before="91" w:line="242" w:lineRule="auto"/>
        <w:ind w:left="8151"/>
        <w:rPr>
          <w:sz w:val="28"/>
          <w:szCs w:val="28"/>
        </w:rPr>
      </w:pPr>
      <w:r>
        <w:rPr>
          <w:spacing w:val="-14"/>
          <w:sz w:val="28"/>
          <w:szCs w:val="28"/>
        </w:rPr>
        <w:t>-</w:t>
      </w:r>
      <w:r>
        <w:rPr>
          <w:spacing w:val="33"/>
          <w:sz w:val="28"/>
          <w:szCs w:val="28"/>
        </w:rPr>
        <w:t xml:space="preserve"> </w:t>
      </w:r>
      <w:r>
        <w:rPr>
          <w:spacing w:val="-14"/>
          <w:sz w:val="28"/>
          <w:szCs w:val="28"/>
        </w:rPr>
        <w:t>1</w:t>
      </w:r>
      <w:r>
        <w:rPr>
          <w:spacing w:val="9"/>
          <w:sz w:val="28"/>
          <w:szCs w:val="28"/>
        </w:rPr>
        <w:t xml:space="preserve"> </w:t>
      </w:r>
      <w:r>
        <w:rPr>
          <w:spacing w:val="-14"/>
          <w:sz w:val="28"/>
          <w:szCs w:val="28"/>
        </w:rPr>
        <w:t>-</w:t>
      </w:r>
    </w:p>
    <w:p w14:paraId="1F9E9365">
      <w:pPr>
        <w:spacing w:before="122" w:line="546" w:lineRule="exact"/>
        <w:ind w:firstLine="6957"/>
      </w:pPr>
      <w:r>
        <w:rPr>
          <w:position w:val="-10"/>
        </w:rPr>
        <w:drawing>
          <wp:inline distT="0" distB="0" distL="0" distR="0">
            <wp:extent cx="1804035" cy="346075"/>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239"/>
                    <a:stretch>
                      <a:fillRect/>
                    </a:stretch>
                  </pic:blipFill>
                  <pic:spPr>
                    <a:xfrm>
                      <a:off x="0" y="0"/>
                      <a:ext cx="1804229" cy="346709"/>
                    </a:xfrm>
                    <a:prstGeom prst="rect">
                      <a:avLst/>
                    </a:prstGeom>
                  </pic:spPr>
                </pic:pic>
              </a:graphicData>
            </a:graphic>
          </wp:inline>
        </w:drawing>
      </w:r>
    </w:p>
    <w:p w14:paraId="27DE87BA">
      <w:pPr>
        <w:spacing w:line="546" w:lineRule="exact"/>
        <w:sectPr>
          <w:footerReference r:id="rId131" w:type="default"/>
          <w:pgSz w:w="11906" w:h="16838"/>
          <w:pgMar w:top="400" w:right="575" w:bottom="400" w:left="1531" w:header="0" w:footer="0" w:gutter="0"/>
          <w:cols w:space="720" w:num="1"/>
        </w:sectPr>
      </w:pPr>
    </w:p>
    <w:p w14:paraId="6A9233A0">
      <w:pPr>
        <w:rPr>
          <w:rFonts w:ascii="Arial"/>
          <w:sz w:val="21"/>
        </w:rPr>
      </w:pPr>
    </w:p>
    <w:p w14:paraId="79EEA501">
      <w:pPr>
        <w:rPr>
          <w:rFonts w:ascii="Arial"/>
          <w:sz w:val="21"/>
        </w:rPr>
      </w:pPr>
    </w:p>
    <w:p w14:paraId="067AB61F">
      <w:pPr>
        <w:rPr>
          <w:rFonts w:ascii="Arial"/>
          <w:sz w:val="21"/>
        </w:rPr>
      </w:pPr>
    </w:p>
    <w:p w14:paraId="7D52E77D">
      <w:pPr>
        <w:rPr>
          <w:rFonts w:ascii="Arial"/>
          <w:sz w:val="21"/>
        </w:rPr>
      </w:pPr>
    </w:p>
    <w:p w14:paraId="58429EED">
      <w:pPr>
        <w:spacing w:line="241" w:lineRule="auto"/>
        <w:rPr>
          <w:rFonts w:ascii="Arial"/>
          <w:sz w:val="21"/>
        </w:rPr>
      </w:pPr>
    </w:p>
    <w:p w14:paraId="52ACCCCD">
      <w:pPr>
        <w:spacing w:line="241" w:lineRule="auto"/>
        <w:rPr>
          <w:rFonts w:ascii="Arial"/>
          <w:sz w:val="21"/>
        </w:rPr>
      </w:pPr>
    </w:p>
    <w:p w14:paraId="55B77313">
      <w:pPr>
        <w:spacing w:line="241" w:lineRule="auto"/>
        <w:rPr>
          <w:rFonts w:ascii="Arial"/>
          <w:sz w:val="21"/>
        </w:rPr>
      </w:pPr>
    </w:p>
    <w:p w14:paraId="6CFE7988">
      <w:pPr>
        <w:spacing w:before="101" w:line="371" w:lineRule="auto"/>
        <w:ind w:left="11" w:right="955" w:firstLine="40"/>
        <w:jc w:val="both"/>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巴彦勘探开发分公司扎格</w:t>
      </w:r>
      <w:r>
        <w:rPr>
          <w:rFonts w:ascii="FangSong_GB2312" w:hAnsi="FangSong_GB2312" w:eastAsia="FangSong_GB2312" w:cs="FangSong_GB2312"/>
          <w:spacing w:val="-46"/>
          <w:sz w:val="31"/>
          <w:szCs w:val="31"/>
        </w:rPr>
        <w:t xml:space="preserve"> </w:t>
      </w:r>
      <w:r>
        <w:rPr>
          <w:rFonts w:ascii="FangSong_GB2312" w:hAnsi="FangSong_GB2312" w:eastAsia="FangSong_GB2312" w:cs="FangSong_GB2312"/>
          <w:spacing w:val="7"/>
          <w:sz w:val="31"/>
          <w:szCs w:val="31"/>
        </w:rPr>
        <w:t>9X</w:t>
      </w:r>
      <w:r>
        <w:rPr>
          <w:rFonts w:ascii="FangSong_GB2312" w:hAnsi="FangSong_GB2312" w:eastAsia="FangSong_GB2312" w:cs="FangSong_GB2312"/>
          <w:spacing w:val="-41"/>
          <w:sz w:val="31"/>
          <w:szCs w:val="31"/>
        </w:rPr>
        <w:t xml:space="preserve"> </w:t>
      </w:r>
      <w:r>
        <w:rPr>
          <w:rFonts w:ascii="FangSong_GB2312" w:hAnsi="FangSong_GB2312" w:eastAsia="FangSong_GB2312" w:cs="FangSong_GB2312"/>
          <w:spacing w:val="7"/>
          <w:sz w:val="31"/>
          <w:szCs w:val="31"/>
        </w:rPr>
        <w:t>井油气勘探开发</w:t>
      </w:r>
      <w:r>
        <w:rPr>
          <w:rFonts w:ascii="FangSong_GB2312" w:hAnsi="FangSong_GB2312" w:eastAsia="FangSong_GB2312" w:cs="FangSong_GB2312"/>
          <w:spacing w:val="6"/>
          <w:sz w:val="31"/>
          <w:szCs w:val="31"/>
        </w:rPr>
        <w:t>项目钻井井场。你</w:t>
      </w:r>
      <w:r>
        <w:rPr>
          <w:rFonts w:ascii="FangSong_GB2312" w:hAnsi="FangSong_GB2312" w:eastAsia="FangSong_GB2312" w:cs="FangSong_GB2312"/>
          <w:spacing w:val="5"/>
          <w:sz w:val="31"/>
          <w:szCs w:val="31"/>
        </w:rPr>
        <w:t>单位要监督临时用地使用人严格按照批准的用途使用土地，不得</w:t>
      </w:r>
      <w:r>
        <w:rPr>
          <w:rFonts w:ascii="FangSong_GB2312" w:hAnsi="FangSong_GB2312" w:eastAsia="FangSong_GB2312" w:cs="FangSong_GB2312"/>
          <w:spacing w:val="7"/>
          <w:sz w:val="31"/>
          <w:szCs w:val="31"/>
        </w:rPr>
        <w:t>转让、出租、抵押临时用地。</w:t>
      </w:r>
    </w:p>
    <w:p w14:paraId="54624622">
      <w:pPr>
        <w:spacing w:before="5" w:line="371" w:lineRule="auto"/>
        <w:ind w:left="1" w:right="951" w:firstLine="666"/>
        <w:rPr>
          <w:rFonts w:ascii="FangSong_GB2312" w:hAnsi="FangSong_GB2312" w:eastAsia="FangSong_GB2312" w:cs="FangSong_GB2312"/>
          <w:sz w:val="31"/>
          <w:szCs w:val="31"/>
        </w:rPr>
      </w:pPr>
      <w:r>
        <w:rPr>
          <w:rFonts w:ascii="FangSong_GB2312" w:hAnsi="FangSong_GB2312" w:eastAsia="FangSong_GB2312" w:cs="FangSong_GB2312"/>
          <w:spacing w:val="4"/>
          <w:sz w:val="31"/>
          <w:szCs w:val="31"/>
        </w:rPr>
        <w:t>三、你单位应依法监督临时用地使用人严格落实临时用地恢</w:t>
      </w:r>
      <w:r>
        <w:rPr>
          <w:rFonts w:ascii="FangSong_GB2312" w:hAnsi="FangSong_GB2312" w:eastAsia="FangSong_GB2312" w:cs="FangSong_GB2312"/>
          <w:spacing w:val="5"/>
          <w:sz w:val="31"/>
          <w:szCs w:val="31"/>
        </w:rPr>
        <w:t>复责任，临时用地期满后应当拆除临时建（构）筑物，使用耕地的应当复垦为耕地，确保耕地面积不减少、质量不降低；使用耕地以外的其他农用地的应当恢复为原貌；使用未利用地的，对于</w:t>
      </w:r>
      <w:r>
        <w:rPr>
          <w:rFonts w:ascii="FangSong_GB2312" w:hAnsi="FangSong_GB2312" w:eastAsia="FangSong_GB2312" w:cs="FangSong_GB2312"/>
          <w:spacing w:val="8"/>
          <w:sz w:val="31"/>
          <w:szCs w:val="31"/>
        </w:rPr>
        <w:t>符合条件的鼓励复垦为耕地。</w:t>
      </w:r>
    </w:p>
    <w:p w14:paraId="4A9A04DE">
      <w:pPr>
        <w:spacing w:before="7" w:line="371" w:lineRule="auto"/>
        <w:ind w:left="1" w:right="954" w:firstLine="680"/>
        <w:rPr>
          <w:rFonts w:ascii="FangSong_GB2312" w:hAnsi="FangSong_GB2312" w:eastAsia="FangSong_GB2312" w:cs="FangSong_GB2312"/>
          <w:sz w:val="31"/>
          <w:szCs w:val="31"/>
        </w:rPr>
      </w:pPr>
      <w:r>
        <w:rPr>
          <w:rFonts w:ascii="FangSong_GB2312" w:hAnsi="FangSong_GB2312" w:eastAsia="FangSong_GB2312" w:cs="FangSong_GB2312"/>
          <w:spacing w:val="3"/>
          <w:sz w:val="31"/>
          <w:szCs w:val="31"/>
        </w:rPr>
        <w:t>四、该临时用地涉及占用永久基本农田，你单位须在临时用</w:t>
      </w:r>
      <w:r>
        <w:rPr>
          <w:rFonts w:ascii="FangSong_GB2312" w:hAnsi="FangSong_GB2312" w:eastAsia="FangSong_GB2312" w:cs="FangSong_GB2312"/>
          <w:spacing w:val="5"/>
          <w:sz w:val="31"/>
          <w:szCs w:val="31"/>
        </w:rPr>
        <w:t>地使用到期后责成使用人恢复原种植条件，并符合《自然资源部</w:t>
      </w:r>
      <w:r>
        <w:rPr>
          <w:rFonts w:ascii="FangSong_GB2312" w:hAnsi="FangSong_GB2312" w:eastAsia="FangSong_GB2312" w:cs="FangSong_GB2312"/>
          <w:spacing w:val="4"/>
          <w:sz w:val="31"/>
          <w:szCs w:val="31"/>
        </w:rPr>
        <w:t>农业农村部关于加强和改进永久基本农田保护工作的</w:t>
      </w:r>
      <w:r>
        <w:rPr>
          <w:rFonts w:ascii="FangSong_GB2312" w:hAnsi="FangSong_GB2312" w:eastAsia="FangSong_GB2312" w:cs="FangSong_GB2312"/>
          <w:spacing w:val="3"/>
          <w:sz w:val="31"/>
          <w:szCs w:val="31"/>
        </w:rPr>
        <w:t>通知》（自</w:t>
      </w:r>
      <w:r>
        <w:rPr>
          <w:rFonts w:ascii="FangSong_GB2312" w:hAnsi="FangSong_GB2312" w:eastAsia="FangSong_GB2312" w:cs="FangSong_GB2312"/>
          <w:spacing w:val="7"/>
          <w:sz w:val="31"/>
          <w:szCs w:val="31"/>
        </w:rPr>
        <w:t>然资规〔2019〕1</w:t>
      </w:r>
      <w:r>
        <w:rPr>
          <w:rFonts w:ascii="FangSong_GB2312" w:hAnsi="FangSong_GB2312" w:eastAsia="FangSong_GB2312" w:cs="FangSong_GB2312"/>
          <w:spacing w:val="-48"/>
          <w:sz w:val="31"/>
          <w:szCs w:val="31"/>
        </w:rPr>
        <w:t xml:space="preserve"> </w:t>
      </w:r>
      <w:r>
        <w:rPr>
          <w:rFonts w:ascii="FangSong_GB2312" w:hAnsi="FangSong_GB2312" w:eastAsia="FangSong_GB2312" w:cs="FangSong_GB2312"/>
          <w:spacing w:val="7"/>
          <w:sz w:val="31"/>
          <w:szCs w:val="31"/>
        </w:rPr>
        <w:t>号）中申请条件、土</w:t>
      </w:r>
      <w:r>
        <w:rPr>
          <w:rFonts w:ascii="FangSong_GB2312" w:hAnsi="FangSong_GB2312" w:eastAsia="FangSong_GB2312" w:cs="FangSong_GB2312"/>
          <w:spacing w:val="6"/>
          <w:sz w:val="31"/>
          <w:szCs w:val="31"/>
        </w:rPr>
        <w:t>壤剥离、复垦验收等有关</w:t>
      </w:r>
      <w:r>
        <w:rPr>
          <w:rFonts w:ascii="FangSong_GB2312" w:hAnsi="FangSong_GB2312" w:eastAsia="FangSong_GB2312" w:cs="FangSong_GB2312"/>
          <w:spacing w:val="2"/>
          <w:sz w:val="31"/>
          <w:szCs w:val="31"/>
        </w:rPr>
        <w:t>规定。</w:t>
      </w:r>
    </w:p>
    <w:p w14:paraId="44562C02">
      <w:pPr>
        <w:spacing w:before="5" w:line="371" w:lineRule="auto"/>
        <w:ind w:left="3" w:right="953" w:firstLine="651"/>
        <w:rPr>
          <w:rFonts w:ascii="FangSong_GB2312" w:hAnsi="FangSong_GB2312" w:eastAsia="FangSong_GB2312" w:cs="FangSong_GB2312"/>
          <w:sz w:val="31"/>
          <w:szCs w:val="31"/>
        </w:rPr>
      </w:pPr>
      <w:r>
        <w:rPr>
          <w:rFonts w:ascii="FangSong_GB2312" w:hAnsi="FangSong_GB2312" w:eastAsia="FangSong_GB2312" w:cs="FangSong_GB2312"/>
          <w:spacing w:val="9"/>
          <w:sz w:val="31"/>
          <w:szCs w:val="31"/>
        </w:rPr>
        <w:t>五、你单位应按要求在临时用地使用期满复垦工作完成后</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9"/>
          <w:sz w:val="31"/>
          <w:szCs w:val="31"/>
        </w:rPr>
        <w:t>20</w:t>
      </w:r>
      <w:r>
        <w:rPr>
          <w:rFonts w:ascii="FangSong_GB2312" w:hAnsi="FangSong_GB2312" w:eastAsia="FangSong_GB2312" w:cs="FangSong_GB2312"/>
          <w:spacing w:val="-60"/>
          <w:sz w:val="31"/>
          <w:szCs w:val="31"/>
        </w:rPr>
        <w:t xml:space="preserve"> </w:t>
      </w:r>
      <w:r>
        <w:rPr>
          <w:rFonts w:ascii="FangSong_GB2312" w:hAnsi="FangSong_GB2312" w:eastAsia="FangSong_GB2312" w:cs="FangSong_GB2312"/>
          <w:spacing w:val="9"/>
          <w:sz w:val="31"/>
          <w:szCs w:val="31"/>
        </w:rPr>
        <w:t>个工作日内，将土地复垦验收相关信息传</w:t>
      </w:r>
      <w:r>
        <w:rPr>
          <w:rFonts w:ascii="FangSong_GB2312" w:hAnsi="FangSong_GB2312" w:eastAsia="FangSong_GB2312" w:cs="FangSong_GB2312"/>
          <w:spacing w:val="8"/>
          <w:sz w:val="31"/>
          <w:szCs w:val="31"/>
        </w:rPr>
        <w:t>至临时用地信息系</w:t>
      </w:r>
      <w:r>
        <w:rPr>
          <w:rFonts w:ascii="FangSong_GB2312" w:hAnsi="FangSong_GB2312" w:eastAsia="FangSong_GB2312" w:cs="FangSong_GB2312"/>
          <w:spacing w:val="5"/>
          <w:sz w:val="31"/>
          <w:szCs w:val="31"/>
        </w:rPr>
        <w:t>统，完成复垦阶段信息填报。同时，负责监督临时用地使用人履行复垦义务情况，对逾期不恢复种植条件、违反土地复垦规定的行为，要及时发现制止，责令限期改正，并依照法律法规进行处</w:t>
      </w:r>
      <w:r>
        <w:rPr>
          <w:rFonts w:ascii="FangSong_GB2312" w:hAnsi="FangSong_GB2312" w:eastAsia="FangSong_GB2312" w:cs="FangSong_GB2312"/>
          <w:spacing w:val="-2"/>
          <w:sz w:val="31"/>
          <w:szCs w:val="31"/>
        </w:rPr>
        <w:t>罚。</w:t>
      </w:r>
    </w:p>
    <w:p w14:paraId="794D16D3">
      <w:pPr>
        <w:spacing w:line="219" w:lineRule="auto"/>
        <w:ind w:left="658"/>
        <w:rPr>
          <w:rFonts w:ascii="FangSong_GB2312" w:hAnsi="FangSong_GB2312" w:eastAsia="FangSong_GB2312" w:cs="FangSong_GB2312"/>
          <w:sz w:val="31"/>
          <w:szCs w:val="31"/>
        </w:rPr>
      </w:pPr>
      <w:r>
        <w:rPr>
          <w:rFonts w:ascii="FangSong_GB2312" w:hAnsi="FangSong_GB2312" w:eastAsia="FangSong_GB2312" w:cs="FangSong_GB2312"/>
          <w:spacing w:val="2"/>
          <w:sz w:val="31"/>
          <w:szCs w:val="31"/>
        </w:rPr>
        <w:t>六、该临时用地的使用期限原则为</w:t>
      </w:r>
      <w:r>
        <w:rPr>
          <w:rFonts w:ascii="FangSong_GB2312" w:hAnsi="FangSong_GB2312" w:eastAsia="FangSong_GB2312" w:cs="FangSong_GB2312"/>
          <w:spacing w:val="-35"/>
          <w:sz w:val="31"/>
          <w:szCs w:val="31"/>
        </w:rPr>
        <w:t xml:space="preserve"> </w:t>
      </w:r>
      <w:r>
        <w:rPr>
          <w:rFonts w:ascii="FangSong_GB2312" w:hAnsi="FangSong_GB2312" w:eastAsia="FangSong_GB2312" w:cs="FangSong_GB2312"/>
          <w:spacing w:val="2"/>
          <w:sz w:val="31"/>
          <w:szCs w:val="31"/>
        </w:rPr>
        <w:t>4</w:t>
      </w:r>
      <w:r>
        <w:rPr>
          <w:rFonts w:ascii="FangSong_GB2312" w:hAnsi="FangSong_GB2312" w:eastAsia="FangSong_GB2312" w:cs="FangSong_GB2312"/>
          <w:spacing w:val="-58"/>
          <w:sz w:val="31"/>
          <w:szCs w:val="31"/>
        </w:rPr>
        <w:t xml:space="preserve"> </w:t>
      </w:r>
      <w:r>
        <w:rPr>
          <w:rFonts w:ascii="FangSong_GB2312" w:hAnsi="FangSong_GB2312" w:eastAsia="FangSong_GB2312" w:cs="FangSong_GB2312"/>
          <w:spacing w:val="2"/>
          <w:sz w:val="31"/>
          <w:szCs w:val="31"/>
        </w:rPr>
        <w:t>年，自临时用地批准之</w:t>
      </w:r>
    </w:p>
    <w:p w14:paraId="5B22C559">
      <w:pPr>
        <w:spacing w:line="313" w:lineRule="auto"/>
        <w:rPr>
          <w:rFonts w:ascii="Arial"/>
          <w:sz w:val="21"/>
        </w:rPr>
      </w:pPr>
    </w:p>
    <w:p w14:paraId="60CB2B69">
      <w:pPr>
        <w:spacing w:line="314" w:lineRule="auto"/>
        <w:rPr>
          <w:rFonts w:ascii="Arial"/>
          <w:sz w:val="21"/>
        </w:rPr>
      </w:pPr>
    </w:p>
    <w:p w14:paraId="5D16C3E2">
      <w:pPr>
        <w:pStyle w:val="2"/>
        <w:spacing w:before="92" w:line="242" w:lineRule="auto"/>
        <w:rPr>
          <w:sz w:val="28"/>
          <w:szCs w:val="28"/>
        </w:rPr>
      </w:pPr>
      <w:r>
        <w:rPr>
          <w:spacing w:val="-8"/>
          <w:sz w:val="28"/>
          <w:szCs w:val="28"/>
        </w:rPr>
        <w:t>-</w:t>
      </w:r>
      <w:r>
        <w:rPr>
          <w:spacing w:val="15"/>
          <w:sz w:val="28"/>
          <w:szCs w:val="28"/>
        </w:rPr>
        <w:t xml:space="preserve"> </w:t>
      </w:r>
      <w:r>
        <w:rPr>
          <w:spacing w:val="-8"/>
          <w:sz w:val="28"/>
          <w:szCs w:val="28"/>
        </w:rPr>
        <w:t>2</w:t>
      </w:r>
      <w:r>
        <w:rPr>
          <w:spacing w:val="7"/>
          <w:sz w:val="28"/>
          <w:szCs w:val="28"/>
        </w:rPr>
        <w:t xml:space="preserve"> </w:t>
      </w:r>
      <w:r>
        <w:rPr>
          <w:spacing w:val="-8"/>
          <w:sz w:val="28"/>
          <w:szCs w:val="28"/>
        </w:rPr>
        <w:t>-</w:t>
      </w:r>
    </w:p>
    <w:p w14:paraId="14B4FC03">
      <w:pPr>
        <w:spacing w:before="122" w:line="546" w:lineRule="exact"/>
        <w:ind w:firstLine="6948"/>
      </w:pPr>
      <w:r>
        <w:rPr>
          <w:position w:val="-10"/>
        </w:rPr>
        <w:drawing>
          <wp:inline distT="0" distB="0" distL="0" distR="0">
            <wp:extent cx="1804035" cy="346075"/>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239"/>
                    <a:stretch>
                      <a:fillRect/>
                    </a:stretch>
                  </pic:blipFill>
                  <pic:spPr>
                    <a:xfrm>
                      <a:off x="0" y="0"/>
                      <a:ext cx="1804229" cy="346709"/>
                    </a:xfrm>
                    <a:prstGeom prst="rect">
                      <a:avLst/>
                    </a:prstGeom>
                  </pic:spPr>
                </pic:pic>
              </a:graphicData>
            </a:graphic>
          </wp:inline>
        </w:drawing>
      </w:r>
    </w:p>
    <w:p w14:paraId="2FEF0EA7">
      <w:pPr>
        <w:spacing w:line="546" w:lineRule="exact"/>
        <w:sectPr>
          <w:pgSz w:w="11906" w:h="16838"/>
          <w:pgMar w:top="400" w:right="575" w:bottom="400" w:left="1539" w:header="0" w:footer="0" w:gutter="0"/>
          <w:cols w:space="720" w:num="1"/>
        </w:sectPr>
      </w:pPr>
    </w:p>
    <w:p w14:paraId="7F9E4514">
      <w:pPr>
        <w:rPr>
          <w:rFonts w:ascii="Arial"/>
          <w:sz w:val="21"/>
        </w:rPr>
      </w:pPr>
    </w:p>
    <w:p w14:paraId="0654DBEB">
      <w:pPr>
        <w:rPr>
          <w:rFonts w:ascii="Arial"/>
          <w:sz w:val="21"/>
        </w:rPr>
      </w:pPr>
    </w:p>
    <w:p w14:paraId="522B1E15">
      <w:pPr>
        <w:rPr>
          <w:rFonts w:ascii="Arial"/>
          <w:sz w:val="21"/>
        </w:rPr>
      </w:pPr>
    </w:p>
    <w:p w14:paraId="6F2242E0">
      <w:pPr>
        <w:rPr>
          <w:rFonts w:ascii="Arial"/>
          <w:sz w:val="21"/>
        </w:rPr>
      </w:pPr>
    </w:p>
    <w:p w14:paraId="658903C3">
      <w:pPr>
        <w:spacing w:line="241" w:lineRule="auto"/>
        <w:rPr>
          <w:rFonts w:ascii="Arial"/>
          <w:sz w:val="21"/>
        </w:rPr>
      </w:pPr>
    </w:p>
    <w:p w14:paraId="6BCEB93A">
      <w:pPr>
        <w:spacing w:line="241" w:lineRule="auto"/>
        <w:rPr>
          <w:rFonts w:ascii="Arial"/>
          <w:sz w:val="21"/>
        </w:rPr>
      </w:pPr>
    </w:p>
    <w:p w14:paraId="56059D4B">
      <w:pPr>
        <w:spacing w:line="241" w:lineRule="auto"/>
        <w:rPr>
          <w:rFonts w:ascii="Arial"/>
          <w:sz w:val="21"/>
        </w:rPr>
      </w:pPr>
    </w:p>
    <w:p w14:paraId="422BB8B0">
      <w:pPr>
        <w:spacing w:before="101" w:line="219" w:lineRule="auto"/>
        <w:rPr>
          <w:rFonts w:ascii="FangSong_GB2312" w:hAnsi="FangSong_GB2312" w:eastAsia="FangSong_GB2312" w:cs="FangSong_GB2312"/>
          <w:sz w:val="31"/>
          <w:szCs w:val="31"/>
        </w:rPr>
      </w:pPr>
      <w:r>
        <w:rPr>
          <w:rFonts w:ascii="FangSong_GB2312" w:hAnsi="FangSong_GB2312" w:eastAsia="FangSong_GB2312" w:cs="FangSong_GB2312"/>
          <w:spacing w:val="-11"/>
          <w:sz w:val="31"/>
          <w:szCs w:val="31"/>
        </w:rPr>
        <w:t>日算起。</w:t>
      </w:r>
    </w:p>
    <w:p w14:paraId="57B85F90">
      <w:pPr>
        <w:spacing w:line="258" w:lineRule="auto"/>
        <w:rPr>
          <w:rFonts w:ascii="Arial"/>
          <w:sz w:val="21"/>
        </w:rPr>
      </w:pPr>
    </w:p>
    <w:p w14:paraId="12696B9F">
      <w:pPr>
        <w:spacing w:line="258" w:lineRule="auto"/>
        <w:rPr>
          <w:rFonts w:ascii="Arial"/>
          <w:sz w:val="21"/>
        </w:rPr>
      </w:pPr>
    </w:p>
    <w:p w14:paraId="2ADBEB09">
      <w:pPr>
        <w:spacing w:line="258" w:lineRule="auto"/>
        <w:rPr>
          <w:rFonts w:ascii="Arial"/>
          <w:sz w:val="21"/>
        </w:rPr>
      </w:pPr>
    </w:p>
    <w:p w14:paraId="37E32DF4">
      <w:pPr>
        <w:spacing w:before="101" w:line="219" w:lineRule="auto"/>
        <w:ind w:left="5633"/>
        <w:rPr>
          <w:rFonts w:ascii="FangSong_GB2312" w:hAnsi="FangSong_GB2312" w:eastAsia="FangSong_GB2312" w:cs="FangSong_GB2312"/>
          <w:sz w:val="31"/>
          <w:szCs w:val="31"/>
        </w:rPr>
      </w:pPr>
      <w:r>
        <w:drawing>
          <wp:anchor distT="0" distB="0" distL="0" distR="0" simplePos="0" relativeHeight="251752448" behindDoc="1" locked="0" layoutInCell="1" allowOverlap="1">
            <wp:simplePos x="0" y="0"/>
            <wp:positionH relativeFrom="column">
              <wp:posOffset>3665220</wp:posOffset>
            </wp:positionH>
            <wp:positionV relativeFrom="paragraph">
              <wp:posOffset>-513080</wp:posOffset>
            </wp:positionV>
            <wp:extent cx="1619885" cy="1619885"/>
            <wp:effectExtent l="0" t="0" r="0" b="0"/>
            <wp:wrapNone/>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240"/>
                    <a:stretch>
                      <a:fillRect/>
                    </a:stretch>
                  </pic:blipFill>
                  <pic:spPr>
                    <a:xfrm>
                      <a:off x="0" y="0"/>
                      <a:ext cx="1619999" cy="1619998"/>
                    </a:xfrm>
                    <a:prstGeom prst="rect">
                      <a:avLst/>
                    </a:prstGeom>
                  </pic:spPr>
                </pic:pic>
              </a:graphicData>
            </a:graphic>
          </wp:anchor>
        </w:drawing>
      </w:r>
      <w:r>
        <w:rPr>
          <w:rFonts w:ascii="FangSong_GB2312" w:hAnsi="FangSong_GB2312" w:eastAsia="FangSong_GB2312" w:cs="FangSong_GB2312"/>
          <w:spacing w:val="3"/>
          <w:sz w:val="31"/>
          <w:szCs w:val="31"/>
        </w:rPr>
        <w:t>巴彦淖尔市自然资源局</w:t>
      </w:r>
    </w:p>
    <w:p w14:paraId="7EBF59FF">
      <w:pPr>
        <w:spacing w:before="256" w:line="220" w:lineRule="auto"/>
        <w:ind w:left="5774"/>
        <w:rPr>
          <w:rFonts w:ascii="FangSong_GB2312" w:hAnsi="FangSong_GB2312" w:eastAsia="FangSong_GB2312" w:cs="FangSong_GB2312"/>
          <w:sz w:val="31"/>
          <w:szCs w:val="31"/>
        </w:rPr>
      </w:pPr>
      <w:r>
        <w:rPr>
          <w:rFonts w:ascii="FangSong_GB2312" w:hAnsi="FangSong_GB2312" w:eastAsia="FangSong_GB2312" w:cs="FangSong_GB2312"/>
          <w:spacing w:val="-8"/>
          <w:sz w:val="31"/>
          <w:szCs w:val="31"/>
        </w:rPr>
        <w:t>2026</w:t>
      </w:r>
      <w:r>
        <w:rPr>
          <w:rFonts w:ascii="FangSong_GB2312" w:hAnsi="FangSong_GB2312" w:eastAsia="FangSong_GB2312" w:cs="FangSong_GB2312"/>
          <w:spacing w:val="-53"/>
          <w:sz w:val="31"/>
          <w:szCs w:val="31"/>
        </w:rPr>
        <w:t xml:space="preserve"> </w:t>
      </w:r>
      <w:r>
        <w:rPr>
          <w:rFonts w:ascii="FangSong_GB2312" w:hAnsi="FangSong_GB2312" w:eastAsia="FangSong_GB2312" w:cs="FangSong_GB2312"/>
          <w:spacing w:val="-8"/>
          <w:sz w:val="31"/>
          <w:szCs w:val="31"/>
        </w:rPr>
        <w:t>年</w:t>
      </w:r>
      <w:r>
        <w:rPr>
          <w:rFonts w:ascii="FangSong_GB2312" w:hAnsi="FangSong_GB2312" w:eastAsia="FangSong_GB2312" w:cs="FangSong_GB2312"/>
          <w:spacing w:val="-47"/>
          <w:sz w:val="31"/>
          <w:szCs w:val="31"/>
        </w:rPr>
        <w:t xml:space="preserve"> </w:t>
      </w:r>
      <w:r>
        <w:rPr>
          <w:rFonts w:ascii="FangSong_GB2312" w:hAnsi="FangSong_GB2312" w:eastAsia="FangSong_GB2312" w:cs="FangSong_GB2312"/>
          <w:spacing w:val="-8"/>
          <w:sz w:val="31"/>
          <w:szCs w:val="31"/>
        </w:rPr>
        <w:t>5</w:t>
      </w:r>
      <w:r>
        <w:rPr>
          <w:rFonts w:ascii="FangSong_GB2312" w:hAnsi="FangSong_GB2312" w:eastAsia="FangSong_GB2312" w:cs="FangSong_GB2312"/>
          <w:spacing w:val="-45"/>
          <w:sz w:val="31"/>
          <w:szCs w:val="31"/>
        </w:rPr>
        <w:t xml:space="preserve"> </w:t>
      </w:r>
      <w:r>
        <w:rPr>
          <w:rFonts w:ascii="FangSong_GB2312" w:hAnsi="FangSong_GB2312" w:eastAsia="FangSong_GB2312" w:cs="FangSong_GB2312"/>
          <w:spacing w:val="-8"/>
          <w:sz w:val="31"/>
          <w:szCs w:val="31"/>
        </w:rPr>
        <w:t>月</w:t>
      </w:r>
      <w:r>
        <w:rPr>
          <w:rFonts w:ascii="FangSong_GB2312" w:hAnsi="FangSong_GB2312" w:eastAsia="FangSong_GB2312" w:cs="FangSong_GB2312"/>
          <w:spacing w:val="-41"/>
          <w:sz w:val="31"/>
          <w:szCs w:val="31"/>
        </w:rPr>
        <w:t xml:space="preserve"> </w:t>
      </w:r>
      <w:r>
        <w:rPr>
          <w:rFonts w:ascii="FangSong_GB2312" w:hAnsi="FangSong_GB2312" w:eastAsia="FangSong_GB2312" w:cs="FangSong_GB2312"/>
          <w:spacing w:val="-8"/>
          <w:sz w:val="31"/>
          <w:szCs w:val="31"/>
        </w:rPr>
        <w:t>19 日</w:t>
      </w:r>
    </w:p>
    <w:p w14:paraId="21FBC290">
      <w:pPr>
        <w:spacing w:line="245" w:lineRule="auto"/>
        <w:rPr>
          <w:rFonts w:ascii="Arial"/>
          <w:sz w:val="21"/>
        </w:rPr>
      </w:pPr>
    </w:p>
    <w:p w14:paraId="338AF306">
      <w:pPr>
        <w:spacing w:line="245" w:lineRule="auto"/>
        <w:rPr>
          <w:rFonts w:ascii="Arial"/>
          <w:sz w:val="21"/>
        </w:rPr>
      </w:pPr>
    </w:p>
    <w:p w14:paraId="17034EB9">
      <w:pPr>
        <w:spacing w:line="245" w:lineRule="auto"/>
        <w:rPr>
          <w:rFonts w:ascii="Arial"/>
          <w:sz w:val="21"/>
        </w:rPr>
      </w:pPr>
    </w:p>
    <w:p w14:paraId="6932340F">
      <w:pPr>
        <w:spacing w:line="245" w:lineRule="auto"/>
        <w:rPr>
          <w:rFonts w:ascii="Arial"/>
          <w:sz w:val="21"/>
        </w:rPr>
      </w:pPr>
    </w:p>
    <w:p w14:paraId="5A8E8886">
      <w:pPr>
        <w:spacing w:line="245" w:lineRule="auto"/>
        <w:rPr>
          <w:rFonts w:ascii="Arial"/>
          <w:sz w:val="21"/>
        </w:rPr>
      </w:pPr>
    </w:p>
    <w:p w14:paraId="1288E8A3">
      <w:pPr>
        <w:spacing w:line="245" w:lineRule="auto"/>
        <w:rPr>
          <w:rFonts w:ascii="Arial"/>
          <w:sz w:val="21"/>
        </w:rPr>
      </w:pPr>
    </w:p>
    <w:p w14:paraId="151ACD0A">
      <w:pPr>
        <w:spacing w:line="245" w:lineRule="auto"/>
        <w:rPr>
          <w:rFonts w:ascii="Arial"/>
          <w:sz w:val="21"/>
        </w:rPr>
      </w:pPr>
    </w:p>
    <w:p w14:paraId="6143AC9E">
      <w:pPr>
        <w:spacing w:line="245" w:lineRule="auto"/>
        <w:rPr>
          <w:rFonts w:ascii="Arial"/>
          <w:sz w:val="21"/>
        </w:rPr>
      </w:pPr>
    </w:p>
    <w:p w14:paraId="29385011">
      <w:pPr>
        <w:spacing w:line="245" w:lineRule="auto"/>
        <w:rPr>
          <w:rFonts w:ascii="Arial"/>
          <w:sz w:val="21"/>
        </w:rPr>
      </w:pPr>
    </w:p>
    <w:p w14:paraId="7EA1CFD7">
      <w:pPr>
        <w:spacing w:line="245" w:lineRule="auto"/>
        <w:rPr>
          <w:rFonts w:ascii="Arial"/>
          <w:sz w:val="21"/>
        </w:rPr>
      </w:pPr>
    </w:p>
    <w:p w14:paraId="13FBFF8D">
      <w:pPr>
        <w:spacing w:line="245" w:lineRule="auto"/>
        <w:rPr>
          <w:rFonts w:ascii="Arial"/>
          <w:sz w:val="21"/>
        </w:rPr>
      </w:pPr>
    </w:p>
    <w:p w14:paraId="50866155">
      <w:pPr>
        <w:spacing w:line="245" w:lineRule="auto"/>
        <w:rPr>
          <w:rFonts w:ascii="Arial"/>
          <w:sz w:val="21"/>
        </w:rPr>
      </w:pPr>
    </w:p>
    <w:p w14:paraId="74D3CB1A">
      <w:pPr>
        <w:spacing w:line="245" w:lineRule="auto"/>
        <w:rPr>
          <w:rFonts w:ascii="Arial"/>
          <w:sz w:val="21"/>
        </w:rPr>
      </w:pPr>
    </w:p>
    <w:p w14:paraId="21639E9D">
      <w:pPr>
        <w:spacing w:line="245" w:lineRule="auto"/>
        <w:rPr>
          <w:rFonts w:ascii="Arial"/>
          <w:sz w:val="21"/>
        </w:rPr>
      </w:pPr>
    </w:p>
    <w:p w14:paraId="2309186E">
      <w:pPr>
        <w:spacing w:line="245" w:lineRule="auto"/>
        <w:rPr>
          <w:rFonts w:ascii="Arial"/>
          <w:sz w:val="21"/>
        </w:rPr>
      </w:pPr>
    </w:p>
    <w:p w14:paraId="063784D6">
      <w:pPr>
        <w:spacing w:line="245" w:lineRule="auto"/>
        <w:rPr>
          <w:rFonts w:ascii="Arial"/>
          <w:sz w:val="21"/>
        </w:rPr>
      </w:pPr>
    </w:p>
    <w:p w14:paraId="1D446458">
      <w:pPr>
        <w:spacing w:line="245" w:lineRule="auto"/>
        <w:rPr>
          <w:rFonts w:ascii="Arial"/>
          <w:sz w:val="21"/>
        </w:rPr>
      </w:pPr>
    </w:p>
    <w:p w14:paraId="5523120E">
      <w:pPr>
        <w:spacing w:line="245" w:lineRule="auto"/>
        <w:rPr>
          <w:rFonts w:ascii="Arial"/>
          <w:sz w:val="21"/>
        </w:rPr>
      </w:pPr>
    </w:p>
    <w:p w14:paraId="36AB1D48">
      <w:pPr>
        <w:spacing w:line="245" w:lineRule="auto"/>
        <w:rPr>
          <w:rFonts w:ascii="Arial"/>
          <w:sz w:val="21"/>
        </w:rPr>
      </w:pPr>
    </w:p>
    <w:p w14:paraId="3F8F47D1">
      <w:pPr>
        <w:spacing w:line="245" w:lineRule="auto"/>
        <w:rPr>
          <w:rFonts w:ascii="Arial"/>
          <w:sz w:val="21"/>
        </w:rPr>
      </w:pPr>
    </w:p>
    <w:p w14:paraId="4D48E40E">
      <w:pPr>
        <w:spacing w:line="245" w:lineRule="auto"/>
        <w:rPr>
          <w:rFonts w:ascii="Arial"/>
          <w:sz w:val="21"/>
        </w:rPr>
      </w:pPr>
    </w:p>
    <w:p w14:paraId="3E1D9B62">
      <w:pPr>
        <w:spacing w:line="245" w:lineRule="auto"/>
        <w:rPr>
          <w:rFonts w:ascii="Arial"/>
          <w:sz w:val="21"/>
        </w:rPr>
      </w:pPr>
    </w:p>
    <w:p w14:paraId="38ABB492">
      <w:pPr>
        <w:spacing w:line="245" w:lineRule="auto"/>
        <w:rPr>
          <w:rFonts w:ascii="Arial"/>
          <w:sz w:val="21"/>
        </w:rPr>
      </w:pPr>
    </w:p>
    <w:p w14:paraId="5208E6A5">
      <w:pPr>
        <w:spacing w:line="245" w:lineRule="auto"/>
        <w:rPr>
          <w:rFonts w:ascii="Arial"/>
          <w:sz w:val="21"/>
        </w:rPr>
      </w:pPr>
    </w:p>
    <w:p w14:paraId="6689077D">
      <w:pPr>
        <w:spacing w:line="245" w:lineRule="auto"/>
        <w:rPr>
          <w:rFonts w:ascii="Arial"/>
          <w:sz w:val="21"/>
        </w:rPr>
      </w:pPr>
    </w:p>
    <w:p w14:paraId="6FBA3764">
      <w:pPr>
        <w:spacing w:line="245" w:lineRule="auto"/>
        <w:rPr>
          <w:rFonts w:ascii="Arial"/>
          <w:sz w:val="21"/>
        </w:rPr>
      </w:pPr>
    </w:p>
    <w:p w14:paraId="042644AB">
      <w:pPr>
        <w:spacing w:line="245" w:lineRule="auto"/>
        <w:rPr>
          <w:rFonts w:ascii="Arial"/>
          <w:sz w:val="21"/>
        </w:rPr>
      </w:pPr>
    </w:p>
    <w:p w14:paraId="091FA575">
      <w:pPr>
        <w:spacing w:line="245" w:lineRule="auto"/>
        <w:rPr>
          <w:rFonts w:ascii="Arial"/>
          <w:sz w:val="21"/>
        </w:rPr>
      </w:pPr>
    </w:p>
    <w:p w14:paraId="0FD6F6E3">
      <w:pPr>
        <w:spacing w:line="245" w:lineRule="auto"/>
        <w:rPr>
          <w:rFonts w:ascii="Arial"/>
          <w:sz w:val="21"/>
        </w:rPr>
      </w:pPr>
    </w:p>
    <w:p w14:paraId="7ED7DA26">
      <w:pPr>
        <w:spacing w:line="245" w:lineRule="auto"/>
        <w:rPr>
          <w:rFonts w:ascii="Arial"/>
          <w:sz w:val="21"/>
        </w:rPr>
      </w:pPr>
    </w:p>
    <w:p w14:paraId="5B590F10">
      <w:pPr>
        <w:spacing w:line="245" w:lineRule="auto"/>
        <w:rPr>
          <w:rFonts w:ascii="Arial"/>
          <w:sz w:val="21"/>
        </w:rPr>
      </w:pPr>
    </w:p>
    <w:p w14:paraId="1E450E4A">
      <w:pPr>
        <w:spacing w:line="246" w:lineRule="auto"/>
        <w:rPr>
          <w:rFonts w:ascii="Arial"/>
          <w:sz w:val="21"/>
        </w:rPr>
      </w:pPr>
    </w:p>
    <w:p w14:paraId="1F7AA8C7">
      <w:pPr>
        <w:spacing w:line="246" w:lineRule="auto"/>
        <w:rPr>
          <w:rFonts w:ascii="Arial"/>
          <w:sz w:val="21"/>
        </w:rPr>
      </w:pPr>
    </w:p>
    <w:p w14:paraId="2F8F1F40">
      <w:pPr>
        <w:spacing w:line="246" w:lineRule="auto"/>
        <w:rPr>
          <w:rFonts w:ascii="Arial"/>
          <w:sz w:val="21"/>
        </w:rPr>
      </w:pPr>
    </w:p>
    <w:p w14:paraId="220CAAA6">
      <w:pPr>
        <w:spacing w:line="246" w:lineRule="auto"/>
        <w:rPr>
          <w:rFonts w:ascii="Arial"/>
          <w:sz w:val="21"/>
        </w:rPr>
      </w:pPr>
    </w:p>
    <w:p w14:paraId="5EE1F118">
      <w:pPr>
        <w:spacing w:line="246" w:lineRule="auto"/>
        <w:rPr>
          <w:rFonts w:ascii="Arial"/>
          <w:sz w:val="21"/>
        </w:rPr>
      </w:pPr>
    </w:p>
    <w:p w14:paraId="332ABB6A">
      <w:pPr>
        <w:spacing w:line="246" w:lineRule="auto"/>
        <w:rPr>
          <w:rFonts w:ascii="Arial"/>
          <w:sz w:val="21"/>
        </w:rPr>
      </w:pPr>
    </w:p>
    <w:p w14:paraId="63D07B4C">
      <w:pPr>
        <w:spacing w:line="246" w:lineRule="auto"/>
        <w:rPr>
          <w:rFonts w:ascii="Arial"/>
          <w:sz w:val="21"/>
        </w:rPr>
      </w:pPr>
    </w:p>
    <w:p w14:paraId="6CED4F04">
      <w:pPr>
        <w:spacing w:line="246" w:lineRule="auto"/>
        <w:rPr>
          <w:rFonts w:ascii="Arial"/>
          <w:sz w:val="21"/>
        </w:rPr>
      </w:pPr>
    </w:p>
    <w:p w14:paraId="6113EC2F">
      <w:pPr>
        <w:spacing w:line="246" w:lineRule="auto"/>
        <w:rPr>
          <w:rFonts w:ascii="Arial"/>
          <w:sz w:val="21"/>
        </w:rPr>
      </w:pPr>
    </w:p>
    <w:p w14:paraId="0DD089E0">
      <w:pPr>
        <w:spacing w:line="246" w:lineRule="auto"/>
        <w:rPr>
          <w:rFonts w:ascii="Arial"/>
          <w:sz w:val="21"/>
        </w:rPr>
      </w:pPr>
    </w:p>
    <w:p w14:paraId="6C06E3FA">
      <w:pPr>
        <w:spacing w:line="246" w:lineRule="auto"/>
        <w:rPr>
          <w:rFonts w:ascii="Arial"/>
          <w:sz w:val="21"/>
        </w:rPr>
      </w:pPr>
    </w:p>
    <w:p w14:paraId="4D158744">
      <w:pPr>
        <w:spacing w:line="246" w:lineRule="auto"/>
        <w:rPr>
          <w:rFonts w:ascii="Arial"/>
          <w:sz w:val="21"/>
        </w:rPr>
      </w:pPr>
    </w:p>
    <w:p w14:paraId="06AB42C0">
      <w:pPr>
        <w:pStyle w:val="2"/>
        <w:spacing w:before="91" w:line="241" w:lineRule="auto"/>
        <w:ind w:left="8079"/>
        <w:rPr>
          <w:sz w:val="28"/>
          <w:szCs w:val="28"/>
        </w:rPr>
      </w:pPr>
      <w:r>
        <w:rPr>
          <w:spacing w:val="-9"/>
          <w:sz w:val="28"/>
          <w:szCs w:val="28"/>
        </w:rPr>
        <w:t>-</w:t>
      </w:r>
      <w:r>
        <w:rPr>
          <w:spacing w:val="18"/>
          <w:sz w:val="28"/>
          <w:szCs w:val="28"/>
        </w:rPr>
        <w:t xml:space="preserve"> </w:t>
      </w:r>
      <w:r>
        <w:rPr>
          <w:spacing w:val="-9"/>
          <w:sz w:val="28"/>
          <w:szCs w:val="28"/>
        </w:rPr>
        <w:t>3</w:t>
      </w:r>
      <w:r>
        <w:rPr>
          <w:spacing w:val="9"/>
          <w:sz w:val="28"/>
          <w:szCs w:val="28"/>
        </w:rPr>
        <w:t xml:space="preserve"> </w:t>
      </w:r>
      <w:r>
        <w:rPr>
          <w:spacing w:val="-9"/>
          <w:sz w:val="28"/>
          <w:szCs w:val="28"/>
        </w:rPr>
        <w:t>-</w:t>
      </w:r>
    </w:p>
    <w:p w14:paraId="2C5C9CB0">
      <w:pPr>
        <w:spacing w:line="241" w:lineRule="auto"/>
        <w:rPr>
          <w:sz w:val="28"/>
          <w:szCs w:val="28"/>
        </w:rPr>
        <w:sectPr>
          <w:footerReference r:id="rId132" w:type="default"/>
          <w:pgSz w:w="11906" w:h="16838"/>
          <w:pgMar w:top="400" w:right="575" w:bottom="1208" w:left="1603" w:header="0" w:footer="662" w:gutter="0"/>
          <w:cols w:space="720" w:num="1"/>
        </w:sectPr>
      </w:pPr>
    </w:p>
    <w:p w14:paraId="6D6D0481">
      <w:pPr>
        <w:spacing w:line="15938" w:lineRule="exact"/>
      </w:pPr>
      <w:r>
        <w:rPr>
          <w:position w:val="-318"/>
        </w:rPr>
        <w:drawing>
          <wp:inline distT="0" distB="0" distL="0" distR="0">
            <wp:extent cx="7126605" cy="10120630"/>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241"/>
                    <a:stretch>
                      <a:fillRect/>
                    </a:stretch>
                  </pic:blipFill>
                  <pic:spPr>
                    <a:xfrm>
                      <a:off x="0" y="0"/>
                      <a:ext cx="7127055" cy="10121024"/>
                    </a:xfrm>
                    <a:prstGeom prst="rect">
                      <a:avLst/>
                    </a:prstGeom>
                  </pic:spPr>
                </pic:pic>
              </a:graphicData>
            </a:graphic>
          </wp:inline>
        </w:drawing>
      </w:r>
    </w:p>
    <w:p w14:paraId="7A9BC45B">
      <w:pPr>
        <w:spacing w:line="15938" w:lineRule="exact"/>
        <w:sectPr>
          <w:footerReference r:id="rId133" w:type="default"/>
          <w:pgSz w:w="11900" w:h="16840"/>
          <w:pgMar w:top="1" w:right="200" w:bottom="700" w:left="338" w:header="0" w:footer="200" w:gutter="0"/>
          <w:cols w:space="720" w:num="1"/>
        </w:sectPr>
      </w:pPr>
    </w:p>
    <w:p w14:paraId="3AB0E114">
      <w:pPr>
        <w:spacing w:line="16822" w:lineRule="exact"/>
      </w:pPr>
      <w:r>
        <w:rPr>
          <w:position w:val="-336"/>
        </w:rPr>
        <w:drawing>
          <wp:inline distT="0" distB="0" distL="0" distR="0">
            <wp:extent cx="7561580" cy="10681970"/>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242"/>
                    <a:stretch>
                      <a:fillRect/>
                    </a:stretch>
                  </pic:blipFill>
                  <pic:spPr>
                    <a:xfrm>
                      <a:off x="0" y="0"/>
                      <a:ext cx="7562088" cy="10682109"/>
                    </a:xfrm>
                    <a:prstGeom prst="rect">
                      <a:avLst/>
                    </a:prstGeom>
                  </pic:spPr>
                </pic:pic>
              </a:graphicData>
            </a:graphic>
          </wp:inline>
        </w:drawing>
      </w:r>
    </w:p>
    <w:p w14:paraId="70EEA2BB">
      <w:pPr>
        <w:spacing w:line="16822" w:lineRule="exact"/>
        <w:sectPr>
          <w:footerReference r:id="rId134" w:type="default"/>
          <w:pgSz w:w="11920" w:h="16840"/>
          <w:pgMar w:top="6" w:right="11" w:bottom="1" w:left="0" w:header="0" w:footer="0" w:gutter="0"/>
          <w:cols w:space="720" w:num="1"/>
        </w:sectPr>
      </w:pPr>
    </w:p>
    <w:p w14:paraId="342CA625">
      <w:pPr>
        <w:spacing w:line="251" w:lineRule="auto"/>
        <w:rPr>
          <w:rFonts w:ascii="Arial"/>
          <w:sz w:val="21"/>
        </w:rPr>
      </w:pPr>
    </w:p>
    <w:p w14:paraId="43EF9174">
      <w:pPr>
        <w:spacing w:line="251" w:lineRule="auto"/>
        <w:rPr>
          <w:rFonts w:ascii="Arial"/>
          <w:sz w:val="21"/>
        </w:rPr>
      </w:pPr>
    </w:p>
    <w:p w14:paraId="2A1D9D4A">
      <w:pPr>
        <w:spacing w:line="251" w:lineRule="auto"/>
        <w:rPr>
          <w:rFonts w:ascii="Arial"/>
          <w:sz w:val="21"/>
        </w:rPr>
      </w:pPr>
    </w:p>
    <w:p w14:paraId="36088E21">
      <w:pPr>
        <w:spacing w:line="251" w:lineRule="auto"/>
        <w:rPr>
          <w:rFonts w:ascii="Arial"/>
          <w:sz w:val="21"/>
        </w:rPr>
      </w:pPr>
    </w:p>
    <w:p w14:paraId="1FCFD9B1">
      <w:pPr>
        <w:spacing w:line="252" w:lineRule="auto"/>
        <w:rPr>
          <w:rFonts w:ascii="Arial"/>
          <w:sz w:val="21"/>
        </w:rPr>
      </w:pPr>
    </w:p>
    <w:p w14:paraId="6E17D4AE">
      <w:pPr>
        <w:spacing w:line="252" w:lineRule="auto"/>
        <w:rPr>
          <w:rFonts w:ascii="Arial"/>
          <w:sz w:val="21"/>
        </w:rPr>
      </w:pPr>
    </w:p>
    <w:p w14:paraId="63A5C5CC">
      <w:pPr>
        <w:spacing w:line="252" w:lineRule="auto"/>
        <w:rPr>
          <w:rFonts w:ascii="Arial"/>
          <w:sz w:val="21"/>
        </w:rPr>
      </w:pPr>
    </w:p>
    <w:p w14:paraId="2212A09E">
      <w:pPr>
        <w:spacing w:before="100" w:line="334" w:lineRule="auto"/>
        <w:ind w:left="231" w:right="143" w:hanging="10"/>
        <w:rPr>
          <w:rFonts w:ascii="仿宋" w:hAnsi="仿宋" w:eastAsia="仿宋" w:cs="仿宋"/>
          <w:sz w:val="31"/>
          <w:szCs w:val="31"/>
        </w:rPr>
      </w:pPr>
      <w:r>
        <w:rPr>
          <w:rFonts w:ascii="仿宋" w:hAnsi="仿宋" w:eastAsia="仿宋" w:cs="仿宋"/>
          <w:spacing w:val="-2"/>
          <w:sz w:val="31"/>
          <w:szCs w:val="31"/>
        </w:rPr>
        <w:t>场</w:t>
      </w:r>
      <w:r>
        <w:rPr>
          <w:rFonts w:ascii="仿宋" w:hAnsi="仿宋" w:eastAsia="仿宋" w:cs="仿宋"/>
          <w:spacing w:val="-73"/>
          <w:sz w:val="31"/>
          <w:szCs w:val="31"/>
        </w:rPr>
        <w:t xml:space="preserve"> </w:t>
      </w:r>
      <w:r>
        <w:rPr>
          <w:rFonts w:ascii="仿宋" w:hAnsi="仿宋" w:eastAsia="仿宋" w:cs="仿宋"/>
          <w:spacing w:val="-2"/>
          <w:sz w:val="31"/>
          <w:szCs w:val="31"/>
        </w:rPr>
        <w:t>(包含地上生活区、地下油气钻探)，其中钻井井场占用面积</w:t>
      </w:r>
      <w:r>
        <w:rPr>
          <w:rFonts w:ascii="仿宋" w:hAnsi="仿宋" w:eastAsia="仿宋" w:cs="仿宋"/>
          <w:spacing w:val="-3"/>
          <w:sz w:val="31"/>
          <w:szCs w:val="31"/>
        </w:rPr>
        <w:t>为</w:t>
      </w:r>
      <w:r>
        <w:rPr>
          <w:rFonts w:ascii="仿宋" w:hAnsi="仿宋" w:eastAsia="仿宋" w:cs="仿宋"/>
          <w:spacing w:val="-28"/>
          <w:sz w:val="31"/>
          <w:szCs w:val="31"/>
        </w:rPr>
        <w:t xml:space="preserve"> </w:t>
      </w:r>
      <w:r>
        <w:rPr>
          <w:rFonts w:ascii="仿宋" w:hAnsi="仿宋" w:eastAsia="仿宋" w:cs="仿宋"/>
          <w:spacing w:val="-3"/>
          <w:sz w:val="31"/>
          <w:szCs w:val="31"/>
        </w:rPr>
        <w:t>13293.426</w:t>
      </w:r>
      <w:r>
        <w:rPr>
          <w:rFonts w:ascii="仿宋" w:hAnsi="仿宋" w:eastAsia="仿宋" w:cs="仿宋"/>
          <w:spacing w:val="-53"/>
          <w:sz w:val="31"/>
          <w:szCs w:val="31"/>
        </w:rPr>
        <w:t xml:space="preserve"> </w:t>
      </w:r>
      <w:r>
        <w:rPr>
          <w:rFonts w:ascii="仿宋" w:hAnsi="仿宋" w:eastAsia="仿宋" w:cs="仿宋"/>
          <w:spacing w:val="-3"/>
          <w:sz w:val="31"/>
          <w:szCs w:val="31"/>
        </w:rPr>
        <w:t>平方米。</w:t>
      </w:r>
    </w:p>
    <w:p w14:paraId="3A69B460">
      <w:pPr>
        <w:spacing w:before="4" w:line="333" w:lineRule="auto"/>
        <w:ind w:left="220" w:right="115" w:firstLine="650"/>
        <w:rPr>
          <w:rFonts w:ascii="仿宋" w:hAnsi="仿宋" w:eastAsia="仿宋" w:cs="仿宋"/>
          <w:sz w:val="31"/>
          <w:szCs w:val="31"/>
        </w:rPr>
      </w:pPr>
      <w:r>
        <w:rPr>
          <w:rFonts w:ascii="仿宋" w:hAnsi="仿宋" w:eastAsia="仿宋" w:cs="仿宋"/>
          <w:spacing w:val="13"/>
          <w:sz w:val="31"/>
          <w:szCs w:val="31"/>
        </w:rPr>
        <w:t>二、经查阅内蒙古自治区现有不可移动文物名录、内蒙</w:t>
      </w:r>
      <w:r>
        <w:rPr>
          <w:rFonts w:ascii="仿宋" w:hAnsi="仿宋" w:eastAsia="仿宋" w:cs="仿宋"/>
          <w:spacing w:val="14"/>
          <w:sz w:val="31"/>
          <w:szCs w:val="31"/>
        </w:rPr>
        <w:t>古自治区长城资源调查数据库，未发现登记在册不</w:t>
      </w:r>
      <w:r>
        <w:rPr>
          <w:rFonts w:ascii="仿宋" w:hAnsi="仿宋" w:eastAsia="仿宋" w:cs="仿宋"/>
          <w:spacing w:val="13"/>
          <w:sz w:val="31"/>
          <w:szCs w:val="31"/>
        </w:rPr>
        <w:t>可移动文</w:t>
      </w:r>
      <w:r>
        <w:rPr>
          <w:rFonts w:ascii="仿宋" w:hAnsi="仿宋" w:eastAsia="仿宋" w:cs="仿宋"/>
          <w:spacing w:val="2"/>
          <w:sz w:val="31"/>
          <w:szCs w:val="31"/>
        </w:rPr>
        <w:t>物。根据磴口县文物保护中心《关于磴口县华北油田巴彦勘探</w:t>
      </w:r>
      <w:r>
        <w:rPr>
          <w:rFonts w:ascii="仿宋" w:hAnsi="仿宋" w:eastAsia="仿宋" w:cs="仿宋"/>
          <w:spacing w:val="7"/>
          <w:sz w:val="31"/>
          <w:szCs w:val="31"/>
        </w:rPr>
        <w:t>开发分公司扎格</w:t>
      </w:r>
      <w:r>
        <w:rPr>
          <w:rFonts w:ascii="仿宋" w:hAnsi="仿宋" w:eastAsia="仿宋" w:cs="仿宋"/>
          <w:spacing w:val="-68"/>
          <w:sz w:val="31"/>
          <w:szCs w:val="31"/>
        </w:rPr>
        <w:t xml:space="preserve"> </w:t>
      </w:r>
      <w:r>
        <w:rPr>
          <w:rFonts w:ascii="仿宋" w:hAnsi="仿宋" w:eastAsia="仿宋" w:cs="仿宋"/>
          <w:spacing w:val="7"/>
          <w:sz w:val="31"/>
          <w:szCs w:val="31"/>
        </w:rPr>
        <w:t>9X</w:t>
      </w:r>
      <w:r>
        <w:rPr>
          <w:rFonts w:ascii="仿宋" w:hAnsi="仿宋" w:eastAsia="仿宋" w:cs="仿宋"/>
          <w:spacing w:val="-66"/>
          <w:sz w:val="31"/>
          <w:szCs w:val="31"/>
        </w:rPr>
        <w:t xml:space="preserve"> </w:t>
      </w:r>
      <w:r>
        <w:rPr>
          <w:rFonts w:ascii="仿宋" w:hAnsi="仿宋" w:eastAsia="仿宋" w:cs="仿宋"/>
          <w:spacing w:val="7"/>
          <w:sz w:val="31"/>
          <w:szCs w:val="31"/>
        </w:rPr>
        <w:t>井油气勘探开发建设项目用地区域前期文</w:t>
      </w:r>
      <w:r>
        <w:rPr>
          <w:rFonts w:ascii="仿宋" w:hAnsi="仿宋" w:eastAsia="仿宋" w:cs="仿宋"/>
          <w:spacing w:val="-1"/>
          <w:sz w:val="31"/>
          <w:szCs w:val="31"/>
        </w:rPr>
        <w:t>物调查报告》：</w:t>
      </w:r>
      <w:r>
        <w:rPr>
          <w:rFonts w:ascii="仿宋" w:hAnsi="仿宋" w:eastAsia="仿宋" w:cs="仿宋"/>
          <w:spacing w:val="-71"/>
          <w:sz w:val="31"/>
          <w:szCs w:val="31"/>
        </w:rPr>
        <w:t xml:space="preserve"> </w:t>
      </w:r>
      <w:r>
        <w:rPr>
          <w:rFonts w:ascii="仿宋" w:hAnsi="仿宋" w:eastAsia="仿宋" w:cs="仿宋"/>
          <w:spacing w:val="-1"/>
          <w:sz w:val="31"/>
          <w:szCs w:val="31"/>
        </w:rPr>
        <w:t>“经过实地踏查，地表未发现文物</w:t>
      </w:r>
      <w:r>
        <w:rPr>
          <w:rFonts w:ascii="仿宋" w:hAnsi="仿宋" w:eastAsia="仿宋" w:cs="仿宋"/>
          <w:spacing w:val="-2"/>
          <w:sz w:val="31"/>
          <w:szCs w:val="31"/>
        </w:rPr>
        <w:t>遗迹，也未</w:t>
      </w:r>
      <w:r>
        <w:rPr>
          <w:rFonts w:ascii="仿宋" w:hAnsi="仿宋" w:eastAsia="仿宋" w:cs="仿宋"/>
          <w:spacing w:val="6"/>
          <w:sz w:val="31"/>
          <w:szCs w:val="31"/>
        </w:rPr>
        <w:t>采集到文物标本”。</w:t>
      </w:r>
    </w:p>
    <w:p w14:paraId="66DCD894">
      <w:pPr>
        <w:spacing w:before="4" w:line="333" w:lineRule="auto"/>
        <w:ind w:left="213" w:right="11" w:firstLine="656"/>
        <w:rPr>
          <w:rFonts w:ascii="仿宋" w:hAnsi="仿宋" w:eastAsia="仿宋" w:cs="仿宋"/>
          <w:sz w:val="31"/>
          <w:szCs w:val="31"/>
        </w:rPr>
      </w:pPr>
      <w:r>
        <w:rPr>
          <w:rFonts w:ascii="仿宋" w:hAnsi="仿宋" w:eastAsia="仿宋" w:cs="仿宋"/>
          <w:spacing w:val="-13"/>
          <w:sz w:val="31"/>
          <w:szCs w:val="31"/>
        </w:rPr>
        <w:t>三、根据《中华人民共和国文物保护法》第四十三条、《内</w:t>
      </w:r>
      <w:r>
        <w:rPr>
          <w:rFonts w:ascii="仿宋" w:hAnsi="仿宋" w:eastAsia="仿宋" w:cs="仿宋"/>
          <w:spacing w:val="2"/>
          <w:sz w:val="31"/>
          <w:szCs w:val="31"/>
        </w:rPr>
        <w:t>蒙古自治区文物保护条例》第二十四条及《内蒙古自治区文物</w:t>
      </w:r>
      <w:r>
        <w:rPr>
          <w:rFonts w:ascii="仿宋" w:hAnsi="仿宋" w:eastAsia="仿宋" w:cs="仿宋"/>
          <w:spacing w:val="-5"/>
          <w:sz w:val="31"/>
          <w:szCs w:val="31"/>
        </w:rPr>
        <w:t>局关于做好基本建设用地考古工作的通知》（内文物发〔2025〕</w:t>
      </w:r>
      <w:r>
        <w:rPr>
          <w:rFonts w:ascii="仿宋" w:hAnsi="仿宋" w:eastAsia="仿宋" w:cs="仿宋"/>
          <w:spacing w:val="6"/>
          <w:sz w:val="31"/>
          <w:szCs w:val="31"/>
        </w:rPr>
        <w:t xml:space="preserve"> </w:t>
      </w:r>
      <w:r>
        <w:rPr>
          <w:rFonts w:ascii="仿宋" w:hAnsi="仿宋" w:eastAsia="仿宋" w:cs="仿宋"/>
          <w:spacing w:val="4"/>
          <w:sz w:val="31"/>
          <w:szCs w:val="31"/>
        </w:rPr>
        <w:t>6</w:t>
      </w:r>
      <w:r>
        <w:rPr>
          <w:rFonts w:ascii="仿宋" w:hAnsi="仿宋" w:eastAsia="仿宋" w:cs="仿宋"/>
          <w:spacing w:val="-44"/>
          <w:sz w:val="31"/>
          <w:szCs w:val="31"/>
        </w:rPr>
        <w:t xml:space="preserve"> </w:t>
      </w:r>
      <w:r>
        <w:rPr>
          <w:rFonts w:ascii="仿宋" w:hAnsi="仿宋" w:eastAsia="仿宋" w:cs="仿宋"/>
          <w:spacing w:val="4"/>
          <w:sz w:val="31"/>
          <w:szCs w:val="31"/>
        </w:rPr>
        <w:t>号）等有关规定，建议在此项目开工建设前，对建设工程范</w:t>
      </w:r>
      <w:r>
        <w:rPr>
          <w:rFonts w:ascii="仿宋" w:hAnsi="仿宋" w:eastAsia="仿宋" w:cs="仿宋"/>
          <w:spacing w:val="7"/>
          <w:sz w:val="31"/>
          <w:szCs w:val="31"/>
        </w:rPr>
        <w:t>围内有可能埋藏文物的地方进行考古勘探工作。</w:t>
      </w:r>
    </w:p>
    <w:p w14:paraId="5DE72E56">
      <w:pPr>
        <w:spacing w:before="7" w:line="333" w:lineRule="auto"/>
        <w:ind w:left="220" w:firstLine="678"/>
        <w:rPr>
          <w:rFonts w:ascii="仿宋" w:hAnsi="仿宋" w:eastAsia="仿宋" w:cs="仿宋"/>
          <w:sz w:val="31"/>
          <w:szCs w:val="31"/>
        </w:rPr>
      </w:pPr>
      <w:r>
        <w:rPr>
          <w:rFonts w:ascii="仿宋" w:hAnsi="仿宋" w:eastAsia="仿宋" w:cs="仿宋"/>
          <w:spacing w:val="4"/>
          <w:sz w:val="31"/>
          <w:szCs w:val="31"/>
        </w:rPr>
        <w:t>四、内蒙古自治区文物考古研究院原则同意此项目建设。</w:t>
      </w:r>
      <w:r>
        <w:rPr>
          <w:rFonts w:ascii="仿宋" w:hAnsi="仿宋" w:eastAsia="仿宋" w:cs="仿宋"/>
          <w:spacing w:val="2"/>
          <w:sz w:val="31"/>
          <w:szCs w:val="31"/>
        </w:rPr>
        <w:t>因地下存在文物的未知性，请在施工建设过程中，注意地</w:t>
      </w:r>
      <w:r>
        <w:rPr>
          <w:rFonts w:ascii="仿宋" w:hAnsi="仿宋" w:eastAsia="仿宋" w:cs="仿宋"/>
          <w:spacing w:val="1"/>
          <w:sz w:val="31"/>
          <w:szCs w:val="31"/>
        </w:rPr>
        <w:t>下的</w:t>
      </w:r>
      <w:r>
        <w:rPr>
          <w:rFonts w:ascii="仿宋" w:hAnsi="仿宋" w:eastAsia="仿宋" w:cs="仿宋"/>
          <w:spacing w:val="-5"/>
          <w:sz w:val="31"/>
          <w:szCs w:val="31"/>
        </w:rPr>
        <w:t>文物保护工作，如发现文物（古墓葬或其他埋藏的重要文物</w:t>
      </w:r>
      <w:r>
        <w:rPr>
          <w:rFonts w:ascii="仿宋" w:hAnsi="仿宋" w:eastAsia="仿宋" w:cs="仿宋"/>
          <w:spacing w:val="-18"/>
          <w:sz w:val="31"/>
          <w:szCs w:val="31"/>
        </w:rPr>
        <w:t>），</w:t>
      </w:r>
      <w:r>
        <w:rPr>
          <w:rFonts w:ascii="仿宋" w:hAnsi="仿宋" w:eastAsia="仿宋" w:cs="仿宋"/>
          <w:spacing w:val="6"/>
          <w:sz w:val="31"/>
          <w:szCs w:val="31"/>
        </w:rPr>
        <w:t>应立即停工，并立即通知当地文物行政管理部门，或在</w:t>
      </w:r>
      <w:r>
        <w:rPr>
          <w:rFonts w:ascii="仿宋" w:hAnsi="仿宋" w:eastAsia="仿宋" w:cs="仿宋"/>
          <w:spacing w:val="-52"/>
          <w:sz w:val="31"/>
          <w:szCs w:val="31"/>
        </w:rPr>
        <w:t xml:space="preserve"> </w:t>
      </w:r>
      <w:r>
        <w:rPr>
          <w:rFonts w:ascii="仿宋" w:hAnsi="仿宋" w:eastAsia="仿宋" w:cs="仿宋"/>
          <w:spacing w:val="6"/>
          <w:sz w:val="31"/>
          <w:szCs w:val="31"/>
        </w:rPr>
        <w:t>24</w:t>
      </w:r>
      <w:r>
        <w:rPr>
          <w:rFonts w:ascii="仿宋" w:hAnsi="仿宋" w:eastAsia="仿宋" w:cs="仿宋"/>
          <w:spacing w:val="-53"/>
          <w:sz w:val="31"/>
          <w:szCs w:val="31"/>
        </w:rPr>
        <w:t xml:space="preserve"> </w:t>
      </w:r>
      <w:r>
        <w:rPr>
          <w:rFonts w:ascii="仿宋" w:hAnsi="仿宋" w:eastAsia="仿宋" w:cs="仿宋"/>
          <w:spacing w:val="6"/>
          <w:sz w:val="31"/>
          <w:szCs w:val="31"/>
        </w:rPr>
        <w:t>小</w:t>
      </w:r>
      <w:r>
        <w:rPr>
          <w:rFonts w:ascii="仿宋" w:hAnsi="仿宋" w:eastAsia="仿宋" w:cs="仿宋"/>
          <w:spacing w:val="4"/>
          <w:sz w:val="31"/>
          <w:szCs w:val="31"/>
        </w:rPr>
        <w:t>时内上报自治区文物局。</w:t>
      </w:r>
    </w:p>
    <w:p w14:paraId="77C886AA">
      <w:pPr>
        <w:spacing w:before="58" w:line="225" w:lineRule="auto"/>
        <w:ind w:left="864"/>
        <w:rPr>
          <w:rFonts w:ascii="仿宋" w:hAnsi="仿宋" w:eastAsia="仿宋" w:cs="仿宋"/>
          <w:sz w:val="31"/>
          <w:szCs w:val="31"/>
        </w:rPr>
      </w:pPr>
      <w:r>
        <w:rPr>
          <w:rFonts w:ascii="仿宋" w:hAnsi="仿宋" w:eastAsia="仿宋" w:cs="仿宋"/>
          <w:spacing w:val="-2"/>
          <w:sz w:val="31"/>
          <w:szCs w:val="31"/>
        </w:rPr>
        <w:t>专此</w:t>
      </w:r>
    </w:p>
    <w:p w14:paraId="10319FFF">
      <w:pPr>
        <w:spacing w:line="318" w:lineRule="auto"/>
        <w:rPr>
          <w:rFonts w:ascii="Arial"/>
          <w:sz w:val="21"/>
        </w:rPr>
      </w:pPr>
    </w:p>
    <w:p w14:paraId="7F90823E">
      <w:pPr>
        <w:spacing w:line="318" w:lineRule="auto"/>
        <w:rPr>
          <w:rFonts w:ascii="Arial"/>
          <w:sz w:val="21"/>
        </w:rPr>
      </w:pPr>
    </w:p>
    <w:p w14:paraId="5E3346F7">
      <w:pPr>
        <w:spacing w:line="319" w:lineRule="auto"/>
        <w:rPr>
          <w:rFonts w:ascii="Arial"/>
          <w:sz w:val="21"/>
        </w:rPr>
      </w:pPr>
    </w:p>
    <w:p w14:paraId="575399C0">
      <w:pPr>
        <w:spacing w:before="101" w:line="222" w:lineRule="auto"/>
        <w:ind w:left="874"/>
        <w:rPr>
          <w:rFonts w:ascii="仿宋" w:hAnsi="仿宋" w:eastAsia="仿宋" w:cs="仿宋"/>
          <w:sz w:val="31"/>
          <w:szCs w:val="31"/>
        </w:rPr>
      </w:pPr>
      <w:r>
        <w:rPr>
          <w:rFonts w:ascii="仿宋" w:hAnsi="仿宋" w:eastAsia="仿宋" w:cs="仿宋"/>
          <w:spacing w:val="1"/>
          <w:sz w:val="31"/>
          <w:szCs w:val="31"/>
        </w:rPr>
        <w:t>附件：1.磴口县文物保护中心《关于磴口</w:t>
      </w:r>
      <w:r>
        <w:rPr>
          <w:rFonts w:ascii="仿宋" w:hAnsi="仿宋" w:eastAsia="仿宋" w:cs="仿宋"/>
          <w:sz w:val="31"/>
          <w:szCs w:val="31"/>
        </w:rPr>
        <w:t>县华北油田巴彦</w:t>
      </w:r>
    </w:p>
    <w:p w14:paraId="114EDDFD">
      <w:pPr>
        <w:spacing w:line="222" w:lineRule="auto"/>
        <w:rPr>
          <w:rFonts w:ascii="仿宋" w:hAnsi="仿宋" w:eastAsia="仿宋" w:cs="仿宋"/>
          <w:sz w:val="31"/>
          <w:szCs w:val="31"/>
        </w:rPr>
        <w:sectPr>
          <w:footerReference r:id="rId135" w:type="default"/>
          <w:pgSz w:w="11907" w:h="16839"/>
          <w:pgMar w:top="400" w:right="1358" w:bottom="1130" w:left="1785" w:header="0" w:footer="814" w:gutter="0"/>
          <w:cols w:space="720" w:num="1"/>
        </w:sectPr>
      </w:pPr>
    </w:p>
    <w:p w14:paraId="747F1ED6">
      <w:pPr>
        <w:spacing w:line="16822" w:lineRule="exact"/>
      </w:pPr>
      <w:r>
        <w:rPr>
          <w:position w:val="-336"/>
        </w:rPr>
        <w:drawing>
          <wp:inline distT="0" distB="0" distL="0" distR="0">
            <wp:extent cx="7561580" cy="10681970"/>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243"/>
                    <a:stretch>
                      <a:fillRect/>
                    </a:stretch>
                  </pic:blipFill>
                  <pic:spPr>
                    <a:xfrm>
                      <a:off x="0" y="0"/>
                      <a:ext cx="7562088" cy="10682109"/>
                    </a:xfrm>
                    <a:prstGeom prst="rect">
                      <a:avLst/>
                    </a:prstGeom>
                  </pic:spPr>
                </pic:pic>
              </a:graphicData>
            </a:graphic>
          </wp:inline>
        </w:drawing>
      </w:r>
    </w:p>
    <w:p w14:paraId="7E41EBAA">
      <w:pPr>
        <w:spacing w:line="16822" w:lineRule="exact"/>
        <w:sectPr>
          <w:footerReference r:id="rId136" w:type="default"/>
          <w:pgSz w:w="11920" w:h="16840"/>
          <w:pgMar w:top="6" w:right="11" w:bottom="1" w:left="0" w:header="0" w:footer="0" w:gutter="0"/>
          <w:cols w:space="720" w:num="1"/>
        </w:sectPr>
      </w:pPr>
    </w:p>
    <w:p w14:paraId="3A041AEA">
      <w:pPr>
        <w:spacing w:line="442" w:lineRule="auto"/>
        <w:rPr>
          <w:rFonts w:ascii="Arial"/>
          <w:sz w:val="21"/>
        </w:rPr>
      </w:pPr>
    </w:p>
    <w:p w14:paraId="56814602">
      <w:pPr>
        <w:spacing w:line="12632" w:lineRule="exact"/>
        <w:ind w:firstLine="807"/>
      </w:pPr>
      <w:r>
        <w:rPr>
          <w:position w:val="-252"/>
        </w:rPr>
        <w:drawing>
          <wp:inline distT="0" distB="0" distL="0" distR="0">
            <wp:extent cx="6946900" cy="8021320"/>
            <wp:effectExtent l="0" t="0" r="0" b="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244"/>
                    <a:stretch>
                      <a:fillRect/>
                    </a:stretch>
                  </pic:blipFill>
                  <pic:spPr>
                    <a:xfrm>
                      <a:off x="0" y="0"/>
                      <a:ext cx="6947496" cy="8021376"/>
                    </a:xfrm>
                    <a:prstGeom prst="rect">
                      <a:avLst/>
                    </a:prstGeom>
                  </pic:spPr>
                </pic:pic>
              </a:graphicData>
            </a:graphic>
          </wp:inline>
        </w:drawing>
      </w:r>
    </w:p>
    <w:p w14:paraId="0946C4B2">
      <w:pPr>
        <w:spacing w:line="12632" w:lineRule="exact"/>
        <w:sectPr>
          <w:headerReference r:id="rId137" w:type="default"/>
          <w:footerReference r:id="rId138" w:type="default"/>
          <w:pgSz w:w="11905" w:h="16834"/>
          <w:pgMar w:top="400" w:right="0" w:bottom="400" w:left="0" w:header="0" w:footer="0" w:gutter="0"/>
          <w:cols w:space="720" w:num="1"/>
        </w:sectPr>
      </w:pPr>
    </w:p>
    <w:p w14:paraId="0658F3C8">
      <w:pPr>
        <w:spacing w:line="279" w:lineRule="auto"/>
        <w:rPr>
          <w:rFonts w:ascii="Arial"/>
          <w:sz w:val="21"/>
        </w:rPr>
      </w:pPr>
    </w:p>
    <w:p w14:paraId="563DFF20">
      <w:pPr>
        <w:spacing w:line="279" w:lineRule="auto"/>
        <w:rPr>
          <w:rFonts w:ascii="Arial"/>
          <w:sz w:val="21"/>
        </w:rPr>
      </w:pPr>
    </w:p>
    <w:p w14:paraId="31C48414">
      <w:pPr>
        <w:spacing w:line="279" w:lineRule="auto"/>
        <w:rPr>
          <w:rFonts w:ascii="Arial"/>
          <w:sz w:val="21"/>
        </w:rPr>
      </w:pPr>
    </w:p>
    <w:p w14:paraId="1F7E16B9">
      <w:pPr>
        <w:spacing w:line="279" w:lineRule="auto"/>
        <w:rPr>
          <w:rFonts w:ascii="Arial"/>
          <w:sz w:val="21"/>
        </w:rPr>
      </w:pPr>
    </w:p>
    <w:p w14:paraId="64C961E1">
      <w:pPr>
        <w:spacing w:line="280" w:lineRule="auto"/>
        <w:rPr>
          <w:rFonts w:ascii="Arial"/>
          <w:sz w:val="21"/>
        </w:rPr>
      </w:pPr>
    </w:p>
    <w:p w14:paraId="0547B8B4">
      <w:pPr>
        <w:spacing w:line="12998" w:lineRule="exact"/>
        <w:ind w:firstLine="1343"/>
      </w:pPr>
      <w:r>
        <w:rPr>
          <w:position w:val="-259"/>
        </w:rPr>
        <w:drawing>
          <wp:inline distT="0" distB="0" distL="0" distR="0">
            <wp:extent cx="5778500" cy="8253730"/>
            <wp:effectExtent l="0" t="0" r="0" b="0"/>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245"/>
                    <a:stretch>
                      <a:fillRect/>
                    </a:stretch>
                  </pic:blipFill>
                  <pic:spPr>
                    <a:xfrm>
                      <a:off x="0" y="0"/>
                      <a:ext cx="5779007" cy="8253983"/>
                    </a:xfrm>
                    <a:prstGeom prst="rect">
                      <a:avLst/>
                    </a:prstGeom>
                  </pic:spPr>
                </pic:pic>
              </a:graphicData>
            </a:graphic>
          </wp:inline>
        </w:drawing>
      </w:r>
    </w:p>
    <w:p w14:paraId="6ACD6FC8">
      <w:pPr>
        <w:spacing w:line="12998" w:lineRule="exact"/>
        <w:sectPr>
          <w:headerReference r:id="rId139" w:type="default"/>
          <w:pgSz w:w="11905" w:h="16834"/>
          <w:pgMar w:top="400" w:right="0" w:bottom="400" w:left="0" w:header="0" w:footer="0" w:gutter="0"/>
          <w:cols w:space="720" w:num="1"/>
        </w:sectPr>
      </w:pPr>
    </w:p>
    <w:p w14:paraId="03F293D8">
      <w:pPr>
        <w:spacing w:line="249" w:lineRule="auto"/>
        <w:rPr>
          <w:rFonts w:ascii="Arial"/>
          <w:sz w:val="21"/>
        </w:rPr>
      </w:pPr>
    </w:p>
    <w:p w14:paraId="079ABE2A">
      <w:pPr>
        <w:spacing w:line="250" w:lineRule="auto"/>
        <w:rPr>
          <w:rFonts w:ascii="Arial"/>
          <w:sz w:val="21"/>
        </w:rPr>
      </w:pPr>
    </w:p>
    <w:p w14:paraId="460BBDCA">
      <w:pPr>
        <w:spacing w:line="14149" w:lineRule="exact"/>
        <w:ind w:firstLine="1191"/>
      </w:pPr>
      <w:r>
        <w:rPr>
          <w:position w:val="-282"/>
        </w:rPr>
        <w:drawing>
          <wp:inline distT="0" distB="0" distL="0" distR="0">
            <wp:extent cx="6703060" cy="8984615"/>
            <wp:effectExtent l="0" t="0" r="0" b="0"/>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246"/>
                    <a:stretch>
                      <a:fillRect/>
                    </a:stretch>
                  </pic:blipFill>
                  <pic:spPr>
                    <a:xfrm>
                      <a:off x="0" y="0"/>
                      <a:ext cx="6703679" cy="8985005"/>
                    </a:xfrm>
                    <a:prstGeom prst="rect">
                      <a:avLst/>
                    </a:prstGeom>
                  </pic:spPr>
                </pic:pic>
              </a:graphicData>
            </a:graphic>
          </wp:inline>
        </w:drawing>
      </w:r>
    </w:p>
    <w:p w14:paraId="458E1170">
      <w:pPr>
        <w:spacing w:line="14149" w:lineRule="exact"/>
        <w:sectPr>
          <w:headerReference r:id="rId140" w:type="default"/>
          <w:pgSz w:w="11905" w:h="16834"/>
          <w:pgMar w:top="400" w:right="0" w:bottom="400" w:left="0" w:header="0" w:footer="0" w:gutter="0"/>
          <w:cols w:space="720" w:num="1"/>
        </w:sectPr>
      </w:pPr>
    </w:p>
    <w:p w14:paraId="38711E52">
      <w:pPr>
        <w:spacing w:line="440" w:lineRule="auto"/>
        <w:rPr>
          <w:rFonts w:ascii="Arial"/>
          <w:sz w:val="21"/>
        </w:rPr>
      </w:pPr>
    </w:p>
    <w:p w14:paraId="1E7758F8">
      <w:pPr>
        <w:spacing w:line="13690" w:lineRule="exact"/>
        <w:ind w:firstLine="1382"/>
      </w:pPr>
      <w:r>
        <w:rPr>
          <w:position w:val="-273"/>
        </w:rPr>
        <w:drawing>
          <wp:inline distT="0" distB="0" distL="0" distR="0">
            <wp:extent cx="6015355" cy="8693150"/>
            <wp:effectExtent l="0" t="0" r="0" b="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247"/>
                    <a:stretch>
                      <a:fillRect/>
                    </a:stretch>
                  </pic:blipFill>
                  <pic:spPr>
                    <a:xfrm>
                      <a:off x="0" y="0"/>
                      <a:ext cx="6015881" cy="8693327"/>
                    </a:xfrm>
                    <a:prstGeom prst="rect">
                      <a:avLst/>
                    </a:prstGeom>
                  </pic:spPr>
                </pic:pic>
              </a:graphicData>
            </a:graphic>
          </wp:inline>
        </w:drawing>
      </w:r>
    </w:p>
    <w:p w14:paraId="44638D1B">
      <w:pPr>
        <w:spacing w:line="13690" w:lineRule="exact"/>
        <w:sectPr>
          <w:headerReference r:id="rId141" w:type="default"/>
          <w:pgSz w:w="11905" w:h="16834"/>
          <w:pgMar w:top="400" w:right="0" w:bottom="400" w:left="0" w:header="0" w:footer="0" w:gutter="0"/>
          <w:cols w:space="720" w:num="1"/>
        </w:sectPr>
      </w:pPr>
    </w:p>
    <w:p w14:paraId="736DB919">
      <w:pPr>
        <w:rPr>
          <w:rFonts w:ascii="Arial"/>
          <w:sz w:val="21"/>
        </w:rPr>
      </w:pPr>
    </w:p>
    <w:p w14:paraId="56D92D49">
      <w:pPr>
        <w:rPr>
          <w:rFonts w:ascii="Arial"/>
          <w:sz w:val="21"/>
        </w:rPr>
      </w:pPr>
    </w:p>
    <w:p w14:paraId="05BDA0CC">
      <w:pPr>
        <w:spacing w:line="8045" w:lineRule="exact"/>
        <w:ind w:firstLine="1343"/>
      </w:pPr>
      <w:r>
        <w:rPr>
          <w:position w:val="-160"/>
        </w:rPr>
        <w:drawing>
          <wp:inline distT="0" distB="0" distL="0" distR="0">
            <wp:extent cx="6631940" cy="5107940"/>
            <wp:effectExtent l="0" t="0" r="0" b="0"/>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248"/>
                    <a:stretch>
                      <a:fillRect/>
                    </a:stretch>
                  </pic:blipFill>
                  <pic:spPr>
                    <a:xfrm>
                      <a:off x="0" y="0"/>
                      <a:ext cx="6632447" cy="5108448"/>
                    </a:xfrm>
                    <a:prstGeom prst="rect">
                      <a:avLst/>
                    </a:prstGeom>
                  </pic:spPr>
                </pic:pic>
              </a:graphicData>
            </a:graphic>
          </wp:inline>
        </w:drawing>
      </w:r>
    </w:p>
    <w:p w14:paraId="57BF3C0F">
      <w:pPr>
        <w:spacing w:line="8045" w:lineRule="exact"/>
        <w:sectPr>
          <w:headerReference r:id="rId142" w:type="default"/>
          <w:pgSz w:w="11905" w:h="16834"/>
          <w:pgMar w:top="400" w:right="0" w:bottom="400" w:left="0" w:header="0" w:footer="0" w:gutter="0"/>
          <w:cols w:space="720" w:num="1"/>
        </w:sectPr>
      </w:pPr>
    </w:p>
    <w:p w14:paraId="6A69B357">
      <w:pPr>
        <w:spacing w:line="422" w:lineRule="auto"/>
        <w:rPr>
          <w:rFonts w:ascii="Arial"/>
          <w:sz w:val="21"/>
        </w:rPr>
      </w:pPr>
    </w:p>
    <w:p w14:paraId="5031AE40">
      <w:pPr>
        <w:spacing w:line="10868" w:lineRule="exact"/>
        <w:ind w:firstLine="1343"/>
      </w:pPr>
      <w:r>
        <w:rPr>
          <w:position w:val="-217"/>
        </w:rPr>
        <w:drawing>
          <wp:inline distT="0" distB="0" distL="0" distR="0">
            <wp:extent cx="5803265" cy="6900545"/>
            <wp:effectExtent l="0" t="0" r="0" b="0"/>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249"/>
                    <a:stretch>
                      <a:fillRect/>
                    </a:stretch>
                  </pic:blipFill>
                  <pic:spPr>
                    <a:xfrm>
                      <a:off x="0" y="0"/>
                      <a:ext cx="5803391" cy="6900671"/>
                    </a:xfrm>
                    <a:prstGeom prst="rect">
                      <a:avLst/>
                    </a:prstGeom>
                  </pic:spPr>
                </pic:pic>
              </a:graphicData>
            </a:graphic>
          </wp:inline>
        </w:drawing>
      </w:r>
    </w:p>
    <w:p w14:paraId="4FF3DDB0">
      <w:pPr>
        <w:spacing w:line="10868" w:lineRule="exact"/>
        <w:sectPr>
          <w:headerReference r:id="rId143" w:type="default"/>
          <w:pgSz w:w="11905" w:h="16834"/>
          <w:pgMar w:top="400" w:right="0" w:bottom="400" w:left="0" w:header="0" w:footer="0" w:gutter="0"/>
          <w:cols w:space="720" w:num="1"/>
        </w:sectPr>
      </w:pPr>
    </w:p>
    <w:p w14:paraId="2550D602">
      <w:pPr>
        <w:spacing w:line="339" w:lineRule="auto"/>
        <w:rPr>
          <w:rFonts w:ascii="Arial"/>
          <w:sz w:val="21"/>
        </w:rPr>
      </w:pPr>
    </w:p>
    <w:p w14:paraId="3D1CA568">
      <w:pPr>
        <w:spacing w:line="11904" w:lineRule="exact"/>
        <w:ind w:firstLine="1343"/>
      </w:pPr>
      <w:r>
        <w:rPr>
          <w:position w:val="-238"/>
        </w:rPr>
        <w:drawing>
          <wp:inline distT="0" distB="0" distL="0" distR="0">
            <wp:extent cx="6388100" cy="7559040"/>
            <wp:effectExtent l="0" t="0" r="0" b="0"/>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250"/>
                    <a:stretch>
                      <a:fillRect/>
                    </a:stretch>
                  </pic:blipFill>
                  <pic:spPr>
                    <a:xfrm>
                      <a:off x="0" y="0"/>
                      <a:ext cx="6388607" cy="7559040"/>
                    </a:xfrm>
                    <a:prstGeom prst="rect">
                      <a:avLst/>
                    </a:prstGeom>
                  </pic:spPr>
                </pic:pic>
              </a:graphicData>
            </a:graphic>
          </wp:inline>
        </w:drawing>
      </w:r>
    </w:p>
    <w:p w14:paraId="62FFCEFE">
      <w:pPr>
        <w:spacing w:line="11904" w:lineRule="exact"/>
        <w:sectPr>
          <w:headerReference r:id="rId144" w:type="default"/>
          <w:pgSz w:w="11905" w:h="16834"/>
          <w:pgMar w:top="1252" w:right="0" w:bottom="400" w:left="0" w:header="821" w:footer="0" w:gutter="0"/>
          <w:cols w:space="720" w:num="1"/>
        </w:sectPr>
      </w:pPr>
    </w:p>
    <w:p w14:paraId="4A212C31">
      <w:pPr>
        <w:rPr>
          <w:rFonts w:ascii="Arial"/>
          <w:sz w:val="21"/>
        </w:rPr>
      </w:pPr>
    </w:p>
    <w:p w14:paraId="28974DB2">
      <w:pPr>
        <w:rPr>
          <w:rFonts w:ascii="Arial" w:hAnsi="Arial" w:eastAsia="Arial" w:cs="Arial"/>
          <w:sz w:val="21"/>
          <w:szCs w:val="21"/>
        </w:rPr>
        <w:sectPr>
          <w:headerReference r:id="rId145" w:type="default"/>
          <w:pgSz w:w="11900" w:h="16840"/>
          <w:pgMar w:top="400" w:right="0" w:bottom="400" w:left="0" w:header="0" w:footer="0" w:gutter="0"/>
          <w:cols w:space="720" w:num="1"/>
        </w:sectPr>
      </w:pPr>
    </w:p>
    <w:p w14:paraId="696A494A">
      <w:pPr>
        <w:rPr>
          <w:rFonts w:ascii="Arial"/>
          <w:sz w:val="21"/>
        </w:rPr>
      </w:pPr>
    </w:p>
    <w:p w14:paraId="1B64B05B">
      <w:pPr>
        <w:rPr>
          <w:rFonts w:ascii="Arial" w:hAnsi="Arial" w:eastAsia="Arial" w:cs="Arial"/>
          <w:sz w:val="21"/>
          <w:szCs w:val="21"/>
        </w:rPr>
        <w:sectPr>
          <w:headerReference r:id="rId146" w:type="default"/>
          <w:pgSz w:w="11900" w:h="16840"/>
          <w:pgMar w:top="400" w:right="0" w:bottom="400" w:left="0" w:header="0" w:footer="0" w:gutter="0"/>
          <w:cols w:space="720" w:num="1"/>
        </w:sectPr>
      </w:pPr>
    </w:p>
    <w:p w14:paraId="2F47484B">
      <w:pPr>
        <w:rPr>
          <w:rFonts w:ascii="Arial"/>
          <w:sz w:val="21"/>
        </w:rPr>
      </w:pPr>
    </w:p>
    <w:p w14:paraId="1EE6793E">
      <w:pPr>
        <w:rPr>
          <w:rFonts w:ascii="Arial" w:hAnsi="Arial" w:eastAsia="Arial" w:cs="Arial"/>
          <w:sz w:val="21"/>
          <w:szCs w:val="21"/>
        </w:rPr>
        <w:sectPr>
          <w:headerReference r:id="rId147" w:type="default"/>
          <w:pgSz w:w="11900" w:h="16840"/>
          <w:pgMar w:top="400" w:right="0" w:bottom="400" w:left="0" w:header="0" w:footer="0" w:gutter="0"/>
          <w:cols w:space="720" w:num="1"/>
        </w:sectPr>
      </w:pPr>
    </w:p>
    <w:p w14:paraId="19AE622F">
      <w:pPr>
        <w:rPr>
          <w:rFonts w:ascii="Arial"/>
          <w:sz w:val="21"/>
        </w:rPr>
      </w:pPr>
    </w:p>
    <w:p w14:paraId="4F1A5CAA">
      <w:pPr>
        <w:rPr>
          <w:rFonts w:ascii="Arial" w:hAnsi="Arial" w:eastAsia="Arial" w:cs="Arial"/>
          <w:sz w:val="21"/>
          <w:szCs w:val="21"/>
        </w:rPr>
        <w:sectPr>
          <w:headerReference r:id="rId148" w:type="default"/>
          <w:pgSz w:w="11900" w:h="16840"/>
          <w:pgMar w:top="400" w:right="0" w:bottom="400" w:left="0" w:header="0" w:footer="0" w:gutter="0"/>
          <w:cols w:space="720" w:num="1"/>
        </w:sectPr>
      </w:pPr>
    </w:p>
    <w:p w14:paraId="51EB30B5">
      <w:pPr>
        <w:rPr>
          <w:rFonts w:ascii="Arial"/>
          <w:sz w:val="21"/>
        </w:rPr>
      </w:pPr>
    </w:p>
    <w:p w14:paraId="0BE51E2B">
      <w:pPr>
        <w:rPr>
          <w:rFonts w:ascii="Arial" w:hAnsi="Arial" w:eastAsia="Arial" w:cs="Arial"/>
          <w:sz w:val="21"/>
          <w:szCs w:val="21"/>
        </w:rPr>
        <w:sectPr>
          <w:headerReference r:id="rId149" w:type="default"/>
          <w:pgSz w:w="11900" w:h="16840"/>
          <w:pgMar w:top="400" w:right="0" w:bottom="400" w:left="0" w:header="0" w:footer="0" w:gutter="0"/>
          <w:cols w:space="720" w:num="1"/>
        </w:sectPr>
      </w:pPr>
    </w:p>
    <w:p w14:paraId="480F51B6">
      <w:pPr>
        <w:rPr>
          <w:rFonts w:ascii="Arial"/>
          <w:sz w:val="21"/>
        </w:rPr>
      </w:pPr>
    </w:p>
    <w:p w14:paraId="646F68AB">
      <w:pPr>
        <w:rPr>
          <w:rFonts w:ascii="Arial" w:hAnsi="Arial" w:eastAsia="Arial" w:cs="Arial"/>
          <w:sz w:val="21"/>
          <w:szCs w:val="21"/>
        </w:rPr>
        <w:sectPr>
          <w:headerReference r:id="rId150" w:type="default"/>
          <w:pgSz w:w="11900" w:h="16840"/>
          <w:pgMar w:top="400" w:right="0" w:bottom="400" w:left="0" w:header="0" w:footer="0" w:gutter="0"/>
          <w:cols w:space="720" w:num="1"/>
        </w:sectPr>
      </w:pPr>
    </w:p>
    <w:p w14:paraId="6782B5BE">
      <w:pPr>
        <w:rPr>
          <w:rFonts w:ascii="Arial"/>
          <w:sz w:val="21"/>
        </w:rPr>
      </w:pPr>
    </w:p>
    <w:p w14:paraId="5F3071C4">
      <w:pPr>
        <w:rPr>
          <w:rFonts w:ascii="Arial" w:hAnsi="Arial" w:eastAsia="Arial" w:cs="Arial"/>
          <w:sz w:val="21"/>
          <w:szCs w:val="21"/>
        </w:rPr>
        <w:sectPr>
          <w:headerReference r:id="rId151" w:type="default"/>
          <w:pgSz w:w="11900" w:h="16840"/>
          <w:pgMar w:top="400" w:right="0" w:bottom="400" w:left="0" w:header="0" w:footer="0" w:gutter="0"/>
          <w:cols w:space="720" w:num="1"/>
        </w:sectPr>
      </w:pPr>
    </w:p>
    <w:p w14:paraId="306D2D5C">
      <w:pPr>
        <w:rPr>
          <w:rFonts w:ascii="Arial"/>
          <w:sz w:val="21"/>
        </w:rPr>
      </w:pPr>
    </w:p>
    <w:p w14:paraId="576ECCFC">
      <w:pPr>
        <w:rPr>
          <w:rFonts w:ascii="Arial" w:hAnsi="Arial" w:eastAsia="Arial" w:cs="Arial"/>
          <w:sz w:val="21"/>
          <w:szCs w:val="21"/>
        </w:rPr>
        <w:sectPr>
          <w:headerReference r:id="rId152" w:type="default"/>
          <w:pgSz w:w="11900" w:h="16840"/>
          <w:pgMar w:top="400" w:right="0" w:bottom="400" w:left="0" w:header="0" w:footer="0" w:gutter="0"/>
          <w:cols w:space="720" w:num="1"/>
        </w:sectPr>
      </w:pPr>
    </w:p>
    <w:p w14:paraId="0D4F25F3">
      <w:pPr>
        <w:rPr>
          <w:rFonts w:ascii="Arial"/>
          <w:sz w:val="21"/>
        </w:rPr>
      </w:pPr>
    </w:p>
    <w:p w14:paraId="431BE443">
      <w:pPr>
        <w:rPr>
          <w:rFonts w:ascii="Arial" w:hAnsi="Arial" w:eastAsia="Arial" w:cs="Arial"/>
          <w:sz w:val="21"/>
          <w:szCs w:val="21"/>
        </w:rPr>
        <w:sectPr>
          <w:headerReference r:id="rId153" w:type="default"/>
          <w:pgSz w:w="11900" w:h="16840"/>
          <w:pgMar w:top="400" w:right="0" w:bottom="400" w:left="0" w:header="0" w:footer="0" w:gutter="0"/>
          <w:cols w:space="720" w:num="1"/>
        </w:sectPr>
      </w:pPr>
    </w:p>
    <w:p w14:paraId="4B12B11F">
      <w:pPr>
        <w:rPr>
          <w:rFonts w:ascii="Arial"/>
          <w:sz w:val="21"/>
        </w:rPr>
      </w:pPr>
    </w:p>
    <w:p w14:paraId="1E9910A3">
      <w:pPr>
        <w:rPr>
          <w:rFonts w:ascii="Arial" w:hAnsi="Arial" w:eastAsia="Arial" w:cs="Arial"/>
          <w:sz w:val="21"/>
          <w:szCs w:val="21"/>
        </w:rPr>
        <w:sectPr>
          <w:headerReference r:id="rId154" w:type="default"/>
          <w:pgSz w:w="11900" w:h="16840"/>
          <w:pgMar w:top="400" w:right="0" w:bottom="400" w:left="0" w:header="0" w:footer="0" w:gutter="0"/>
          <w:cols w:space="720" w:num="1"/>
        </w:sectPr>
      </w:pPr>
    </w:p>
    <w:p w14:paraId="0C448863">
      <w:pPr>
        <w:rPr>
          <w:rFonts w:ascii="Arial"/>
          <w:sz w:val="21"/>
        </w:rPr>
      </w:pPr>
    </w:p>
    <w:p w14:paraId="59479FF2">
      <w:pPr>
        <w:rPr>
          <w:rFonts w:ascii="Arial" w:hAnsi="Arial" w:eastAsia="Arial" w:cs="Arial"/>
          <w:sz w:val="21"/>
          <w:szCs w:val="21"/>
        </w:rPr>
        <w:sectPr>
          <w:headerReference r:id="rId155" w:type="default"/>
          <w:pgSz w:w="11900" w:h="16840"/>
          <w:pgMar w:top="400" w:right="0" w:bottom="400" w:left="0" w:header="0" w:footer="0" w:gutter="0"/>
          <w:cols w:space="720" w:num="1"/>
        </w:sectPr>
      </w:pPr>
    </w:p>
    <w:p w14:paraId="0549E9F4">
      <w:pPr>
        <w:rPr>
          <w:rFonts w:ascii="Arial"/>
          <w:sz w:val="21"/>
        </w:rPr>
      </w:pPr>
    </w:p>
    <w:p w14:paraId="5DE10212">
      <w:pPr>
        <w:rPr>
          <w:rFonts w:ascii="Arial" w:hAnsi="Arial" w:eastAsia="Arial" w:cs="Arial"/>
          <w:sz w:val="21"/>
          <w:szCs w:val="21"/>
        </w:rPr>
        <w:sectPr>
          <w:headerReference r:id="rId156" w:type="default"/>
          <w:pgSz w:w="11900" w:h="16840"/>
          <w:pgMar w:top="0" w:right="0" w:bottom="0" w:left="0" w:header="0" w:footer="0" w:gutter="0"/>
          <w:cols w:space="720" w:num="1"/>
        </w:sectPr>
      </w:pPr>
    </w:p>
    <w:p w14:paraId="339F0F44">
      <w:pPr>
        <w:spacing w:line="16810" w:lineRule="exact"/>
      </w:pPr>
      <w:r>
        <w:rPr>
          <w:position w:val="-336"/>
        </w:rPr>
        <w:drawing>
          <wp:inline distT="0" distB="0" distL="0" distR="0">
            <wp:extent cx="7534275" cy="10674350"/>
            <wp:effectExtent l="0" t="0" r="0" b="0"/>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251"/>
                    <a:stretch>
                      <a:fillRect/>
                    </a:stretch>
                  </pic:blipFill>
                  <pic:spPr>
                    <a:xfrm>
                      <a:off x="0" y="0"/>
                      <a:ext cx="7534909" cy="10674350"/>
                    </a:xfrm>
                    <a:prstGeom prst="rect">
                      <a:avLst/>
                    </a:prstGeom>
                  </pic:spPr>
                </pic:pic>
              </a:graphicData>
            </a:graphic>
          </wp:inline>
        </w:drawing>
      </w:r>
    </w:p>
    <w:p w14:paraId="796CDDB4">
      <w:pPr>
        <w:spacing w:line="16810" w:lineRule="exact"/>
        <w:sectPr>
          <w:pgSz w:w="11900" w:h="16840"/>
          <w:pgMar w:top="10" w:right="15" w:bottom="10" w:left="18" w:header="0" w:footer="0" w:gutter="0"/>
          <w:cols w:space="720" w:num="1"/>
        </w:sectPr>
      </w:pPr>
    </w:p>
    <w:p w14:paraId="0BDCDFF4">
      <w:pPr>
        <w:spacing w:line="16810" w:lineRule="exact"/>
      </w:pPr>
      <w:r>
        <w:rPr>
          <w:position w:val="-336"/>
        </w:rPr>
        <w:drawing>
          <wp:inline distT="0" distB="0" distL="0" distR="0">
            <wp:extent cx="7534275" cy="10674350"/>
            <wp:effectExtent l="0" t="0" r="0" b="0"/>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252"/>
                    <a:stretch>
                      <a:fillRect/>
                    </a:stretch>
                  </pic:blipFill>
                  <pic:spPr>
                    <a:xfrm>
                      <a:off x="0" y="0"/>
                      <a:ext cx="7534909" cy="10674350"/>
                    </a:xfrm>
                    <a:prstGeom prst="rect">
                      <a:avLst/>
                    </a:prstGeom>
                  </pic:spPr>
                </pic:pic>
              </a:graphicData>
            </a:graphic>
          </wp:inline>
        </w:drawing>
      </w:r>
    </w:p>
    <w:p w14:paraId="40395F1A">
      <w:pPr>
        <w:spacing w:line="16810" w:lineRule="exact"/>
        <w:sectPr>
          <w:pgSz w:w="11900" w:h="16840"/>
          <w:pgMar w:top="10" w:right="15" w:bottom="10" w:left="18" w:header="0" w:footer="0" w:gutter="0"/>
          <w:cols w:space="720" w:num="1"/>
        </w:sectPr>
      </w:pPr>
    </w:p>
    <w:p w14:paraId="18CB7C8C">
      <w:pPr>
        <w:spacing w:line="16810" w:lineRule="exact"/>
      </w:pPr>
      <w:r>
        <w:rPr>
          <w:position w:val="-336"/>
        </w:rPr>
        <w:drawing>
          <wp:inline distT="0" distB="0" distL="0" distR="0">
            <wp:extent cx="7534275" cy="10674350"/>
            <wp:effectExtent l="0" t="0" r="0" b="0"/>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253"/>
                    <a:stretch>
                      <a:fillRect/>
                    </a:stretch>
                  </pic:blipFill>
                  <pic:spPr>
                    <a:xfrm>
                      <a:off x="0" y="0"/>
                      <a:ext cx="7534909" cy="10674350"/>
                    </a:xfrm>
                    <a:prstGeom prst="rect">
                      <a:avLst/>
                    </a:prstGeom>
                  </pic:spPr>
                </pic:pic>
              </a:graphicData>
            </a:graphic>
          </wp:inline>
        </w:drawing>
      </w:r>
    </w:p>
    <w:p w14:paraId="452BE702">
      <w:pPr>
        <w:spacing w:line="16810" w:lineRule="exact"/>
        <w:sectPr>
          <w:pgSz w:w="11900" w:h="16840"/>
          <w:pgMar w:top="10" w:right="15" w:bottom="10" w:left="18" w:header="0" w:footer="0" w:gutter="0"/>
          <w:cols w:space="720" w:num="1"/>
        </w:sectPr>
      </w:pPr>
    </w:p>
    <w:p w14:paraId="7363D5FD">
      <w:pPr>
        <w:spacing w:line="262" w:lineRule="auto"/>
        <w:rPr>
          <w:rFonts w:ascii="Arial"/>
          <w:sz w:val="21"/>
        </w:rPr>
      </w:pPr>
    </w:p>
    <w:p w14:paraId="7501C6AA">
      <w:pPr>
        <w:spacing w:line="262" w:lineRule="auto"/>
        <w:rPr>
          <w:rFonts w:ascii="Arial"/>
          <w:sz w:val="21"/>
        </w:rPr>
      </w:pPr>
    </w:p>
    <w:p w14:paraId="69385F75">
      <w:pPr>
        <w:spacing w:line="262" w:lineRule="auto"/>
        <w:rPr>
          <w:rFonts w:ascii="Arial"/>
          <w:sz w:val="21"/>
        </w:rPr>
      </w:pPr>
    </w:p>
    <w:p w14:paraId="4B5D6D8E">
      <w:pPr>
        <w:spacing w:line="262" w:lineRule="auto"/>
        <w:rPr>
          <w:rFonts w:ascii="Arial"/>
          <w:sz w:val="21"/>
        </w:rPr>
      </w:pPr>
    </w:p>
    <w:p w14:paraId="7A72400F">
      <w:pPr>
        <w:spacing w:line="12444" w:lineRule="exact"/>
        <w:ind w:firstLine="13"/>
      </w:pPr>
      <w:r>
        <w:rPr>
          <w:position w:val="-248"/>
        </w:rPr>
        <w:drawing>
          <wp:inline distT="0" distB="0" distL="0" distR="0">
            <wp:extent cx="5273675" cy="7901940"/>
            <wp:effectExtent l="0" t="0" r="0" b="0"/>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254"/>
                    <a:stretch>
                      <a:fillRect/>
                    </a:stretch>
                  </pic:blipFill>
                  <pic:spPr>
                    <a:xfrm>
                      <a:off x="0" y="0"/>
                      <a:ext cx="5273675" cy="7901940"/>
                    </a:xfrm>
                    <a:prstGeom prst="rect">
                      <a:avLst/>
                    </a:prstGeom>
                  </pic:spPr>
                </pic:pic>
              </a:graphicData>
            </a:graphic>
          </wp:inline>
        </w:drawing>
      </w:r>
    </w:p>
    <w:p w14:paraId="140A8927">
      <w:pPr>
        <w:spacing w:line="12444" w:lineRule="exact"/>
        <w:sectPr>
          <w:pgSz w:w="11909" w:h="16836"/>
          <w:pgMar w:top="400" w:right="1786" w:bottom="400" w:left="1786" w:header="0" w:footer="0" w:gutter="0"/>
          <w:cols w:space="720" w:num="1"/>
        </w:sectPr>
      </w:pPr>
    </w:p>
    <w:p w14:paraId="004C63DB">
      <w:pPr>
        <w:spacing w:line="288" w:lineRule="auto"/>
        <w:rPr>
          <w:rFonts w:ascii="Arial"/>
          <w:sz w:val="21"/>
        </w:rPr>
      </w:pPr>
    </w:p>
    <w:p w14:paraId="49F09C06">
      <w:pPr>
        <w:spacing w:line="289" w:lineRule="auto"/>
        <w:rPr>
          <w:rFonts w:ascii="Arial"/>
          <w:sz w:val="21"/>
        </w:rPr>
      </w:pPr>
    </w:p>
    <w:p w14:paraId="59128A89">
      <w:pPr>
        <w:spacing w:line="289" w:lineRule="auto"/>
        <w:rPr>
          <w:rFonts w:ascii="Arial"/>
          <w:sz w:val="21"/>
        </w:rPr>
      </w:pPr>
    </w:p>
    <w:p w14:paraId="055DD5E0">
      <w:pPr>
        <w:spacing w:line="289" w:lineRule="auto"/>
        <w:rPr>
          <w:rFonts w:ascii="Arial"/>
          <w:sz w:val="21"/>
        </w:rPr>
      </w:pPr>
    </w:p>
    <w:p w14:paraId="2AE3A3BE">
      <w:pPr>
        <w:spacing w:line="11590" w:lineRule="exact"/>
        <w:ind w:firstLine="13"/>
      </w:pPr>
      <w:r>
        <w:rPr>
          <w:position w:val="-231"/>
        </w:rPr>
        <w:drawing>
          <wp:inline distT="0" distB="0" distL="0" distR="0">
            <wp:extent cx="5270500" cy="7359650"/>
            <wp:effectExtent l="0" t="0" r="0" b="0"/>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255"/>
                    <a:stretch>
                      <a:fillRect/>
                    </a:stretch>
                  </pic:blipFill>
                  <pic:spPr>
                    <a:xfrm>
                      <a:off x="0" y="0"/>
                      <a:ext cx="5271134" cy="7359650"/>
                    </a:xfrm>
                    <a:prstGeom prst="rect">
                      <a:avLst/>
                    </a:prstGeom>
                  </pic:spPr>
                </pic:pic>
              </a:graphicData>
            </a:graphic>
          </wp:inline>
        </w:drawing>
      </w:r>
    </w:p>
    <w:p w14:paraId="71F3A3D3">
      <w:pPr>
        <w:spacing w:line="11590" w:lineRule="exact"/>
        <w:sectPr>
          <w:pgSz w:w="11909" w:h="16836"/>
          <w:pgMar w:top="400" w:right="1786" w:bottom="400" w:left="1786" w:header="0" w:footer="0" w:gutter="0"/>
          <w:cols w:space="720" w:num="1"/>
        </w:sectPr>
      </w:pPr>
    </w:p>
    <w:p w14:paraId="2B8866F2">
      <w:pPr>
        <w:spacing w:line="262" w:lineRule="auto"/>
        <w:rPr>
          <w:rFonts w:ascii="Arial"/>
          <w:sz w:val="21"/>
        </w:rPr>
      </w:pPr>
    </w:p>
    <w:p w14:paraId="0F224A90">
      <w:pPr>
        <w:spacing w:line="263" w:lineRule="auto"/>
        <w:rPr>
          <w:rFonts w:ascii="Arial"/>
          <w:sz w:val="21"/>
        </w:rPr>
      </w:pPr>
    </w:p>
    <w:p w14:paraId="0D76FBD3">
      <w:pPr>
        <w:spacing w:line="263" w:lineRule="auto"/>
        <w:rPr>
          <w:rFonts w:ascii="Arial"/>
          <w:sz w:val="21"/>
        </w:rPr>
      </w:pPr>
    </w:p>
    <w:p w14:paraId="7694C141">
      <w:pPr>
        <w:spacing w:line="263" w:lineRule="auto"/>
        <w:rPr>
          <w:rFonts w:ascii="Arial"/>
          <w:sz w:val="21"/>
        </w:rPr>
      </w:pPr>
    </w:p>
    <w:p w14:paraId="3F2228DA">
      <w:pPr>
        <w:spacing w:line="11800" w:lineRule="exact"/>
        <w:ind w:firstLine="13"/>
      </w:pPr>
      <w:r>
        <w:rPr>
          <w:position w:val="-236"/>
        </w:rPr>
        <w:drawing>
          <wp:inline distT="0" distB="0" distL="0" distR="0">
            <wp:extent cx="5271770" cy="7493000"/>
            <wp:effectExtent l="0" t="0" r="0" b="0"/>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256"/>
                    <a:stretch>
                      <a:fillRect/>
                    </a:stretch>
                  </pic:blipFill>
                  <pic:spPr>
                    <a:xfrm>
                      <a:off x="0" y="0"/>
                      <a:ext cx="5272404" cy="7493000"/>
                    </a:xfrm>
                    <a:prstGeom prst="rect">
                      <a:avLst/>
                    </a:prstGeom>
                  </pic:spPr>
                </pic:pic>
              </a:graphicData>
            </a:graphic>
          </wp:inline>
        </w:drawing>
      </w:r>
    </w:p>
    <w:p w14:paraId="72E7BBAC">
      <w:pPr>
        <w:spacing w:line="11800" w:lineRule="exact"/>
        <w:sectPr>
          <w:pgSz w:w="11909" w:h="16836"/>
          <w:pgMar w:top="400" w:right="1786" w:bottom="400" w:left="1786" w:header="0" w:footer="0" w:gutter="0"/>
          <w:cols w:space="720" w:num="1"/>
        </w:sectPr>
      </w:pPr>
    </w:p>
    <w:p w14:paraId="201870DA">
      <w:pPr>
        <w:spacing w:line="283" w:lineRule="auto"/>
        <w:rPr>
          <w:rFonts w:ascii="Arial"/>
          <w:sz w:val="21"/>
        </w:rPr>
      </w:pPr>
    </w:p>
    <w:p w14:paraId="22A4C361">
      <w:pPr>
        <w:spacing w:line="284" w:lineRule="auto"/>
        <w:rPr>
          <w:rFonts w:ascii="Arial"/>
          <w:sz w:val="21"/>
        </w:rPr>
      </w:pPr>
    </w:p>
    <w:p w14:paraId="3D9BC3F6">
      <w:pPr>
        <w:spacing w:line="284" w:lineRule="auto"/>
        <w:rPr>
          <w:rFonts w:ascii="Arial"/>
          <w:sz w:val="21"/>
        </w:rPr>
      </w:pPr>
    </w:p>
    <w:p w14:paraId="71251C33">
      <w:pPr>
        <w:spacing w:line="284" w:lineRule="auto"/>
        <w:rPr>
          <w:rFonts w:ascii="Arial"/>
          <w:sz w:val="21"/>
        </w:rPr>
      </w:pPr>
    </w:p>
    <w:p w14:paraId="3D850EDD">
      <w:pPr>
        <w:spacing w:line="6636" w:lineRule="exact"/>
        <w:ind w:firstLine="13"/>
      </w:pPr>
      <w:r>
        <w:rPr>
          <w:position w:val="-132"/>
        </w:rPr>
        <w:drawing>
          <wp:inline distT="0" distB="0" distL="0" distR="0">
            <wp:extent cx="5269230" cy="4213225"/>
            <wp:effectExtent l="0" t="0" r="0" b="0"/>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257"/>
                    <a:stretch>
                      <a:fillRect/>
                    </a:stretch>
                  </pic:blipFill>
                  <pic:spPr>
                    <a:xfrm>
                      <a:off x="0" y="0"/>
                      <a:ext cx="5269864" cy="4213859"/>
                    </a:xfrm>
                    <a:prstGeom prst="rect">
                      <a:avLst/>
                    </a:prstGeom>
                  </pic:spPr>
                </pic:pic>
              </a:graphicData>
            </a:graphic>
          </wp:inline>
        </w:drawing>
      </w:r>
    </w:p>
    <w:p w14:paraId="4414537F">
      <w:pPr>
        <w:spacing w:line="6636" w:lineRule="exact"/>
        <w:sectPr>
          <w:pgSz w:w="11909" w:h="16836"/>
          <w:pgMar w:top="400" w:right="1786" w:bottom="400" w:left="1786" w:header="0" w:footer="0" w:gutter="0"/>
          <w:cols w:space="720" w:num="1"/>
        </w:sectPr>
      </w:pPr>
    </w:p>
    <w:p w14:paraId="22487EAF">
      <w:pPr>
        <w:spacing w:line="245" w:lineRule="auto"/>
        <w:rPr>
          <w:rFonts w:ascii="Arial"/>
          <w:sz w:val="21"/>
        </w:rPr>
      </w:pPr>
    </w:p>
    <w:p w14:paraId="4DCD13EA">
      <w:pPr>
        <w:spacing w:line="245" w:lineRule="auto"/>
        <w:rPr>
          <w:rFonts w:ascii="Arial"/>
          <w:sz w:val="21"/>
        </w:rPr>
      </w:pPr>
    </w:p>
    <w:p w14:paraId="49F9DBBC">
      <w:pPr>
        <w:spacing w:line="246" w:lineRule="auto"/>
        <w:rPr>
          <w:rFonts w:ascii="Arial"/>
          <w:sz w:val="21"/>
        </w:rPr>
      </w:pPr>
    </w:p>
    <w:p w14:paraId="25EBD350">
      <w:pPr>
        <w:spacing w:line="246" w:lineRule="auto"/>
        <w:rPr>
          <w:rFonts w:ascii="Arial"/>
          <w:sz w:val="21"/>
        </w:rPr>
      </w:pPr>
    </w:p>
    <w:p w14:paraId="40BA1E57">
      <w:pPr>
        <w:pStyle w:val="2"/>
        <w:spacing w:before="91" w:line="219" w:lineRule="auto"/>
        <w:ind w:left="622"/>
        <w:rPr>
          <w:sz w:val="28"/>
          <w:szCs w:val="28"/>
        </w:rPr>
      </w:pPr>
      <w:r>
        <w:rPr>
          <w:b/>
          <w:bCs/>
          <w:spacing w:val="13"/>
          <w:sz w:val="28"/>
          <w:szCs w:val="28"/>
        </w:rPr>
        <w:t>内蒙古众宁环保科技有限公司油气田废弃物集中处理厂</w:t>
      </w:r>
    </w:p>
    <w:p w14:paraId="5CDEE2C9">
      <w:pPr>
        <w:pStyle w:val="2"/>
        <w:spacing w:before="211" w:line="220" w:lineRule="auto"/>
        <w:ind w:left="2177"/>
        <w:rPr>
          <w:sz w:val="28"/>
          <w:szCs w:val="28"/>
        </w:rPr>
      </w:pPr>
      <w:r>
        <w:rPr>
          <w:b/>
          <w:bCs/>
          <w:spacing w:val="2"/>
          <w:sz w:val="28"/>
          <w:szCs w:val="28"/>
        </w:rPr>
        <w:t>建设项目竣工环境保护验收意见</w:t>
      </w:r>
    </w:p>
    <w:p w14:paraId="7EAB8432">
      <w:pPr>
        <w:pStyle w:val="2"/>
        <w:spacing w:before="206" w:line="359" w:lineRule="auto"/>
        <w:ind w:left="22" w:right="49" w:firstLine="483"/>
        <w:jc w:val="both"/>
      </w:pPr>
      <w:r>
        <w:rPr>
          <w:spacing w:val="2"/>
        </w:rPr>
        <w:t>2025</w:t>
      </w:r>
      <w:r>
        <w:rPr>
          <w:spacing w:val="-48"/>
        </w:rPr>
        <w:t xml:space="preserve"> </w:t>
      </w:r>
      <w:r>
        <w:rPr>
          <w:spacing w:val="2"/>
        </w:rPr>
        <w:t>年</w:t>
      </w:r>
      <w:r>
        <w:rPr>
          <w:spacing w:val="-33"/>
        </w:rPr>
        <w:t xml:space="preserve"> </w:t>
      </w:r>
      <w:r>
        <w:rPr>
          <w:spacing w:val="2"/>
        </w:rPr>
        <w:t>1</w:t>
      </w:r>
      <w:r>
        <w:rPr>
          <w:spacing w:val="-45"/>
        </w:rPr>
        <w:t xml:space="preserve"> </w:t>
      </w:r>
      <w:r>
        <w:rPr>
          <w:spacing w:val="2"/>
        </w:rPr>
        <w:t>月</w:t>
      </w:r>
      <w:r>
        <w:rPr>
          <w:spacing w:val="-48"/>
        </w:rPr>
        <w:t xml:space="preserve"> </w:t>
      </w:r>
      <w:r>
        <w:rPr>
          <w:spacing w:val="2"/>
        </w:rPr>
        <w:t>24 日，内蒙古众宁环保科技有限公司根据《建设项目竣工环</w:t>
      </w:r>
      <w:r>
        <w:rPr>
          <w:spacing w:val="-3"/>
        </w:rPr>
        <w:t>境保护验收暂行办法》、《关于做好建设项目竣工环境保护验收工作的通知》等相关要求，邀请专家组成验收工作组（名单附后，其中内蒙古众宁环保科技有限</w:t>
      </w:r>
      <w:r>
        <w:rPr>
          <w:spacing w:val="-2"/>
        </w:rPr>
        <w:t>公司杨领任验收负责人</w:t>
      </w:r>
      <w:r>
        <w:rPr>
          <w:spacing w:val="-20"/>
        </w:rPr>
        <w:t>），</w:t>
      </w:r>
      <w:r>
        <w:rPr>
          <w:spacing w:val="-2"/>
        </w:rPr>
        <w:t>对本项目进行竣工环境保护验收。验收组依照国家有</w:t>
      </w:r>
      <w:r>
        <w:rPr>
          <w:spacing w:val="-4"/>
        </w:rPr>
        <w:t>关法律法规、建设项目竣工环境保护验收技术指南</w:t>
      </w:r>
      <w:r>
        <w:rPr>
          <w:spacing w:val="-67"/>
        </w:rPr>
        <w:t xml:space="preserve"> </w:t>
      </w:r>
      <w:r>
        <w:rPr>
          <w:spacing w:val="-4"/>
        </w:rPr>
        <w:t>(</w:t>
      </w:r>
      <w:r>
        <w:rPr>
          <w:spacing w:val="-5"/>
        </w:rPr>
        <w:t>污染影响类)、本项目环境影</w:t>
      </w:r>
      <w:r>
        <w:rPr>
          <w:spacing w:val="-3"/>
        </w:rPr>
        <w:t>响报告表和巴彦淖尔市生态环境局对本项目的审批意见（巴环审表[</w:t>
      </w:r>
      <w:r>
        <w:fldChar w:fldCharType="begin"/>
      </w:r>
      <w:r>
        <w:instrText xml:space="preserve"> HYPERLINK \l "bookmark9" </w:instrText>
      </w:r>
      <w:r>
        <w:fldChar w:fldCharType="separate"/>
      </w:r>
      <w:r>
        <w:rPr>
          <w:spacing w:val="-3"/>
        </w:rPr>
        <w:t>2022</w:t>
      </w:r>
      <w:r>
        <w:rPr>
          <w:spacing w:val="-3"/>
        </w:rPr>
        <w:fldChar w:fldCharType="end"/>
      </w:r>
      <w:r>
        <w:rPr>
          <w:spacing w:val="-4"/>
        </w:rPr>
        <w:t>]9</w:t>
      </w:r>
      <w:r>
        <w:rPr>
          <w:spacing w:val="-45"/>
        </w:rPr>
        <w:t xml:space="preserve"> </w:t>
      </w:r>
      <w:r>
        <w:rPr>
          <w:spacing w:val="-4"/>
        </w:rPr>
        <w:t>号）等要求，审阅了由内蒙古众宁环保科技有限公司编制的《建设项目竣工环境保护</w:t>
      </w:r>
      <w:r>
        <w:rPr>
          <w:spacing w:val="-3"/>
        </w:rPr>
        <w:t>验收检测报告》，经认真评议，提出验收意见如下：</w:t>
      </w:r>
    </w:p>
    <w:p w14:paraId="449100C8">
      <w:pPr>
        <w:pStyle w:val="2"/>
        <w:spacing w:before="1" w:line="219" w:lineRule="auto"/>
        <w:ind w:left="511"/>
      </w:pPr>
      <w:r>
        <w:rPr>
          <w:b/>
          <w:bCs/>
          <w:spacing w:val="-4"/>
        </w:rPr>
        <w:t>一、工程建设基本情况</w:t>
      </w:r>
    </w:p>
    <w:p w14:paraId="6B3F5E4F">
      <w:pPr>
        <w:pStyle w:val="2"/>
        <w:spacing w:before="183" w:line="220" w:lineRule="auto"/>
        <w:ind w:left="514"/>
      </w:pPr>
      <w:r>
        <w:rPr>
          <w:b/>
          <w:bCs/>
          <w:spacing w:val="-3"/>
        </w:rPr>
        <w:t>（一）建设地点、规模、主要建设内容</w:t>
      </w:r>
    </w:p>
    <w:p w14:paraId="530DB9AF">
      <w:pPr>
        <w:pStyle w:val="2"/>
        <w:spacing w:before="182" w:line="350" w:lineRule="auto"/>
        <w:ind w:left="21" w:right="48" w:firstLine="510"/>
      </w:pPr>
      <w:r>
        <w:rPr>
          <w:spacing w:val="-1"/>
        </w:rPr>
        <w:t>内蒙古众宁环保科技有限公司油气田废弃物集中处理厂建设项</w:t>
      </w:r>
      <w:r>
        <w:rPr>
          <w:spacing w:val="-2"/>
        </w:rPr>
        <w:t>目位于内蒙</w:t>
      </w:r>
      <w:r>
        <w:rPr>
          <w:spacing w:val="-6"/>
        </w:rPr>
        <w:t>古自治区巴彦淖尔经济技术开发区建材路东，项目区东、南两侧为园区空地，</w:t>
      </w:r>
      <w:r>
        <w:rPr>
          <w:spacing w:val="-7"/>
        </w:rPr>
        <w:t xml:space="preserve"> 北</w:t>
      </w:r>
      <w:r>
        <w:rPr>
          <w:spacing w:val="-3"/>
        </w:rPr>
        <w:t>侧为中泰汇金，西侧为建材路，隔路为巴彦淖尔市临河东城区污水处理厂。中心</w:t>
      </w:r>
      <w:r>
        <w:rPr>
          <w:spacing w:val="-14"/>
        </w:rPr>
        <w:t>地理坐标</w:t>
      </w:r>
      <w:r>
        <w:rPr>
          <w:spacing w:val="-56"/>
        </w:rPr>
        <w:t xml:space="preserve"> </w:t>
      </w:r>
      <w:r>
        <w:rPr>
          <w:spacing w:val="-14"/>
        </w:rPr>
        <w:t>N40°49,3.57聂，E107°32,4.89，项目占地面积</w:t>
      </w:r>
      <w:r>
        <w:rPr>
          <w:spacing w:val="-39"/>
        </w:rPr>
        <w:t xml:space="preserve"> </w:t>
      </w:r>
      <w:r>
        <w:rPr>
          <w:spacing w:val="-14"/>
        </w:rPr>
        <w:t>21297.01m</w:t>
      </w:r>
      <w:r>
        <w:rPr>
          <w:spacing w:val="-2"/>
          <w:position w:val="11"/>
          <w:sz w:val="16"/>
          <w:szCs w:val="16"/>
        </w:rPr>
        <w:t>2</w:t>
      </w:r>
      <w:r>
        <w:rPr>
          <w:spacing w:val="-2"/>
        </w:rPr>
        <w:t>，建设</w:t>
      </w:r>
      <w:r>
        <w:rPr>
          <w:spacing w:val="-55"/>
        </w:rPr>
        <w:t xml:space="preserve"> </w:t>
      </w:r>
      <w:r>
        <w:rPr>
          <w:spacing w:val="-2"/>
        </w:rPr>
        <w:t>2</w:t>
      </w:r>
      <w:r>
        <w:rPr>
          <w:spacing w:val="-48"/>
        </w:rPr>
        <w:t xml:space="preserve"> </w:t>
      </w:r>
      <w:r>
        <w:rPr>
          <w:spacing w:val="-2"/>
        </w:rPr>
        <w:t>条压</w:t>
      </w:r>
      <w:r>
        <w:rPr>
          <w:spacing w:val="-10"/>
        </w:rPr>
        <w:t>滤水基泥浆处理线。水基泥浆处理能力为</w:t>
      </w:r>
      <w:r>
        <w:rPr>
          <w:spacing w:val="-50"/>
        </w:rPr>
        <w:t xml:space="preserve"> </w:t>
      </w:r>
      <w:r>
        <w:rPr>
          <w:spacing w:val="-10"/>
        </w:rPr>
        <w:t>6×10</w:t>
      </w:r>
      <w:r>
        <w:rPr>
          <w:spacing w:val="-10"/>
          <w:position w:val="11"/>
          <w:sz w:val="16"/>
          <w:szCs w:val="16"/>
        </w:rPr>
        <w:t>4</w:t>
      </w:r>
      <w:r>
        <w:rPr>
          <w:spacing w:val="-10"/>
        </w:rPr>
        <w:t>t</w:t>
      </w:r>
      <w:r>
        <w:rPr>
          <w:spacing w:val="-59"/>
        </w:rPr>
        <w:t xml:space="preserve"> </w:t>
      </w:r>
      <w:r>
        <w:rPr>
          <w:spacing w:val="-11"/>
        </w:rPr>
        <w:t>/a、250t/d。</w:t>
      </w:r>
    </w:p>
    <w:p w14:paraId="577180A4">
      <w:pPr>
        <w:pStyle w:val="2"/>
        <w:spacing w:line="233" w:lineRule="auto"/>
        <w:ind w:left="507"/>
      </w:pPr>
      <w:r>
        <w:rPr>
          <w:spacing w:val="-4"/>
        </w:rPr>
        <w:t>项目劳动定员</w:t>
      </w:r>
      <w:r>
        <w:rPr>
          <w:spacing w:val="-29"/>
        </w:rPr>
        <w:t xml:space="preserve"> </w:t>
      </w:r>
      <w:r>
        <w:rPr>
          <w:spacing w:val="-4"/>
        </w:rPr>
        <w:t>10</w:t>
      </w:r>
      <w:r>
        <w:rPr>
          <w:spacing w:val="-48"/>
        </w:rPr>
        <w:t xml:space="preserve"> </w:t>
      </w:r>
      <w:r>
        <w:rPr>
          <w:spacing w:val="-4"/>
        </w:rPr>
        <w:t>名，年工作天数为</w:t>
      </w:r>
      <w:r>
        <w:rPr>
          <w:spacing w:val="-54"/>
        </w:rPr>
        <w:t xml:space="preserve"> </w:t>
      </w:r>
      <w:r>
        <w:rPr>
          <w:spacing w:val="-4"/>
        </w:rPr>
        <w:t>240</w:t>
      </w:r>
      <w:r>
        <w:rPr>
          <w:spacing w:val="-46"/>
        </w:rPr>
        <w:t xml:space="preserve"> </w:t>
      </w:r>
      <w:r>
        <w:rPr>
          <w:spacing w:val="-4"/>
        </w:rPr>
        <w:t>天，工作时间</w:t>
      </w:r>
      <w:r>
        <w:rPr>
          <w:spacing w:val="-31"/>
        </w:rPr>
        <w:t xml:space="preserve"> </w:t>
      </w:r>
      <w:r>
        <w:rPr>
          <w:spacing w:val="-4"/>
        </w:rPr>
        <w:t>12</w:t>
      </w:r>
      <w:r>
        <w:rPr>
          <w:spacing w:val="-44"/>
        </w:rPr>
        <w:t xml:space="preserve"> </w:t>
      </w:r>
      <w:r>
        <w:rPr>
          <w:spacing w:val="-4"/>
        </w:rPr>
        <w:t>小时。</w:t>
      </w:r>
    </w:p>
    <w:p w14:paraId="285B7CD7">
      <w:pPr>
        <w:pStyle w:val="2"/>
        <w:spacing w:before="166" w:line="220" w:lineRule="auto"/>
        <w:ind w:left="514"/>
      </w:pPr>
      <w:r>
        <w:rPr>
          <w:b/>
          <w:bCs/>
          <w:spacing w:val="-3"/>
        </w:rPr>
        <w:t>（二）建设过程及环保审批情况</w:t>
      </w:r>
    </w:p>
    <w:p w14:paraId="34A12E4E">
      <w:pPr>
        <w:pStyle w:val="2"/>
        <w:spacing w:before="180" w:line="355" w:lineRule="auto"/>
        <w:ind w:left="27" w:right="49" w:firstLine="471"/>
        <w:jc w:val="both"/>
      </w:pPr>
      <w:r>
        <w:rPr>
          <w:spacing w:val="4"/>
        </w:rPr>
        <w:t>2022 年 3 月内蒙古众宁环保科技有限公司委托内蒙古盛汇环境科技有限</w:t>
      </w:r>
      <w:r>
        <w:rPr>
          <w:spacing w:val="-3"/>
        </w:rPr>
        <w:t>公司对该项目进行了环境影响评价，2022</w:t>
      </w:r>
      <w:r>
        <w:rPr>
          <w:spacing w:val="-20"/>
        </w:rPr>
        <w:t xml:space="preserve"> </w:t>
      </w:r>
      <w:r>
        <w:rPr>
          <w:spacing w:val="-3"/>
        </w:rPr>
        <w:t>年</w:t>
      </w:r>
      <w:r>
        <w:rPr>
          <w:spacing w:val="-34"/>
        </w:rPr>
        <w:t xml:space="preserve"> </w:t>
      </w:r>
      <w:r>
        <w:rPr>
          <w:spacing w:val="-3"/>
        </w:rPr>
        <w:t>3</w:t>
      </w:r>
      <w:r>
        <w:rPr>
          <w:spacing w:val="-29"/>
        </w:rPr>
        <w:t xml:space="preserve"> </w:t>
      </w:r>
      <w:r>
        <w:rPr>
          <w:spacing w:val="-3"/>
        </w:rPr>
        <w:t>月</w:t>
      </w:r>
      <w:r>
        <w:rPr>
          <w:spacing w:val="-31"/>
        </w:rPr>
        <w:t xml:space="preserve"> </w:t>
      </w:r>
      <w:r>
        <w:rPr>
          <w:spacing w:val="-3"/>
        </w:rPr>
        <w:t>7 日巴彦淖尔市生态环境局以巴环审[</w:t>
      </w:r>
      <w:r>
        <w:fldChar w:fldCharType="begin"/>
      </w:r>
      <w:r>
        <w:instrText xml:space="preserve"> HYPERLINK \l "bookmark10" </w:instrText>
      </w:r>
      <w:r>
        <w:fldChar w:fldCharType="separate"/>
      </w:r>
      <w:r>
        <w:rPr>
          <w:spacing w:val="-3"/>
        </w:rPr>
        <w:t>2022</w:t>
      </w:r>
      <w:r>
        <w:rPr>
          <w:spacing w:val="-3"/>
        </w:rPr>
        <w:fldChar w:fldCharType="end"/>
      </w:r>
      <w:r>
        <w:rPr>
          <w:spacing w:val="-3"/>
        </w:rPr>
        <w:t>]9 号对《内蒙古众宁环保科技有限公司油气田废弃物集中处理厂建设项目》进行了批复，同意该项目建设。</w:t>
      </w:r>
    </w:p>
    <w:p w14:paraId="18AA09F3">
      <w:pPr>
        <w:pStyle w:val="2"/>
        <w:spacing w:before="19" w:line="233" w:lineRule="auto"/>
        <w:jc w:val="right"/>
      </w:pPr>
      <w:r>
        <w:rPr>
          <w:spacing w:val="-3"/>
        </w:rPr>
        <w:t>本项目于</w:t>
      </w:r>
      <w:r>
        <w:rPr>
          <w:spacing w:val="-55"/>
        </w:rPr>
        <w:t xml:space="preserve"> </w:t>
      </w:r>
      <w:r>
        <w:rPr>
          <w:spacing w:val="-3"/>
        </w:rPr>
        <w:t>2024</w:t>
      </w:r>
      <w:r>
        <w:rPr>
          <w:spacing w:val="-49"/>
        </w:rPr>
        <w:t xml:space="preserve"> </w:t>
      </w:r>
      <w:r>
        <w:rPr>
          <w:spacing w:val="-3"/>
        </w:rPr>
        <w:t>年</w:t>
      </w:r>
      <w:r>
        <w:rPr>
          <w:spacing w:val="-32"/>
        </w:rPr>
        <w:t xml:space="preserve"> </w:t>
      </w:r>
      <w:r>
        <w:rPr>
          <w:spacing w:val="-3"/>
        </w:rPr>
        <w:t>11</w:t>
      </w:r>
      <w:r>
        <w:rPr>
          <w:spacing w:val="-44"/>
        </w:rPr>
        <w:t xml:space="preserve"> </w:t>
      </w:r>
      <w:r>
        <w:rPr>
          <w:spacing w:val="-3"/>
        </w:rPr>
        <w:t>月委托内蒙古航峰检测技术有限公司进</w:t>
      </w:r>
      <w:r>
        <w:rPr>
          <w:spacing w:val="-4"/>
        </w:rPr>
        <w:t>行噪声的监测。</w:t>
      </w:r>
    </w:p>
    <w:p w14:paraId="67135F7C">
      <w:pPr>
        <w:pStyle w:val="2"/>
        <w:spacing w:before="166" w:line="215" w:lineRule="auto"/>
        <w:ind w:left="23"/>
      </w:pPr>
      <w:r>
        <w:rPr>
          <w:rFonts w:ascii="Times New Roman" w:hAnsi="Times New Roman" w:eastAsia="Times New Roman" w:cs="Times New Roman"/>
          <w:b/>
          <w:bCs/>
          <w:spacing w:val="-3"/>
        </w:rPr>
        <w:t>(</w:t>
      </w:r>
      <w:r>
        <w:rPr>
          <w:b/>
          <w:bCs/>
          <w:spacing w:val="-3"/>
        </w:rPr>
        <w:t>三</w:t>
      </w:r>
      <w:r>
        <w:rPr>
          <w:rFonts w:ascii="Times New Roman" w:hAnsi="Times New Roman" w:eastAsia="Times New Roman" w:cs="Times New Roman"/>
          <w:b/>
          <w:bCs/>
          <w:spacing w:val="-3"/>
        </w:rPr>
        <w:t>)</w:t>
      </w:r>
      <w:r>
        <w:rPr>
          <w:b/>
          <w:bCs/>
          <w:spacing w:val="-3"/>
        </w:rPr>
        <w:t>投资情况</w:t>
      </w:r>
    </w:p>
    <w:p w14:paraId="0DE2A8D2">
      <w:pPr>
        <w:pStyle w:val="2"/>
        <w:spacing w:before="188" w:line="233" w:lineRule="auto"/>
        <w:jc w:val="right"/>
      </w:pPr>
      <w:r>
        <w:t>本项目建设总投资</w:t>
      </w:r>
      <w:r>
        <w:rPr>
          <w:spacing w:val="-54"/>
        </w:rPr>
        <w:t xml:space="preserve"> </w:t>
      </w:r>
      <w:r>
        <w:t>2650</w:t>
      </w:r>
      <w:r>
        <w:rPr>
          <w:spacing w:val="-45"/>
        </w:rPr>
        <w:t xml:space="preserve"> </w:t>
      </w:r>
      <w:r>
        <w:t>万元，环保设施投资238.5</w:t>
      </w:r>
      <w:r>
        <w:rPr>
          <w:spacing w:val="-44"/>
        </w:rPr>
        <w:t xml:space="preserve"> </w:t>
      </w:r>
      <w:r>
        <w:rPr>
          <w:spacing w:val="-1"/>
        </w:rPr>
        <w:t>万元，占总投资的</w:t>
      </w:r>
      <w:r>
        <w:rPr>
          <w:spacing w:val="-50"/>
        </w:rPr>
        <w:t xml:space="preserve"> </w:t>
      </w:r>
      <w:r>
        <w:rPr>
          <w:spacing w:val="-1"/>
        </w:rPr>
        <w:t>9%。</w:t>
      </w:r>
    </w:p>
    <w:p w14:paraId="6151257E">
      <w:pPr>
        <w:pStyle w:val="2"/>
        <w:spacing w:before="165" w:line="220" w:lineRule="auto"/>
        <w:ind w:left="514"/>
      </w:pPr>
      <w:r>
        <w:rPr>
          <w:b/>
          <w:bCs/>
          <w:spacing w:val="-4"/>
        </w:rPr>
        <w:t>（四）验收范围</w:t>
      </w:r>
    </w:p>
    <w:p w14:paraId="5253FC6F">
      <w:pPr>
        <w:pStyle w:val="2"/>
        <w:spacing w:before="178" w:line="363" w:lineRule="auto"/>
        <w:ind w:left="26" w:right="291" w:firstLine="477"/>
      </w:pPr>
      <w:r>
        <w:rPr>
          <w:spacing w:val="12"/>
        </w:rPr>
        <w:t>本次验收范围为内蒙古众宁环保科技有限公司油气田废弃物集中处理</w:t>
      </w:r>
      <w:r>
        <w:rPr>
          <w:spacing w:val="3"/>
        </w:rPr>
        <w:t>厂建设项目的相关公辅设施。</w:t>
      </w:r>
    </w:p>
    <w:p w14:paraId="3D44CF87">
      <w:pPr>
        <w:spacing w:line="363" w:lineRule="auto"/>
        <w:sectPr>
          <w:footerReference r:id="rId157" w:type="default"/>
          <w:pgSz w:w="11909" w:h="16836"/>
          <w:pgMar w:top="400" w:right="1748" w:bottom="1271" w:left="1786" w:header="0" w:footer="1043" w:gutter="0"/>
          <w:cols w:space="720" w:num="1"/>
        </w:sectPr>
      </w:pPr>
    </w:p>
    <w:p w14:paraId="63F4659B">
      <w:pPr>
        <w:spacing w:line="247" w:lineRule="auto"/>
        <w:rPr>
          <w:rFonts w:ascii="Arial"/>
          <w:sz w:val="21"/>
        </w:rPr>
      </w:pPr>
    </w:p>
    <w:p w14:paraId="5F1048C7">
      <w:pPr>
        <w:spacing w:line="247" w:lineRule="auto"/>
        <w:rPr>
          <w:rFonts w:ascii="Arial"/>
          <w:sz w:val="21"/>
        </w:rPr>
      </w:pPr>
    </w:p>
    <w:p w14:paraId="459BB253">
      <w:pPr>
        <w:spacing w:line="248" w:lineRule="auto"/>
        <w:rPr>
          <w:rFonts w:ascii="Arial"/>
          <w:sz w:val="21"/>
        </w:rPr>
      </w:pPr>
    </w:p>
    <w:p w14:paraId="357F8150">
      <w:pPr>
        <w:spacing w:line="248" w:lineRule="auto"/>
        <w:rPr>
          <w:rFonts w:ascii="Arial"/>
          <w:sz w:val="21"/>
        </w:rPr>
      </w:pPr>
    </w:p>
    <w:p w14:paraId="6FF8E4F3">
      <w:pPr>
        <w:pStyle w:val="2"/>
        <w:spacing w:before="78" w:line="220" w:lineRule="auto"/>
        <w:ind w:left="617"/>
      </w:pPr>
      <w:r>
        <w:rPr>
          <w:b/>
          <w:bCs/>
          <w:spacing w:val="-4"/>
        </w:rPr>
        <w:t>二、工程变动情况</w:t>
      </w:r>
    </w:p>
    <w:p w14:paraId="08035469">
      <w:pPr>
        <w:pStyle w:val="2"/>
        <w:spacing w:before="225" w:line="222" w:lineRule="auto"/>
        <w:ind w:left="3336"/>
        <w:rPr>
          <w:sz w:val="21"/>
          <w:szCs w:val="21"/>
        </w:rPr>
      </w:pPr>
      <w:r>
        <w:rPr>
          <w:b/>
          <w:bCs/>
          <w:spacing w:val="-3"/>
          <w:sz w:val="21"/>
          <w:szCs w:val="21"/>
        </w:rPr>
        <w:t>项目变动情况一览表</w:t>
      </w:r>
    </w:p>
    <w:p w14:paraId="48E45CBF">
      <w:pPr>
        <w:spacing w:line="125" w:lineRule="exact"/>
      </w:pPr>
    </w:p>
    <w:tbl>
      <w:tblPr>
        <w:tblStyle w:val="5"/>
        <w:tblW w:w="8522" w:type="dxa"/>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37"/>
        <w:gridCol w:w="2056"/>
        <w:gridCol w:w="2754"/>
        <w:gridCol w:w="2483"/>
        <w:gridCol w:w="792"/>
      </w:tblGrid>
      <w:tr w14:paraId="435B3C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4" w:hRule="atLeast"/>
        </w:trPr>
        <w:tc>
          <w:tcPr>
            <w:tcW w:w="437" w:type="dxa"/>
            <w:textDirection w:val="tbRlV"/>
            <w:vAlign w:val="top"/>
          </w:tcPr>
          <w:p w14:paraId="05CE63F4">
            <w:pPr>
              <w:pStyle w:val="6"/>
              <w:spacing w:before="104" w:line="212" w:lineRule="auto"/>
              <w:ind w:left="166"/>
              <w:rPr>
                <w:sz w:val="21"/>
                <w:szCs w:val="21"/>
              </w:rPr>
            </w:pPr>
            <w:r>
              <w:rPr>
                <w:b/>
                <w:bCs/>
                <w:spacing w:val="29"/>
                <w:sz w:val="21"/>
                <w:szCs w:val="21"/>
              </w:rPr>
              <w:t>序号</w:t>
            </w:r>
          </w:p>
        </w:tc>
        <w:tc>
          <w:tcPr>
            <w:tcW w:w="2056" w:type="dxa"/>
            <w:vAlign w:val="top"/>
          </w:tcPr>
          <w:p w14:paraId="5ACD2CAB">
            <w:pPr>
              <w:pStyle w:val="6"/>
              <w:spacing w:before="301" w:line="222" w:lineRule="auto"/>
              <w:ind w:left="599"/>
              <w:rPr>
                <w:sz w:val="21"/>
                <w:szCs w:val="21"/>
              </w:rPr>
            </w:pPr>
            <w:r>
              <w:rPr>
                <w:b/>
                <w:bCs/>
                <w:spacing w:val="-3"/>
                <w:sz w:val="21"/>
                <w:szCs w:val="21"/>
              </w:rPr>
              <w:t>判定要求</w:t>
            </w:r>
          </w:p>
        </w:tc>
        <w:tc>
          <w:tcPr>
            <w:tcW w:w="2754" w:type="dxa"/>
            <w:vAlign w:val="top"/>
          </w:tcPr>
          <w:p w14:paraId="28DAA587">
            <w:pPr>
              <w:pStyle w:val="6"/>
              <w:spacing w:before="301" w:line="222" w:lineRule="auto"/>
              <w:ind w:left="952"/>
              <w:rPr>
                <w:sz w:val="21"/>
                <w:szCs w:val="21"/>
              </w:rPr>
            </w:pPr>
            <w:r>
              <w:rPr>
                <w:b/>
                <w:bCs/>
                <w:spacing w:val="-3"/>
                <w:sz w:val="21"/>
                <w:szCs w:val="21"/>
              </w:rPr>
              <w:t>环评阶段</w:t>
            </w:r>
          </w:p>
        </w:tc>
        <w:tc>
          <w:tcPr>
            <w:tcW w:w="2483" w:type="dxa"/>
            <w:vAlign w:val="top"/>
          </w:tcPr>
          <w:p w14:paraId="0E632E1D">
            <w:pPr>
              <w:pStyle w:val="6"/>
              <w:spacing w:before="301" w:line="222" w:lineRule="auto"/>
              <w:ind w:left="828"/>
              <w:rPr>
                <w:sz w:val="21"/>
                <w:szCs w:val="21"/>
              </w:rPr>
            </w:pPr>
            <w:r>
              <w:rPr>
                <w:b/>
                <w:bCs/>
                <w:spacing w:val="-4"/>
                <w:sz w:val="21"/>
                <w:szCs w:val="21"/>
              </w:rPr>
              <w:t>实际建设</w:t>
            </w:r>
          </w:p>
        </w:tc>
        <w:tc>
          <w:tcPr>
            <w:tcW w:w="792" w:type="dxa"/>
            <w:vAlign w:val="top"/>
          </w:tcPr>
          <w:p w14:paraId="29D11332">
            <w:pPr>
              <w:pStyle w:val="6"/>
              <w:spacing w:before="30" w:line="222" w:lineRule="auto"/>
              <w:ind w:left="192"/>
              <w:rPr>
                <w:sz w:val="21"/>
                <w:szCs w:val="21"/>
              </w:rPr>
            </w:pPr>
            <w:r>
              <w:rPr>
                <w:b/>
                <w:bCs/>
                <w:spacing w:val="-5"/>
                <w:sz w:val="21"/>
                <w:szCs w:val="21"/>
              </w:rPr>
              <w:t>是否</w:t>
            </w:r>
          </w:p>
          <w:p w14:paraId="41AA30CE">
            <w:pPr>
              <w:pStyle w:val="6"/>
              <w:spacing w:before="19" w:line="222" w:lineRule="auto"/>
              <w:ind w:left="189"/>
              <w:rPr>
                <w:sz w:val="21"/>
                <w:szCs w:val="21"/>
              </w:rPr>
            </w:pPr>
            <w:r>
              <w:rPr>
                <w:b/>
                <w:bCs/>
                <w:spacing w:val="-4"/>
                <w:sz w:val="21"/>
                <w:szCs w:val="21"/>
              </w:rPr>
              <w:t>重大</w:t>
            </w:r>
          </w:p>
          <w:p w14:paraId="133B007A">
            <w:pPr>
              <w:pStyle w:val="6"/>
              <w:spacing w:before="19" w:line="211" w:lineRule="auto"/>
              <w:ind w:left="188"/>
              <w:rPr>
                <w:sz w:val="21"/>
                <w:szCs w:val="21"/>
              </w:rPr>
            </w:pPr>
            <w:r>
              <w:rPr>
                <w:b/>
                <w:bCs/>
                <w:spacing w:val="-4"/>
                <w:sz w:val="21"/>
                <w:szCs w:val="21"/>
              </w:rPr>
              <w:t>变动</w:t>
            </w:r>
          </w:p>
        </w:tc>
      </w:tr>
      <w:tr w14:paraId="1F31B6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2" w:hRule="atLeast"/>
        </w:trPr>
        <w:tc>
          <w:tcPr>
            <w:tcW w:w="437" w:type="dxa"/>
            <w:vAlign w:val="top"/>
          </w:tcPr>
          <w:p w14:paraId="5581DE38">
            <w:pPr>
              <w:spacing w:line="264" w:lineRule="auto"/>
              <w:rPr>
                <w:rFonts w:ascii="Arial"/>
                <w:sz w:val="21"/>
              </w:rPr>
            </w:pPr>
          </w:p>
          <w:p w14:paraId="3A906CD7">
            <w:pPr>
              <w:spacing w:line="265" w:lineRule="auto"/>
              <w:rPr>
                <w:rFonts w:ascii="Arial"/>
                <w:sz w:val="21"/>
              </w:rPr>
            </w:pPr>
          </w:p>
          <w:p w14:paraId="5B0392CF">
            <w:pPr>
              <w:spacing w:before="61" w:line="237" w:lineRule="auto"/>
              <w:ind w:left="176"/>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056" w:type="dxa"/>
            <w:vAlign w:val="top"/>
          </w:tcPr>
          <w:p w14:paraId="31007995">
            <w:pPr>
              <w:pStyle w:val="6"/>
              <w:spacing w:before="158" w:line="221" w:lineRule="auto"/>
              <w:ind w:left="101"/>
              <w:rPr>
                <w:sz w:val="21"/>
                <w:szCs w:val="21"/>
              </w:rPr>
            </w:pPr>
            <w:r>
              <w:rPr>
                <w:spacing w:val="-6"/>
                <w:sz w:val="21"/>
                <w:szCs w:val="21"/>
              </w:rPr>
              <w:t>生产、处置或储存能</w:t>
            </w:r>
          </w:p>
          <w:p w14:paraId="5FF24C42">
            <w:pPr>
              <w:pStyle w:val="6"/>
              <w:spacing w:before="20" w:line="221" w:lineRule="auto"/>
              <w:ind w:left="102"/>
              <w:rPr>
                <w:sz w:val="21"/>
                <w:szCs w:val="21"/>
              </w:rPr>
            </w:pPr>
            <w:r>
              <w:rPr>
                <w:spacing w:val="-6"/>
                <w:sz w:val="21"/>
                <w:szCs w:val="21"/>
              </w:rPr>
              <w:t>力增大，导致废水第</w:t>
            </w:r>
          </w:p>
          <w:p w14:paraId="216BB457">
            <w:pPr>
              <w:pStyle w:val="6"/>
              <w:spacing w:before="20" w:line="221" w:lineRule="auto"/>
              <w:ind w:left="182"/>
              <w:rPr>
                <w:sz w:val="21"/>
                <w:szCs w:val="21"/>
              </w:rPr>
            </w:pPr>
            <w:r>
              <w:rPr>
                <w:spacing w:val="-1"/>
                <w:sz w:val="21"/>
                <w:szCs w:val="21"/>
              </w:rPr>
              <w:t>一类污染物排放量</w:t>
            </w:r>
          </w:p>
          <w:p w14:paraId="11EC8655">
            <w:pPr>
              <w:pStyle w:val="6"/>
              <w:spacing w:before="20" w:line="223" w:lineRule="auto"/>
              <w:ind w:left="600"/>
              <w:rPr>
                <w:sz w:val="21"/>
                <w:szCs w:val="21"/>
              </w:rPr>
            </w:pPr>
            <w:r>
              <w:rPr>
                <w:spacing w:val="-1"/>
                <w:sz w:val="21"/>
                <w:szCs w:val="21"/>
              </w:rPr>
              <w:t>增加的。</w:t>
            </w:r>
          </w:p>
        </w:tc>
        <w:tc>
          <w:tcPr>
            <w:tcW w:w="2754" w:type="dxa"/>
            <w:vAlign w:val="top"/>
          </w:tcPr>
          <w:p w14:paraId="0195D80E">
            <w:pPr>
              <w:pStyle w:val="6"/>
              <w:spacing w:before="157" w:line="235" w:lineRule="auto"/>
              <w:ind w:left="117"/>
              <w:rPr>
                <w:sz w:val="21"/>
                <w:szCs w:val="21"/>
              </w:rPr>
            </w:pPr>
            <w:r>
              <w:rPr>
                <w:spacing w:val="-1"/>
                <w:sz w:val="21"/>
                <w:szCs w:val="21"/>
              </w:rPr>
              <w:t>本项目压滤废水暂存于</w:t>
            </w:r>
            <w:r>
              <w:rPr>
                <w:spacing w:val="-39"/>
                <w:sz w:val="21"/>
                <w:szCs w:val="21"/>
              </w:rPr>
              <w:t xml:space="preserve"> </w:t>
            </w:r>
            <w:r>
              <w:rPr>
                <w:rFonts w:ascii="Times New Roman" w:hAnsi="Times New Roman" w:eastAsia="Times New Roman" w:cs="Times New Roman"/>
                <w:spacing w:val="-1"/>
                <w:sz w:val="21"/>
                <w:szCs w:val="21"/>
              </w:rPr>
              <w:t xml:space="preserve">2 </w:t>
            </w:r>
            <w:r>
              <w:rPr>
                <w:spacing w:val="-1"/>
                <w:sz w:val="21"/>
                <w:szCs w:val="21"/>
              </w:rPr>
              <w:t>个</w:t>
            </w:r>
          </w:p>
          <w:p w14:paraId="2915CE12">
            <w:pPr>
              <w:pStyle w:val="6"/>
              <w:spacing w:before="5" w:line="221" w:lineRule="auto"/>
              <w:ind w:left="114"/>
              <w:rPr>
                <w:sz w:val="21"/>
                <w:szCs w:val="21"/>
              </w:rPr>
            </w:pPr>
            <w:r>
              <w:rPr>
                <w:spacing w:val="-1"/>
                <w:sz w:val="21"/>
                <w:szCs w:val="21"/>
              </w:rPr>
              <w:t>钢制水箱，由罐车运输至巴</w:t>
            </w:r>
          </w:p>
          <w:p w14:paraId="131C6E68">
            <w:pPr>
              <w:pStyle w:val="6"/>
              <w:spacing w:before="19" w:line="221" w:lineRule="auto"/>
              <w:ind w:left="116"/>
              <w:rPr>
                <w:sz w:val="21"/>
                <w:szCs w:val="21"/>
              </w:rPr>
            </w:pPr>
            <w:r>
              <w:rPr>
                <w:spacing w:val="-1"/>
                <w:sz w:val="21"/>
                <w:szCs w:val="21"/>
              </w:rPr>
              <w:t>彦勘探开发分公司下属的吉</w:t>
            </w:r>
          </w:p>
          <w:p w14:paraId="111DFAC5">
            <w:pPr>
              <w:pStyle w:val="6"/>
              <w:spacing w:before="21" w:line="222" w:lineRule="auto"/>
              <w:ind w:left="324"/>
              <w:rPr>
                <w:sz w:val="21"/>
                <w:szCs w:val="21"/>
              </w:rPr>
            </w:pPr>
            <w:r>
              <w:rPr>
                <w:spacing w:val="-1"/>
                <w:sz w:val="21"/>
                <w:szCs w:val="21"/>
              </w:rPr>
              <w:t>兰泰联合站进行处理；</w:t>
            </w:r>
          </w:p>
        </w:tc>
        <w:tc>
          <w:tcPr>
            <w:tcW w:w="2483" w:type="dxa"/>
            <w:vAlign w:val="top"/>
          </w:tcPr>
          <w:p w14:paraId="36A75D14">
            <w:pPr>
              <w:pStyle w:val="6"/>
              <w:spacing w:before="21" w:line="221" w:lineRule="auto"/>
              <w:ind w:left="195"/>
              <w:rPr>
                <w:sz w:val="21"/>
                <w:szCs w:val="21"/>
              </w:rPr>
            </w:pPr>
            <w:r>
              <w:rPr>
                <w:spacing w:val="-1"/>
                <w:sz w:val="21"/>
                <w:szCs w:val="21"/>
              </w:rPr>
              <w:t>本项目压滤废水储水箱</w:t>
            </w:r>
          </w:p>
          <w:p w14:paraId="4506CA0E">
            <w:pPr>
              <w:pStyle w:val="6"/>
              <w:spacing w:before="21" w:line="235" w:lineRule="auto"/>
              <w:ind w:left="112"/>
              <w:rPr>
                <w:sz w:val="21"/>
                <w:szCs w:val="21"/>
              </w:rPr>
            </w:pPr>
            <w:r>
              <w:rPr>
                <w:spacing w:val="-3"/>
                <w:sz w:val="21"/>
                <w:szCs w:val="21"/>
              </w:rPr>
              <w:t>数量由</w:t>
            </w:r>
            <w:r>
              <w:rPr>
                <w:spacing w:val="-52"/>
                <w:sz w:val="21"/>
                <w:szCs w:val="21"/>
              </w:rPr>
              <w:t xml:space="preserve"> </w:t>
            </w:r>
            <w:r>
              <w:rPr>
                <w:rFonts w:ascii="Times New Roman" w:hAnsi="Times New Roman" w:eastAsia="Times New Roman" w:cs="Times New Roman"/>
                <w:spacing w:val="-3"/>
                <w:sz w:val="21"/>
                <w:szCs w:val="21"/>
              </w:rPr>
              <w:t xml:space="preserve">2 </w:t>
            </w:r>
            <w:r>
              <w:rPr>
                <w:spacing w:val="-3"/>
                <w:sz w:val="21"/>
                <w:szCs w:val="21"/>
              </w:rPr>
              <w:t>个增加至</w:t>
            </w:r>
            <w:r>
              <w:rPr>
                <w:spacing w:val="-42"/>
                <w:sz w:val="21"/>
                <w:szCs w:val="21"/>
              </w:rPr>
              <w:t xml:space="preserve"> </w:t>
            </w:r>
            <w:r>
              <w:rPr>
                <w:rFonts w:ascii="Times New Roman" w:hAnsi="Times New Roman" w:eastAsia="Times New Roman" w:cs="Times New Roman"/>
                <w:spacing w:val="-3"/>
                <w:sz w:val="21"/>
                <w:szCs w:val="21"/>
              </w:rPr>
              <w:t xml:space="preserve">5 </w:t>
            </w:r>
            <w:r>
              <w:rPr>
                <w:spacing w:val="-3"/>
                <w:sz w:val="21"/>
                <w:szCs w:val="21"/>
              </w:rPr>
              <w:t>个，</w:t>
            </w:r>
          </w:p>
          <w:p w14:paraId="50D08403">
            <w:pPr>
              <w:pStyle w:val="6"/>
              <w:spacing w:before="3" w:line="221" w:lineRule="auto"/>
              <w:ind w:left="220"/>
              <w:rPr>
                <w:sz w:val="21"/>
                <w:szCs w:val="21"/>
              </w:rPr>
            </w:pPr>
            <w:r>
              <w:rPr>
                <w:spacing w:val="-3"/>
                <w:sz w:val="21"/>
                <w:szCs w:val="21"/>
              </w:rPr>
              <w:t>由罐车运输至巴彦勘探</w:t>
            </w:r>
          </w:p>
          <w:p w14:paraId="37C4F0C8">
            <w:pPr>
              <w:pStyle w:val="6"/>
              <w:spacing w:before="21" w:line="222" w:lineRule="auto"/>
              <w:ind w:left="195"/>
              <w:rPr>
                <w:sz w:val="21"/>
                <w:szCs w:val="21"/>
              </w:rPr>
            </w:pPr>
            <w:r>
              <w:rPr>
                <w:spacing w:val="-1"/>
                <w:sz w:val="21"/>
                <w:szCs w:val="21"/>
              </w:rPr>
              <w:t>开发分公司下属的吉兰</w:t>
            </w:r>
          </w:p>
          <w:p w14:paraId="64BB9CC2">
            <w:pPr>
              <w:pStyle w:val="6"/>
              <w:spacing w:before="20" w:line="212" w:lineRule="auto"/>
              <w:ind w:left="298"/>
              <w:rPr>
                <w:sz w:val="21"/>
                <w:szCs w:val="21"/>
              </w:rPr>
            </w:pPr>
            <w:r>
              <w:rPr>
                <w:spacing w:val="-1"/>
                <w:sz w:val="21"/>
                <w:szCs w:val="21"/>
              </w:rPr>
              <w:t>泰联合站进行处理；</w:t>
            </w:r>
          </w:p>
        </w:tc>
        <w:tc>
          <w:tcPr>
            <w:tcW w:w="792" w:type="dxa"/>
            <w:vAlign w:val="top"/>
          </w:tcPr>
          <w:p w14:paraId="2D7016E5">
            <w:pPr>
              <w:spacing w:line="247" w:lineRule="auto"/>
              <w:rPr>
                <w:rFonts w:ascii="Arial"/>
                <w:sz w:val="21"/>
              </w:rPr>
            </w:pPr>
          </w:p>
          <w:p w14:paraId="4EA1C58B">
            <w:pPr>
              <w:spacing w:line="248" w:lineRule="auto"/>
              <w:rPr>
                <w:rFonts w:ascii="Arial"/>
                <w:sz w:val="21"/>
              </w:rPr>
            </w:pPr>
          </w:p>
          <w:p w14:paraId="0E4D7A56">
            <w:pPr>
              <w:pStyle w:val="6"/>
              <w:spacing w:before="68" w:line="222" w:lineRule="auto"/>
              <w:ind w:left="299"/>
              <w:rPr>
                <w:sz w:val="21"/>
                <w:szCs w:val="21"/>
              </w:rPr>
            </w:pPr>
            <w:r>
              <w:rPr>
                <w:sz w:val="21"/>
                <w:szCs w:val="21"/>
              </w:rPr>
              <w:t>否</w:t>
            </w:r>
          </w:p>
        </w:tc>
      </w:tr>
      <w:tr w14:paraId="720DBC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15" w:hRule="atLeast"/>
        </w:trPr>
        <w:tc>
          <w:tcPr>
            <w:tcW w:w="437" w:type="dxa"/>
            <w:vAlign w:val="top"/>
          </w:tcPr>
          <w:p w14:paraId="380DA319">
            <w:pPr>
              <w:spacing w:line="241" w:lineRule="auto"/>
              <w:rPr>
                <w:rFonts w:ascii="Arial"/>
                <w:sz w:val="21"/>
              </w:rPr>
            </w:pPr>
          </w:p>
          <w:p w14:paraId="3F48A3C9">
            <w:pPr>
              <w:spacing w:line="241" w:lineRule="auto"/>
              <w:rPr>
                <w:rFonts w:ascii="Arial"/>
                <w:sz w:val="21"/>
              </w:rPr>
            </w:pPr>
          </w:p>
          <w:p w14:paraId="151540DA">
            <w:pPr>
              <w:spacing w:line="241" w:lineRule="auto"/>
              <w:rPr>
                <w:rFonts w:ascii="Arial"/>
                <w:sz w:val="21"/>
              </w:rPr>
            </w:pPr>
          </w:p>
          <w:p w14:paraId="4AC8BFAD">
            <w:pPr>
              <w:spacing w:line="242" w:lineRule="auto"/>
              <w:rPr>
                <w:rFonts w:ascii="Arial"/>
                <w:sz w:val="21"/>
              </w:rPr>
            </w:pPr>
          </w:p>
          <w:p w14:paraId="34FA5137">
            <w:pPr>
              <w:spacing w:line="242" w:lineRule="auto"/>
              <w:rPr>
                <w:rFonts w:ascii="Arial"/>
                <w:sz w:val="21"/>
              </w:rPr>
            </w:pPr>
          </w:p>
          <w:p w14:paraId="6DC13389">
            <w:pPr>
              <w:spacing w:before="61" w:line="237" w:lineRule="auto"/>
              <w:ind w:left="156"/>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056" w:type="dxa"/>
            <w:vAlign w:val="top"/>
          </w:tcPr>
          <w:p w14:paraId="2DB85E17">
            <w:pPr>
              <w:pStyle w:val="6"/>
              <w:spacing w:before="24" w:line="239" w:lineRule="auto"/>
              <w:ind w:left="180" w:right="180" w:firstLine="17"/>
              <w:jc w:val="both"/>
              <w:rPr>
                <w:sz w:val="21"/>
                <w:szCs w:val="21"/>
              </w:rPr>
            </w:pPr>
            <w:r>
              <w:rPr>
                <w:spacing w:val="-3"/>
                <w:sz w:val="21"/>
                <w:szCs w:val="21"/>
              </w:rPr>
              <w:t>固体废物利用处置</w:t>
            </w:r>
            <w:r>
              <w:rPr>
                <w:spacing w:val="-1"/>
                <w:sz w:val="21"/>
                <w:szCs w:val="21"/>
              </w:rPr>
              <w:t>方式由委托外单位利用处置改为自行</w:t>
            </w:r>
          </w:p>
          <w:p w14:paraId="1F1C20B8">
            <w:pPr>
              <w:pStyle w:val="6"/>
              <w:spacing w:before="1" w:line="221" w:lineRule="auto"/>
              <w:ind w:left="100"/>
              <w:rPr>
                <w:sz w:val="21"/>
                <w:szCs w:val="21"/>
              </w:rPr>
            </w:pPr>
            <w:r>
              <w:rPr>
                <w:spacing w:val="-6"/>
                <w:sz w:val="21"/>
                <w:szCs w:val="21"/>
              </w:rPr>
              <w:t>利用处置的（自行利</w:t>
            </w:r>
          </w:p>
          <w:p w14:paraId="67917DA4">
            <w:pPr>
              <w:pStyle w:val="6"/>
              <w:spacing w:before="19" w:line="222" w:lineRule="auto"/>
              <w:ind w:left="181"/>
              <w:rPr>
                <w:sz w:val="21"/>
                <w:szCs w:val="21"/>
              </w:rPr>
            </w:pPr>
            <w:r>
              <w:rPr>
                <w:spacing w:val="-1"/>
                <w:sz w:val="21"/>
                <w:szCs w:val="21"/>
              </w:rPr>
              <w:t>用处置设施单独开</w:t>
            </w:r>
          </w:p>
          <w:p w14:paraId="06820D54">
            <w:pPr>
              <w:pStyle w:val="6"/>
              <w:spacing w:before="19" w:line="220" w:lineRule="auto"/>
              <w:ind w:left="181"/>
              <w:rPr>
                <w:sz w:val="21"/>
                <w:szCs w:val="21"/>
              </w:rPr>
            </w:pPr>
            <w:r>
              <w:rPr>
                <w:spacing w:val="-1"/>
                <w:sz w:val="21"/>
                <w:szCs w:val="21"/>
              </w:rPr>
              <w:t>展环境影响评价的</w:t>
            </w:r>
          </w:p>
          <w:p w14:paraId="22D0B52C">
            <w:pPr>
              <w:pStyle w:val="6"/>
              <w:spacing w:before="22" w:line="221" w:lineRule="auto"/>
              <w:ind w:left="111"/>
              <w:rPr>
                <w:sz w:val="21"/>
                <w:szCs w:val="21"/>
              </w:rPr>
            </w:pPr>
            <w:r>
              <w:rPr>
                <w:spacing w:val="-6"/>
                <w:sz w:val="21"/>
                <w:szCs w:val="21"/>
              </w:rPr>
              <w:t>除外</w:t>
            </w:r>
            <w:r>
              <w:rPr>
                <w:spacing w:val="-11"/>
                <w:sz w:val="21"/>
                <w:szCs w:val="21"/>
              </w:rPr>
              <w:t>）；</w:t>
            </w:r>
            <w:r>
              <w:rPr>
                <w:spacing w:val="-6"/>
                <w:sz w:val="21"/>
                <w:szCs w:val="21"/>
              </w:rPr>
              <w:t>固体废物自</w:t>
            </w:r>
          </w:p>
          <w:p w14:paraId="6DA963E0">
            <w:pPr>
              <w:pStyle w:val="6"/>
              <w:spacing w:before="20" w:line="222" w:lineRule="auto"/>
              <w:ind w:left="102"/>
              <w:rPr>
                <w:sz w:val="21"/>
                <w:szCs w:val="21"/>
              </w:rPr>
            </w:pPr>
            <w:r>
              <w:rPr>
                <w:spacing w:val="-5"/>
                <w:sz w:val="21"/>
                <w:szCs w:val="21"/>
              </w:rPr>
              <w:t>行处置方式变化，导</w:t>
            </w:r>
          </w:p>
          <w:p w14:paraId="777EB084">
            <w:pPr>
              <w:pStyle w:val="6"/>
              <w:spacing w:before="20" w:line="222" w:lineRule="auto"/>
              <w:ind w:left="179"/>
              <w:rPr>
                <w:sz w:val="21"/>
                <w:szCs w:val="21"/>
              </w:rPr>
            </w:pPr>
            <w:r>
              <w:rPr>
                <w:spacing w:val="-1"/>
                <w:sz w:val="21"/>
                <w:szCs w:val="21"/>
              </w:rPr>
              <w:t>致不利环境影响加</w:t>
            </w:r>
          </w:p>
          <w:p w14:paraId="45298587">
            <w:pPr>
              <w:pStyle w:val="6"/>
              <w:spacing w:before="19" w:line="204" w:lineRule="auto"/>
              <w:ind w:left="704"/>
              <w:rPr>
                <w:sz w:val="21"/>
                <w:szCs w:val="21"/>
              </w:rPr>
            </w:pPr>
            <w:r>
              <w:rPr>
                <w:spacing w:val="-8"/>
                <w:sz w:val="21"/>
                <w:szCs w:val="21"/>
              </w:rPr>
              <w:t>重的。</w:t>
            </w:r>
          </w:p>
        </w:tc>
        <w:tc>
          <w:tcPr>
            <w:tcW w:w="2754" w:type="dxa"/>
            <w:vAlign w:val="top"/>
          </w:tcPr>
          <w:p w14:paraId="4B873352">
            <w:pPr>
              <w:spacing w:line="362" w:lineRule="auto"/>
              <w:rPr>
                <w:rFonts w:ascii="Arial"/>
                <w:sz w:val="21"/>
              </w:rPr>
            </w:pPr>
          </w:p>
          <w:p w14:paraId="61F49CF4">
            <w:pPr>
              <w:pStyle w:val="6"/>
              <w:spacing w:before="68" w:line="221" w:lineRule="auto"/>
              <w:ind w:left="116"/>
              <w:rPr>
                <w:sz w:val="21"/>
                <w:szCs w:val="21"/>
              </w:rPr>
            </w:pPr>
            <w:r>
              <w:rPr>
                <w:spacing w:val="-1"/>
                <w:sz w:val="21"/>
                <w:szCs w:val="21"/>
              </w:rPr>
              <w:t>格栅渣与压滤泥饼暂存于泥</w:t>
            </w:r>
          </w:p>
          <w:p w14:paraId="3308B333">
            <w:pPr>
              <w:pStyle w:val="6"/>
              <w:spacing w:before="20" w:line="221" w:lineRule="auto"/>
              <w:ind w:left="115"/>
              <w:rPr>
                <w:sz w:val="21"/>
                <w:szCs w:val="21"/>
              </w:rPr>
            </w:pPr>
            <w:r>
              <w:rPr>
                <w:spacing w:val="-1"/>
                <w:sz w:val="21"/>
                <w:szCs w:val="21"/>
              </w:rPr>
              <w:t>饼堆放间贮存，由顶部带有</w:t>
            </w:r>
          </w:p>
          <w:p w14:paraId="78DB5E2F">
            <w:pPr>
              <w:pStyle w:val="6"/>
              <w:spacing w:before="20" w:line="221" w:lineRule="auto"/>
              <w:ind w:left="118"/>
              <w:rPr>
                <w:sz w:val="21"/>
                <w:szCs w:val="21"/>
              </w:rPr>
            </w:pPr>
            <w:r>
              <w:rPr>
                <w:spacing w:val="-1"/>
                <w:sz w:val="21"/>
                <w:szCs w:val="21"/>
              </w:rPr>
              <w:t>苫布的重型半挂车运输至蒙</w:t>
            </w:r>
          </w:p>
          <w:p w14:paraId="39D1508F">
            <w:pPr>
              <w:pStyle w:val="6"/>
              <w:spacing w:before="21" w:line="222" w:lineRule="auto"/>
              <w:ind w:left="121"/>
              <w:rPr>
                <w:sz w:val="21"/>
                <w:szCs w:val="21"/>
              </w:rPr>
            </w:pPr>
            <w:r>
              <w:rPr>
                <w:spacing w:val="-1"/>
                <w:sz w:val="21"/>
                <w:szCs w:val="21"/>
              </w:rPr>
              <w:t>西园区固废填埋场填埋；沉</w:t>
            </w:r>
          </w:p>
          <w:p w14:paraId="7F08B8A7">
            <w:pPr>
              <w:pStyle w:val="6"/>
              <w:spacing w:before="19" w:line="221" w:lineRule="auto"/>
              <w:ind w:left="118"/>
              <w:rPr>
                <w:sz w:val="21"/>
                <w:szCs w:val="21"/>
              </w:rPr>
            </w:pPr>
            <w:r>
              <w:rPr>
                <w:spacing w:val="-1"/>
                <w:sz w:val="21"/>
                <w:szCs w:val="21"/>
              </w:rPr>
              <w:t>淀渣每年检修时集中清运，</w:t>
            </w:r>
          </w:p>
          <w:p w14:paraId="34C2AF50">
            <w:pPr>
              <w:pStyle w:val="6"/>
              <w:spacing w:before="20" w:line="221" w:lineRule="auto"/>
              <w:ind w:left="142"/>
              <w:rPr>
                <w:sz w:val="21"/>
                <w:szCs w:val="21"/>
              </w:rPr>
            </w:pPr>
            <w:r>
              <w:rPr>
                <w:spacing w:val="-3"/>
                <w:sz w:val="21"/>
                <w:szCs w:val="21"/>
              </w:rPr>
              <w:t>由罐车拉运至蒙西园区固废</w:t>
            </w:r>
          </w:p>
          <w:p w14:paraId="7ED870C0">
            <w:pPr>
              <w:pStyle w:val="6"/>
              <w:spacing w:before="21" w:line="222" w:lineRule="auto"/>
              <w:ind w:left="746"/>
              <w:rPr>
                <w:sz w:val="21"/>
                <w:szCs w:val="21"/>
              </w:rPr>
            </w:pPr>
            <w:r>
              <w:rPr>
                <w:spacing w:val="-1"/>
                <w:sz w:val="21"/>
                <w:szCs w:val="21"/>
              </w:rPr>
              <w:t>填埋场填埋。</w:t>
            </w:r>
          </w:p>
        </w:tc>
        <w:tc>
          <w:tcPr>
            <w:tcW w:w="2483" w:type="dxa"/>
            <w:vAlign w:val="top"/>
          </w:tcPr>
          <w:p w14:paraId="73AB119B">
            <w:pPr>
              <w:pStyle w:val="6"/>
              <w:spacing w:before="24" w:line="221" w:lineRule="auto"/>
              <w:ind w:left="110"/>
              <w:rPr>
                <w:sz w:val="21"/>
                <w:szCs w:val="21"/>
              </w:rPr>
            </w:pPr>
            <w:r>
              <w:rPr>
                <w:spacing w:val="-4"/>
                <w:sz w:val="21"/>
                <w:szCs w:val="21"/>
              </w:rPr>
              <w:t>格栅渣、压滤泥饼及沉淀</w:t>
            </w:r>
          </w:p>
          <w:p w14:paraId="301021AC">
            <w:pPr>
              <w:pStyle w:val="6"/>
              <w:spacing w:before="20" w:line="221" w:lineRule="auto"/>
              <w:ind w:left="194"/>
              <w:rPr>
                <w:sz w:val="21"/>
                <w:szCs w:val="21"/>
              </w:rPr>
            </w:pPr>
            <w:r>
              <w:rPr>
                <w:spacing w:val="-1"/>
                <w:sz w:val="21"/>
                <w:szCs w:val="21"/>
              </w:rPr>
              <w:t>渣暂存于泥饼堆放间贮</w:t>
            </w:r>
          </w:p>
          <w:p w14:paraId="23217D29">
            <w:pPr>
              <w:pStyle w:val="6"/>
              <w:spacing w:before="19" w:line="221" w:lineRule="auto"/>
              <w:ind w:left="109"/>
              <w:rPr>
                <w:sz w:val="21"/>
                <w:szCs w:val="21"/>
              </w:rPr>
            </w:pPr>
            <w:r>
              <w:rPr>
                <w:spacing w:val="-4"/>
                <w:sz w:val="21"/>
                <w:szCs w:val="21"/>
              </w:rPr>
              <w:t>存，由顶部带有苫布的重</w:t>
            </w:r>
          </w:p>
          <w:p w14:paraId="21F8FEA8">
            <w:pPr>
              <w:pStyle w:val="6"/>
              <w:spacing w:before="21" w:line="221" w:lineRule="auto"/>
              <w:ind w:left="201"/>
              <w:rPr>
                <w:sz w:val="21"/>
                <w:szCs w:val="21"/>
              </w:rPr>
            </w:pPr>
            <w:r>
              <w:rPr>
                <w:spacing w:val="-1"/>
                <w:sz w:val="21"/>
                <w:szCs w:val="21"/>
              </w:rPr>
              <w:t>型半挂车运输至乌海市</w:t>
            </w:r>
          </w:p>
          <w:p w14:paraId="6B723842">
            <w:pPr>
              <w:pStyle w:val="6"/>
              <w:spacing w:before="20" w:line="221" w:lineRule="auto"/>
              <w:ind w:left="194"/>
              <w:rPr>
                <w:sz w:val="21"/>
                <w:szCs w:val="21"/>
              </w:rPr>
            </w:pPr>
            <w:r>
              <w:rPr>
                <w:spacing w:val="-1"/>
                <w:sz w:val="21"/>
                <w:szCs w:val="21"/>
              </w:rPr>
              <w:t>科兆恒升环保建材有限</w:t>
            </w:r>
          </w:p>
          <w:p w14:paraId="5AE02B8F">
            <w:pPr>
              <w:pStyle w:val="6"/>
              <w:spacing w:before="22" w:line="221" w:lineRule="auto"/>
              <w:ind w:left="202"/>
              <w:rPr>
                <w:sz w:val="21"/>
                <w:szCs w:val="21"/>
              </w:rPr>
            </w:pPr>
            <w:r>
              <w:rPr>
                <w:spacing w:val="-2"/>
                <w:sz w:val="21"/>
                <w:szCs w:val="21"/>
              </w:rPr>
              <w:t>责任公司一分公司填埋</w:t>
            </w:r>
          </w:p>
          <w:p w14:paraId="735EB3FC">
            <w:pPr>
              <w:pStyle w:val="6"/>
              <w:spacing w:before="20" w:line="221" w:lineRule="auto"/>
              <w:ind w:left="109"/>
              <w:rPr>
                <w:sz w:val="21"/>
                <w:szCs w:val="21"/>
              </w:rPr>
            </w:pPr>
            <w:r>
              <w:rPr>
                <w:spacing w:val="-4"/>
                <w:sz w:val="21"/>
                <w:szCs w:val="21"/>
              </w:rPr>
              <w:t>场填埋；并与乌海市科兆</w:t>
            </w:r>
          </w:p>
          <w:p w14:paraId="6A885609">
            <w:pPr>
              <w:pStyle w:val="6"/>
              <w:spacing w:before="20" w:line="221" w:lineRule="auto"/>
              <w:ind w:left="192"/>
              <w:rPr>
                <w:sz w:val="21"/>
                <w:szCs w:val="21"/>
              </w:rPr>
            </w:pPr>
            <w:r>
              <w:rPr>
                <w:sz w:val="21"/>
                <w:szCs w:val="21"/>
              </w:rPr>
              <w:t>恒升环保建材有限责任</w:t>
            </w:r>
          </w:p>
          <w:p w14:paraId="46C6FDB1">
            <w:pPr>
              <w:pStyle w:val="6"/>
              <w:spacing w:before="21" w:line="222" w:lineRule="auto"/>
              <w:ind w:left="201"/>
              <w:rPr>
                <w:sz w:val="21"/>
                <w:szCs w:val="21"/>
              </w:rPr>
            </w:pPr>
            <w:r>
              <w:rPr>
                <w:spacing w:val="-1"/>
                <w:sz w:val="21"/>
                <w:szCs w:val="21"/>
              </w:rPr>
              <w:t>公司一分公司签订了处</w:t>
            </w:r>
          </w:p>
          <w:p w14:paraId="335CB716">
            <w:pPr>
              <w:pStyle w:val="6"/>
              <w:spacing w:before="20" w:line="204" w:lineRule="auto"/>
              <w:ind w:left="829"/>
              <w:rPr>
                <w:sz w:val="21"/>
                <w:szCs w:val="21"/>
              </w:rPr>
            </w:pPr>
            <w:r>
              <w:rPr>
                <w:spacing w:val="-2"/>
                <w:sz w:val="21"/>
                <w:szCs w:val="21"/>
              </w:rPr>
              <w:t>理协议。</w:t>
            </w:r>
          </w:p>
        </w:tc>
        <w:tc>
          <w:tcPr>
            <w:tcW w:w="792" w:type="dxa"/>
            <w:vAlign w:val="top"/>
          </w:tcPr>
          <w:p w14:paraId="5FA95DD7">
            <w:pPr>
              <w:spacing w:line="293" w:lineRule="auto"/>
              <w:rPr>
                <w:rFonts w:ascii="Arial"/>
                <w:sz w:val="21"/>
              </w:rPr>
            </w:pPr>
          </w:p>
          <w:p w14:paraId="6F5E5D91">
            <w:pPr>
              <w:spacing w:line="293" w:lineRule="auto"/>
              <w:rPr>
                <w:rFonts w:ascii="Arial"/>
                <w:sz w:val="21"/>
              </w:rPr>
            </w:pPr>
          </w:p>
          <w:p w14:paraId="5A5C9A0D">
            <w:pPr>
              <w:spacing w:line="293" w:lineRule="auto"/>
              <w:rPr>
                <w:rFonts w:ascii="Arial"/>
                <w:sz w:val="21"/>
              </w:rPr>
            </w:pPr>
          </w:p>
          <w:p w14:paraId="47C4D3B0">
            <w:pPr>
              <w:spacing w:line="294" w:lineRule="auto"/>
              <w:rPr>
                <w:rFonts w:ascii="Arial"/>
                <w:sz w:val="21"/>
              </w:rPr>
            </w:pPr>
          </w:p>
          <w:p w14:paraId="19EF02A2">
            <w:pPr>
              <w:pStyle w:val="6"/>
              <w:spacing w:before="68" w:line="222" w:lineRule="auto"/>
              <w:ind w:left="299"/>
              <w:rPr>
                <w:sz w:val="21"/>
                <w:szCs w:val="21"/>
              </w:rPr>
            </w:pPr>
            <w:r>
              <w:rPr>
                <w:sz w:val="21"/>
                <w:szCs w:val="21"/>
              </w:rPr>
              <w:t>否</w:t>
            </w:r>
          </w:p>
        </w:tc>
      </w:tr>
      <w:tr w14:paraId="538B9A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91" w:hRule="atLeast"/>
        </w:trPr>
        <w:tc>
          <w:tcPr>
            <w:tcW w:w="437" w:type="dxa"/>
            <w:vAlign w:val="top"/>
          </w:tcPr>
          <w:p w14:paraId="400997B4">
            <w:pPr>
              <w:spacing w:line="270" w:lineRule="auto"/>
              <w:rPr>
                <w:rFonts w:ascii="Arial"/>
                <w:sz w:val="21"/>
              </w:rPr>
            </w:pPr>
          </w:p>
          <w:p w14:paraId="48258085">
            <w:pPr>
              <w:spacing w:line="270" w:lineRule="auto"/>
              <w:rPr>
                <w:rFonts w:ascii="Arial"/>
                <w:sz w:val="21"/>
              </w:rPr>
            </w:pPr>
          </w:p>
          <w:p w14:paraId="01737061">
            <w:pPr>
              <w:spacing w:line="271" w:lineRule="auto"/>
              <w:rPr>
                <w:rFonts w:ascii="Arial"/>
                <w:sz w:val="21"/>
              </w:rPr>
            </w:pPr>
          </w:p>
          <w:p w14:paraId="4600AB04">
            <w:pPr>
              <w:spacing w:line="271" w:lineRule="auto"/>
              <w:rPr>
                <w:rFonts w:ascii="Arial"/>
                <w:sz w:val="21"/>
              </w:rPr>
            </w:pPr>
          </w:p>
          <w:p w14:paraId="7B365D11">
            <w:pPr>
              <w:spacing w:line="271" w:lineRule="auto"/>
              <w:rPr>
                <w:rFonts w:ascii="Arial"/>
                <w:sz w:val="21"/>
              </w:rPr>
            </w:pPr>
          </w:p>
          <w:p w14:paraId="078AED47">
            <w:pPr>
              <w:spacing w:before="60" w:line="234" w:lineRule="auto"/>
              <w:ind w:left="160"/>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056" w:type="dxa"/>
            <w:vAlign w:val="top"/>
          </w:tcPr>
          <w:p w14:paraId="24B87D81">
            <w:pPr>
              <w:spacing w:line="304" w:lineRule="auto"/>
              <w:rPr>
                <w:rFonts w:ascii="Arial"/>
                <w:sz w:val="21"/>
              </w:rPr>
            </w:pPr>
          </w:p>
          <w:p w14:paraId="54EB0AE5">
            <w:pPr>
              <w:spacing w:line="304" w:lineRule="auto"/>
              <w:rPr>
                <w:rFonts w:ascii="Arial"/>
                <w:sz w:val="21"/>
              </w:rPr>
            </w:pPr>
          </w:p>
          <w:p w14:paraId="65F823AE">
            <w:pPr>
              <w:spacing w:line="304" w:lineRule="auto"/>
              <w:rPr>
                <w:rFonts w:ascii="Arial"/>
                <w:sz w:val="21"/>
              </w:rPr>
            </w:pPr>
          </w:p>
          <w:p w14:paraId="2C095912">
            <w:pPr>
              <w:pStyle w:val="6"/>
              <w:spacing w:before="69"/>
              <w:ind w:left="101" w:right="96" w:firstLine="77"/>
              <w:jc w:val="both"/>
              <w:rPr>
                <w:sz w:val="21"/>
                <w:szCs w:val="21"/>
              </w:rPr>
            </w:pPr>
            <w:r>
              <w:rPr>
                <w:spacing w:val="-1"/>
                <w:sz w:val="21"/>
                <w:szCs w:val="21"/>
              </w:rPr>
              <w:t>事故废水暂存能力</w:t>
            </w:r>
            <w:r>
              <w:rPr>
                <w:spacing w:val="-6"/>
                <w:sz w:val="21"/>
                <w:szCs w:val="21"/>
              </w:rPr>
              <w:t>或拦截设施变化，导</w:t>
            </w:r>
            <w:r>
              <w:rPr>
                <w:spacing w:val="9"/>
                <w:sz w:val="21"/>
                <w:szCs w:val="21"/>
              </w:rPr>
              <w:t>致环境风险防范能力弱化或降低的。</w:t>
            </w:r>
          </w:p>
        </w:tc>
        <w:tc>
          <w:tcPr>
            <w:tcW w:w="2754" w:type="dxa"/>
            <w:vAlign w:val="top"/>
          </w:tcPr>
          <w:p w14:paraId="6D4F1846">
            <w:pPr>
              <w:spacing w:line="263" w:lineRule="auto"/>
              <w:rPr>
                <w:rFonts w:ascii="Arial"/>
                <w:sz w:val="21"/>
              </w:rPr>
            </w:pPr>
          </w:p>
          <w:p w14:paraId="0ED79139">
            <w:pPr>
              <w:spacing w:line="263" w:lineRule="auto"/>
              <w:rPr>
                <w:rFonts w:ascii="Arial"/>
                <w:sz w:val="21"/>
              </w:rPr>
            </w:pPr>
          </w:p>
          <w:p w14:paraId="2D9490FD">
            <w:pPr>
              <w:spacing w:line="264" w:lineRule="auto"/>
              <w:rPr>
                <w:rFonts w:ascii="Arial"/>
                <w:sz w:val="21"/>
              </w:rPr>
            </w:pPr>
          </w:p>
          <w:p w14:paraId="35AEABD3">
            <w:pPr>
              <w:spacing w:line="264" w:lineRule="auto"/>
              <w:rPr>
                <w:rFonts w:ascii="Arial"/>
                <w:sz w:val="21"/>
              </w:rPr>
            </w:pPr>
          </w:p>
          <w:p w14:paraId="089975A8">
            <w:pPr>
              <w:spacing w:line="264" w:lineRule="auto"/>
              <w:rPr>
                <w:rFonts w:ascii="Arial"/>
                <w:sz w:val="21"/>
              </w:rPr>
            </w:pPr>
          </w:p>
          <w:p w14:paraId="2E1D42A5">
            <w:pPr>
              <w:pStyle w:val="6"/>
              <w:spacing w:before="68" w:line="235" w:lineRule="auto"/>
              <w:ind w:left="368"/>
              <w:rPr>
                <w:sz w:val="21"/>
                <w:szCs w:val="21"/>
              </w:rPr>
            </w:pPr>
            <w:r>
              <w:rPr>
                <w:rFonts w:ascii="Times New Roman" w:hAnsi="Times New Roman" w:eastAsia="Times New Roman" w:cs="Times New Roman"/>
                <w:spacing w:val="-4"/>
                <w:sz w:val="21"/>
                <w:szCs w:val="21"/>
              </w:rPr>
              <w:t>360m³</w:t>
            </w:r>
            <w:r>
              <w:rPr>
                <w:spacing w:val="-4"/>
                <w:sz w:val="21"/>
                <w:szCs w:val="21"/>
              </w:rPr>
              <w:t>事故水池</w:t>
            </w:r>
            <w:r>
              <w:rPr>
                <w:spacing w:val="-18"/>
                <w:sz w:val="21"/>
                <w:szCs w:val="21"/>
              </w:rPr>
              <w:t xml:space="preserve"> </w:t>
            </w:r>
            <w:r>
              <w:rPr>
                <w:rFonts w:ascii="Times New Roman" w:hAnsi="Times New Roman" w:eastAsia="Times New Roman" w:cs="Times New Roman"/>
                <w:spacing w:val="-4"/>
                <w:sz w:val="21"/>
                <w:szCs w:val="21"/>
              </w:rPr>
              <w:t xml:space="preserve">1 </w:t>
            </w:r>
            <w:r>
              <w:rPr>
                <w:spacing w:val="-4"/>
                <w:sz w:val="21"/>
                <w:szCs w:val="21"/>
              </w:rPr>
              <w:t>座。</w:t>
            </w:r>
          </w:p>
        </w:tc>
        <w:tc>
          <w:tcPr>
            <w:tcW w:w="2483" w:type="dxa"/>
            <w:vAlign w:val="top"/>
          </w:tcPr>
          <w:p w14:paraId="40567315">
            <w:pPr>
              <w:pStyle w:val="6"/>
              <w:spacing w:before="29" w:line="235" w:lineRule="auto"/>
              <w:ind w:left="159"/>
              <w:rPr>
                <w:sz w:val="21"/>
                <w:szCs w:val="21"/>
              </w:rPr>
            </w:pPr>
            <w:r>
              <w:rPr>
                <w:rFonts w:ascii="Times New Roman" w:hAnsi="Times New Roman" w:eastAsia="Times New Roman" w:cs="Times New Roman"/>
                <w:spacing w:val="-5"/>
                <w:sz w:val="21"/>
                <w:szCs w:val="21"/>
              </w:rPr>
              <w:t>1</w:t>
            </w:r>
            <w:r>
              <w:rPr>
                <w:rFonts w:ascii="Times New Roman" w:hAnsi="Times New Roman" w:eastAsia="Times New Roman" w:cs="Times New Roman"/>
                <w:spacing w:val="-18"/>
                <w:sz w:val="21"/>
                <w:szCs w:val="21"/>
              </w:rPr>
              <w:t xml:space="preserve"> </w:t>
            </w:r>
            <w:r>
              <w:rPr>
                <w:spacing w:val="-5"/>
                <w:sz w:val="21"/>
                <w:szCs w:val="21"/>
              </w:rPr>
              <w:t>、本项目在泥浆应急事</w:t>
            </w:r>
          </w:p>
          <w:p w14:paraId="033035C7">
            <w:pPr>
              <w:pStyle w:val="6"/>
              <w:spacing w:before="5" w:line="235" w:lineRule="auto"/>
              <w:ind w:left="198"/>
              <w:rPr>
                <w:sz w:val="21"/>
                <w:szCs w:val="21"/>
              </w:rPr>
            </w:pPr>
            <w:r>
              <w:rPr>
                <w:spacing w:val="-2"/>
                <w:sz w:val="21"/>
                <w:szCs w:val="21"/>
              </w:rPr>
              <w:t>故池北侧设置</w:t>
            </w:r>
            <w:r>
              <w:rPr>
                <w:spacing w:val="-39"/>
                <w:sz w:val="21"/>
                <w:szCs w:val="21"/>
              </w:rPr>
              <w:t xml:space="preserve"> </w:t>
            </w:r>
            <w:r>
              <w:rPr>
                <w:rFonts w:ascii="Times New Roman" w:hAnsi="Times New Roman" w:eastAsia="Times New Roman" w:cs="Times New Roman"/>
                <w:spacing w:val="-2"/>
                <w:sz w:val="21"/>
                <w:szCs w:val="21"/>
              </w:rPr>
              <w:t>300m</w:t>
            </w:r>
            <w:r>
              <w:rPr>
                <w:spacing w:val="-2"/>
                <w:sz w:val="21"/>
                <w:szCs w:val="21"/>
              </w:rPr>
              <w:t>³事</w:t>
            </w:r>
          </w:p>
          <w:p w14:paraId="03AEFC01">
            <w:pPr>
              <w:pStyle w:val="6"/>
              <w:spacing w:before="9" w:line="235" w:lineRule="auto"/>
              <w:ind w:left="410"/>
              <w:rPr>
                <w:sz w:val="21"/>
                <w:szCs w:val="21"/>
              </w:rPr>
            </w:pPr>
            <w:r>
              <w:rPr>
                <w:spacing w:val="-5"/>
                <w:sz w:val="21"/>
                <w:szCs w:val="21"/>
              </w:rPr>
              <w:t>故应急水池</w:t>
            </w:r>
            <w:r>
              <w:rPr>
                <w:spacing w:val="-28"/>
                <w:sz w:val="21"/>
                <w:szCs w:val="21"/>
              </w:rPr>
              <w:t xml:space="preserve"> </w:t>
            </w:r>
            <w:r>
              <w:rPr>
                <w:rFonts w:ascii="Times New Roman" w:hAnsi="Times New Roman" w:eastAsia="Times New Roman" w:cs="Times New Roman"/>
                <w:spacing w:val="-5"/>
                <w:sz w:val="21"/>
                <w:szCs w:val="21"/>
              </w:rPr>
              <w:t xml:space="preserve">1 </w:t>
            </w:r>
            <w:r>
              <w:rPr>
                <w:spacing w:val="-5"/>
                <w:sz w:val="21"/>
                <w:szCs w:val="21"/>
              </w:rPr>
              <w:t>座。</w:t>
            </w:r>
          </w:p>
          <w:p w14:paraId="1F962406">
            <w:pPr>
              <w:pStyle w:val="6"/>
              <w:spacing w:before="5" w:line="234" w:lineRule="auto"/>
              <w:ind w:left="109" w:right="79" w:firstLine="29"/>
              <w:jc w:val="both"/>
              <w:rPr>
                <w:sz w:val="21"/>
                <w:szCs w:val="21"/>
              </w:rPr>
            </w:pPr>
            <w:r>
              <w:rPr>
                <w:rFonts w:ascii="Times New Roman" w:hAnsi="Times New Roman" w:eastAsia="Times New Roman" w:cs="Times New Roman"/>
                <w:spacing w:val="-4"/>
                <w:sz w:val="21"/>
                <w:szCs w:val="21"/>
              </w:rPr>
              <w:t>2</w:t>
            </w:r>
            <w:r>
              <w:rPr>
                <w:rFonts w:ascii="Times New Roman" w:hAnsi="Times New Roman" w:eastAsia="Times New Roman" w:cs="Times New Roman"/>
                <w:spacing w:val="-27"/>
                <w:sz w:val="21"/>
                <w:szCs w:val="21"/>
              </w:rPr>
              <w:t xml:space="preserve"> </w:t>
            </w:r>
            <w:r>
              <w:rPr>
                <w:spacing w:val="-4"/>
                <w:sz w:val="21"/>
                <w:szCs w:val="21"/>
              </w:rPr>
              <w:t>、压滤废水</w:t>
            </w:r>
            <w:r>
              <w:rPr>
                <w:spacing w:val="-33"/>
                <w:sz w:val="21"/>
                <w:szCs w:val="21"/>
              </w:rPr>
              <w:t xml:space="preserve"> </w:t>
            </w:r>
            <w:r>
              <w:rPr>
                <w:rFonts w:ascii="Times New Roman" w:hAnsi="Times New Roman" w:eastAsia="Times New Roman" w:cs="Times New Roman"/>
                <w:spacing w:val="-4"/>
                <w:sz w:val="21"/>
                <w:szCs w:val="21"/>
              </w:rPr>
              <w:t xml:space="preserve">1 </w:t>
            </w:r>
            <w:r>
              <w:rPr>
                <w:spacing w:val="-4"/>
                <w:sz w:val="21"/>
                <w:szCs w:val="21"/>
              </w:rPr>
              <w:t>箱最大储</w:t>
            </w:r>
            <w:r>
              <w:rPr>
                <w:spacing w:val="-6"/>
                <w:sz w:val="21"/>
                <w:szCs w:val="21"/>
              </w:rPr>
              <w:t>存量为</w:t>
            </w:r>
            <w:r>
              <w:rPr>
                <w:spacing w:val="-52"/>
                <w:sz w:val="21"/>
                <w:szCs w:val="21"/>
              </w:rPr>
              <w:t xml:space="preserve"> </w:t>
            </w:r>
            <w:r>
              <w:rPr>
                <w:rFonts w:ascii="Times New Roman" w:hAnsi="Times New Roman" w:eastAsia="Times New Roman" w:cs="Times New Roman"/>
                <w:spacing w:val="-6"/>
                <w:sz w:val="21"/>
                <w:szCs w:val="21"/>
              </w:rPr>
              <w:t>21.6m</w:t>
            </w:r>
            <w:r>
              <w:rPr>
                <w:spacing w:val="-6"/>
                <w:sz w:val="21"/>
                <w:szCs w:val="21"/>
              </w:rPr>
              <w:t>³</w:t>
            </w:r>
            <w:r>
              <w:rPr>
                <w:spacing w:val="-82"/>
                <w:sz w:val="21"/>
                <w:szCs w:val="21"/>
              </w:rPr>
              <w:t xml:space="preserve"> </w:t>
            </w:r>
            <w:r>
              <w:rPr>
                <w:spacing w:val="-6"/>
                <w:sz w:val="21"/>
                <w:szCs w:val="21"/>
              </w:rPr>
              <w:t>,</w:t>
            </w:r>
            <w:r>
              <w:rPr>
                <w:spacing w:val="-40"/>
                <w:sz w:val="21"/>
                <w:szCs w:val="21"/>
              </w:rPr>
              <w:t xml:space="preserve"> </w:t>
            </w:r>
            <w:r>
              <w:rPr>
                <w:spacing w:val="-6"/>
                <w:sz w:val="21"/>
                <w:szCs w:val="21"/>
              </w:rPr>
              <w:t>环评一次</w:t>
            </w:r>
            <w:r>
              <w:rPr>
                <w:spacing w:val="2"/>
                <w:sz w:val="21"/>
                <w:szCs w:val="21"/>
              </w:rPr>
              <w:t>最大消防废水量为</w:t>
            </w:r>
            <w:r>
              <w:rPr>
                <w:spacing w:val="-51"/>
                <w:sz w:val="21"/>
                <w:szCs w:val="21"/>
              </w:rPr>
              <w:t xml:space="preserve"> </w:t>
            </w:r>
            <w:r>
              <w:rPr>
                <w:rFonts w:ascii="Times New Roman" w:hAnsi="Times New Roman" w:eastAsia="Times New Roman" w:cs="Times New Roman"/>
                <w:spacing w:val="2"/>
                <w:sz w:val="21"/>
                <w:szCs w:val="21"/>
              </w:rPr>
              <w:t>216m</w:t>
            </w:r>
            <w:r>
              <w:rPr>
                <w:rFonts w:ascii="Times New Roman" w:hAnsi="Times New Roman" w:eastAsia="Times New Roman" w:cs="Times New Roman"/>
                <w:sz w:val="21"/>
                <w:szCs w:val="21"/>
              </w:rPr>
              <w:t xml:space="preserve"> </w:t>
            </w:r>
            <w:r>
              <w:rPr>
                <w:spacing w:val="-5"/>
                <w:sz w:val="21"/>
                <w:szCs w:val="21"/>
              </w:rPr>
              <w:t>³</w:t>
            </w:r>
            <w:r>
              <w:rPr>
                <w:spacing w:val="-77"/>
                <w:sz w:val="21"/>
                <w:szCs w:val="21"/>
              </w:rPr>
              <w:t xml:space="preserve"> </w:t>
            </w:r>
            <w:r>
              <w:rPr>
                <w:spacing w:val="-5"/>
                <w:sz w:val="21"/>
                <w:szCs w:val="21"/>
              </w:rPr>
              <w:t>,</w:t>
            </w:r>
            <w:r>
              <w:rPr>
                <w:spacing w:val="53"/>
                <w:sz w:val="21"/>
                <w:szCs w:val="21"/>
              </w:rPr>
              <w:t xml:space="preserve"> </w:t>
            </w:r>
            <w:r>
              <w:rPr>
                <w:spacing w:val="-5"/>
                <w:sz w:val="21"/>
                <w:szCs w:val="21"/>
              </w:rPr>
              <w:t>事故水池可完全满足</w:t>
            </w:r>
            <w:r>
              <w:rPr>
                <w:spacing w:val="8"/>
                <w:sz w:val="21"/>
                <w:szCs w:val="21"/>
              </w:rPr>
              <w:t>事故状态下压滤废水及</w:t>
            </w:r>
            <w:r>
              <w:rPr>
                <w:spacing w:val="-4"/>
                <w:sz w:val="21"/>
                <w:szCs w:val="21"/>
              </w:rPr>
              <w:t>消防废水的暂存。突发事</w:t>
            </w:r>
            <w:r>
              <w:rPr>
                <w:spacing w:val="8"/>
                <w:sz w:val="21"/>
                <w:szCs w:val="21"/>
              </w:rPr>
              <w:t>故发生时，构筑临时围</w:t>
            </w:r>
            <w:r>
              <w:rPr>
                <w:spacing w:val="-4"/>
                <w:sz w:val="21"/>
                <w:szCs w:val="21"/>
              </w:rPr>
              <w:t>堰，由泵抽至事故水池。</w:t>
            </w:r>
          </w:p>
        </w:tc>
        <w:tc>
          <w:tcPr>
            <w:tcW w:w="792" w:type="dxa"/>
            <w:vAlign w:val="top"/>
          </w:tcPr>
          <w:p w14:paraId="771B2FAA">
            <w:pPr>
              <w:spacing w:line="263" w:lineRule="auto"/>
              <w:rPr>
                <w:rFonts w:ascii="Arial"/>
                <w:sz w:val="21"/>
              </w:rPr>
            </w:pPr>
          </w:p>
          <w:p w14:paraId="61F8EA46">
            <w:pPr>
              <w:spacing w:line="263" w:lineRule="auto"/>
              <w:rPr>
                <w:rFonts w:ascii="Arial"/>
                <w:sz w:val="21"/>
              </w:rPr>
            </w:pPr>
          </w:p>
          <w:p w14:paraId="236DFB9E">
            <w:pPr>
              <w:spacing w:line="264" w:lineRule="auto"/>
              <w:rPr>
                <w:rFonts w:ascii="Arial"/>
                <w:sz w:val="21"/>
              </w:rPr>
            </w:pPr>
          </w:p>
          <w:p w14:paraId="4B5D8115">
            <w:pPr>
              <w:spacing w:line="264" w:lineRule="auto"/>
              <w:rPr>
                <w:rFonts w:ascii="Arial"/>
                <w:sz w:val="21"/>
              </w:rPr>
            </w:pPr>
          </w:p>
          <w:p w14:paraId="6941D1D4">
            <w:pPr>
              <w:spacing w:line="264" w:lineRule="auto"/>
              <w:rPr>
                <w:rFonts w:ascii="Arial"/>
                <w:sz w:val="21"/>
              </w:rPr>
            </w:pPr>
          </w:p>
          <w:p w14:paraId="419BB8F8">
            <w:pPr>
              <w:pStyle w:val="6"/>
              <w:spacing w:before="68" w:line="222" w:lineRule="auto"/>
              <w:ind w:left="299"/>
              <w:rPr>
                <w:sz w:val="21"/>
                <w:szCs w:val="21"/>
              </w:rPr>
            </w:pPr>
            <w:r>
              <w:rPr>
                <w:sz w:val="21"/>
                <w:szCs w:val="21"/>
              </w:rPr>
              <w:t>否</w:t>
            </w:r>
          </w:p>
        </w:tc>
      </w:tr>
      <w:tr w14:paraId="5EA079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90" w:hRule="atLeast"/>
        </w:trPr>
        <w:tc>
          <w:tcPr>
            <w:tcW w:w="437" w:type="dxa"/>
            <w:vMerge w:val="restart"/>
            <w:tcBorders>
              <w:bottom w:val="nil"/>
            </w:tcBorders>
            <w:vAlign w:val="top"/>
          </w:tcPr>
          <w:p w14:paraId="1D1E0A67">
            <w:pPr>
              <w:spacing w:line="275" w:lineRule="auto"/>
              <w:rPr>
                <w:rFonts w:ascii="Arial"/>
                <w:sz w:val="21"/>
              </w:rPr>
            </w:pPr>
          </w:p>
          <w:p w14:paraId="18C2467E">
            <w:pPr>
              <w:spacing w:line="275" w:lineRule="auto"/>
              <w:rPr>
                <w:rFonts w:ascii="Arial"/>
                <w:sz w:val="21"/>
              </w:rPr>
            </w:pPr>
          </w:p>
          <w:p w14:paraId="33DB9815">
            <w:pPr>
              <w:spacing w:line="275" w:lineRule="auto"/>
              <w:rPr>
                <w:rFonts w:ascii="Arial"/>
                <w:sz w:val="21"/>
              </w:rPr>
            </w:pPr>
          </w:p>
          <w:p w14:paraId="4D626B31">
            <w:pPr>
              <w:spacing w:before="60" w:line="237" w:lineRule="auto"/>
              <w:ind w:left="155"/>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056" w:type="dxa"/>
            <w:vMerge w:val="restart"/>
            <w:tcBorders>
              <w:bottom w:val="nil"/>
            </w:tcBorders>
            <w:vAlign w:val="top"/>
          </w:tcPr>
          <w:p w14:paraId="7F38A291">
            <w:pPr>
              <w:spacing w:line="260" w:lineRule="auto"/>
              <w:rPr>
                <w:rFonts w:ascii="Arial"/>
                <w:sz w:val="21"/>
              </w:rPr>
            </w:pPr>
          </w:p>
          <w:p w14:paraId="45755E03">
            <w:pPr>
              <w:spacing w:line="260" w:lineRule="auto"/>
              <w:rPr>
                <w:rFonts w:ascii="Arial"/>
                <w:sz w:val="21"/>
              </w:rPr>
            </w:pPr>
          </w:p>
          <w:p w14:paraId="74FE8933">
            <w:pPr>
              <w:pStyle w:val="6"/>
              <w:spacing w:before="69" w:line="221" w:lineRule="auto"/>
              <w:ind w:left="101"/>
              <w:rPr>
                <w:sz w:val="21"/>
                <w:szCs w:val="21"/>
              </w:rPr>
            </w:pPr>
            <w:r>
              <w:rPr>
                <w:spacing w:val="-6"/>
                <w:sz w:val="21"/>
                <w:szCs w:val="21"/>
              </w:rPr>
              <w:t>生产、处置或储存能</w:t>
            </w:r>
          </w:p>
          <w:p w14:paraId="4E462ABA">
            <w:pPr>
              <w:pStyle w:val="6"/>
              <w:spacing w:before="20" w:line="235" w:lineRule="auto"/>
              <w:ind w:left="174"/>
              <w:rPr>
                <w:sz w:val="21"/>
                <w:szCs w:val="21"/>
              </w:rPr>
            </w:pPr>
            <w:r>
              <w:rPr>
                <w:spacing w:val="-2"/>
                <w:sz w:val="21"/>
                <w:szCs w:val="21"/>
              </w:rPr>
              <w:t>力增大</w:t>
            </w:r>
            <w:r>
              <w:rPr>
                <w:spacing w:val="-42"/>
                <w:sz w:val="21"/>
                <w:szCs w:val="21"/>
              </w:rPr>
              <w:t xml:space="preserve"> </w:t>
            </w:r>
            <w:r>
              <w:rPr>
                <w:rFonts w:ascii="Times New Roman" w:hAnsi="Times New Roman" w:eastAsia="Times New Roman" w:cs="Times New Roman"/>
                <w:spacing w:val="-2"/>
                <w:sz w:val="21"/>
                <w:szCs w:val="21"/>
              </w:rPr>
              <w:t>30%</w:t>
            </w:r>
            <w:r>
              <w:rPr>
                <w:spacing w:val="-2"/>
                <w:sz w:val="21"/>
                <w:szCs w:val="21"/>
              </w:rPr>
              <w:t>及以上</w:t>
            </w:r>
          </w:p>
          <w:p w14:paraId="661939E7">
            <w:pPr>
              <w:pStyle w:val="6"/>
              <w:spacing w:before="4" w:line="224" w:lineRule="auto"/>
              <w:ind w:left="829"/>
              <w:rPr>
                <w:sz w:val="21"/>
                <w:szCs w:val="21"/>
              </w:rPr>
            </w:pPr>
            <w:r>
              <w:rPr>
                <w:spacing w:val="-14"/>
                <w:sz w:val="21"/>
                <w:szCs w:val="21"/>
              </w:rPr>
              <w:t>的。</w:t>
            </w:r>
          </w:p>
        </w:tc>
        <w:tc>
          <w:tcPr>
            <w:tcW w:w="2754" w:type="dxa"/>
            <w:vAlign w:val="top"/>
          </w:tcPr>
          <w:p w14:paraId="48729A3F">
            <w:pPr>
              <w:pStyle w:val="6"/>
              <w:spacing w:before="174" w:line="249" w:lineRule="auto"/>
              <w:ind w:left="526" w:right="91" w:hanging="420"/>
              <w:rPr>
                <w:sz w:val="21"/>
                <w:szCs w:val="21"/>
              </w:rPr>
            </w:pPr>
            <w:r>
              <w:rPr>
                <w:spacing w:val="-1"/>
                <w:sz w:val="21"/>
                <w:szCs w:val="21"/>
              </w:rPr>
              <w:t>泥浆储存池容积为</w:t>
            </w:r>
            <w:r>
              <w:rPr>
                <w:spacing w:val="-45"/>
                <w:sz w:val="21"/>
                <w:szCs w:val="21"/>
              </w:rPr>
              <w:t xml:space="preserve"> </w:t>
            </w:r>
            <w:r>
              <w:rPr>
                <w:rFonts w:ascii="Times New Roman" w:hAnsi="Times New Roman" w:eastAsia="Times New Roman" w:cs="Times New Roman"/>
                <w:spacing w:val="-1"/>
                <w:sz w:val="21"/>
                <w:szCs w:val="21"/>
              </w:rPr>
              <w:t>2731.2m</w:t>
            </w:r>
            <w:r>
              <w:rPr>
                <w:rFonts w:ascii="Times New Roman" w:hAnsi="Times New Roman" w:eastAsia="Times New Roman" w:cs="Times New Roman"/>
                <w:spacing w:val="-1"/>
                <w:position w:val="9"/>
                <w:sz w:val="14"/>
                <w:szCs w:val="14"/>
              </w:rPr>
              <w:t>3</w:t>
            </w:r>
            <w:r>
              <w:rPr>
                <w:rFonts w:ascii="Times New Roman" w:hAnsi="Times New Roman" w:eastAsia="Times New Roman" w:cs="Times New Roman"/>
                <w:position w:val="9"/>
                <w:sz w:val="14"/>
                <w:szCs w:val="14"/>
              </w:rPr>
              <w:t xml:space="preserve"> </w:t>
            </w:r>
            <w:r>
              <w:rPr>
                <w:spacing w:val="-2"/>
                <w:sz w:val="21"/>
                <w:szCs w:val="21"/>
              </w:rPr>
              <w:t>（</w:t>
            </w:r>
            <w:r>
              <w:rPr>
                <w:rFonts w:ascii="Times New Roman" w:hAnsi="Times New Roman" w:eastAsia="Times New Roman" w:cs="Times New Roman"/>
                <w:spacing w:val="-2"/>
                <w:sz w:val="21"/>
                <w:szCs w:val="21"/>
              </w:rPr>
              <w:t>56.9×12×4m</w:t>
            </w:r>
            <w:r>
              <w:rPr>
                <w:spacing w:val="-2"/>
                <w:sz w:val="21"/>
                <w:szCs w:val="21"/>
              </w:rPr>
              <w:t>）。</w:t>
            </w:r>
          </w:p>
        </w:tc>
        <w:tc>
          <w:tcPr>
            <w:tcW w:w="2483" w:type="dxa"/>
            <w:vAlign w:val="top"/>
          </w:tcPr>
          <w:p w14:paraId="5E52AB3B">
            <w:pPr>
              <w:pStyle w:val="6"/>
              <w:spacing w:before="36" w:line="221" w:lineRule="auto"/>
              <w:ind w:left="409"/>
              <w:rPr>
                <w:sz w:val="21"/>
                <w:szCs w:val="21"/>
              </w:rPr>
            </w:pPr>
            <w:r>
              <w:rPr>
                <w:spacing w:val="-1"/>
                <w:sz w:val="21"/>
                <w:szCs w:val="21"/>
              </w:rPr>
              <w:t>泥浆储存池容积为</w:t>
            </w:r>
          </w:p>
          <w:p w14:paraId="0DB9D7AE">
            <w:pPr>
              <w:pStyle w:val="6"/>
              <w:spacing w:before="5" w:line="291" w:lineRule="exact"/>
              <w:ind w:left="138"/>
              <w:rPr>
                <w:sz w:val="21"/>
                <w:szCs w:val="21"/>
              </w:rPr>
            </w:pPr>
            <w:r>
              <w:rPr>
                <w:rFonts w:ascii="Times New Roman" w:hAnsi="Times New Roman" w:eastAsia="Times New Roman" w:cs="Times New Roman"/>
                <w:spacing w:val="-1"/>
                <w:sz w:val="21"/>
                <w:szCs w:val="21"/>
              </w:rPr>
              <w:t>2400m</w:t>
            </w:r>
            <w:r>
              <w:rPr>
                <w:rFonts w:ascii="Times New Roman" w:hAnsi="Times New Roman" w:eastAsia="Times New Roman" w:cs="Times New Roman"/>
                <w:spacing w:val="-1"/>
                <w:position w:val="9"/>
                <w:sz w:val="14"/>
                <w:szCs w:val="14"/>
              </w:rPr>
              <w:t>3</w:t>
            </w:r>
            <w:r>
              <w:rPr>
                <w:spacing w:val="-1"/>
                <w:sz w:val="21"/>
                <w:szCs w:val="21"/>
              </w:rPr>
              <w:t>（</w:t>
            </w:r>
            <w:r>
              <w:rPr>
                <w:rFonts w:ascii="Times New Roman" w:hAnsi="Times New Roman" w:eastAsia="Times New Roman" w:cs="Times New Roman"/>
                <w:spacing w:val="-1"/>
                <w:sz w:val="21"/>
                <w:szCs w:val="21"/>
              </w:rPr>
              <w:t>50×12×4m</w:t>
            </w:r>
            <w:r>
              <w:rPr>
                <w:spacing w:val="-6"/>
                <w:sz w:val="21"/>
                <w:szCs w:val="21"/>
              </w:rPr>
              <w:t>），</w:t>
            </w:r>
          </w:p>
          <w:p w14:paraId="079773E4">
            <w:pPr>
              <w:pStyle w:val="6"/>
              <w:spacing w:line="236" w:lineRule="auto"/>
              <w:ind w:left="401"/>
              <w:rPr>
                <w:sz w:val="21"/>
                <w:szCs w:val="21"/>
              </w:rPr>
            </w:pPr>
            <w:r>
              <w:rPr>
                <w:spacing w:val="-3"/>
                <w:sz w:val="21"/>
                <w:szCs w:val="21"/>
              </w:rPr>
              <w:t>由</w:t>
            </w:r>
            <w:r>
              <w:rPr>
                <w:spacing w:val="-47"/>
                <w:sz w:val="21"/>
                <w:szCs w:val="21"/>
              </w:rPr>
              <w:t xml:space="preserve"> </w:t>
            </w:r>
            <w:r>
              <w:rPr>
                <w:rFonts w:ascii="Times New Roman" w:hAnsi="Times New Roman" w:eastAsia="Times New Roman" w:cs="Times New Roman"/>
                <w:spacing w:val="-3"/>
                <w:sz w:val="21"/>
                <w:szCs w:val="21"/>
              </w:rPr>
              <w:t>2731.2m</w:t>
            </w:r>
            <w:r>
              <w:rPr>
                <w:spacing w:val="-3"/>
                <w:sz w:val="21"/>
                <w:szCs w:val="21"/>
              </w:rPr>
              <w:t>³减少至</w:t>
            </w:r>
          </w:p>
          <w:p w14:paraId="6578A23B">
            <w:pPr>
              <w:pStyle w:val="6"/>
              <w:spacing w:before="23" w:line="179" w:lineRule="auto"/>
              <w:ind w:left="791"/>
              <w:rPr>
                <w:sz w:val="21"/>
                <w:szCs w:val="21"/>
              </w:rPr>
            </w:pPr>
            <w:r>
              <w:rPr>
                <w:rFonts w:ascii="Times New Roman" w:hAnsi="Times New Roman" w:eastAsia="Times New Roman" w:cs="Times New Roman"/>
                <w:spacing w:val="-1"/>
                <w:sz w:val="21"/>
                <w:szCs w:val="21"/>
              </w:rPr>
              <w:t>2400m</w:t>
            </w:r>
            <w:r>
              <w:rPr>
                <w:spacing w:val="-1"/>
                <w:sz w:val="21"/>
                <w:szCs w:val="21"/>
              </w:rPr>
              <w:t>³。</w:t>
            </w:r>
          </w:p>
        </w:tc>
        <w:tc>
          <w:tcPr>
            <w:tcW w:w="792" w:type="dxa"/>
            <w:vAlign w:val="top"/>
          </w:tcPr>
          <w:p w14:paraId="06FD87CD">
            <w:pPr>
              <w:spacing w:line="373" w:lineRule="auto"/>
              <w:rPr>
                <w:rFonts w:ascii="Arial"/>
                <w:sz w:val="21"/>
              </w:rPr>
            </w:pPr>
          </w:p>
          <w:p w14:paraId="30609FAA">
            <w:pPr>
              <w:pStyle w:val="6"/>
              <w:spacing w:before="68" w:line="222" w:lineRule="auto"/>
              <w:ind w:left="299"/>
              <w:rPr>
                <w:sz w:val="21"/>
                <w:szCs w:val="21"/>
              </w:rPr>
            </w:pPr>
            <w:r>
              <w:rPr>
                <w:sz w:val="21"/>
                <w:szCs w:val="21"/>
              </w:rPr>
              <w:t>否</w:t>
            </w:r>
          </w:p>
        </w:tc>
      </w:tr>
      <w:tr w14:paraId="271CD1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4" w:hRule="atLeast"/>
        </w:trPr>
        <w:tc>
          <w:tcPr>
            <w:tcW w:w="437" w:type="dxa"/>
            <w:vMerge w:val="continue"/>
            <w:tcBorders>
              <w:top w:val="nil"/>
            </w:tcBorders>
            <w:vAlign w:val="top"/>
          </w:tcPr>
          <w:p w14:paraId="68FFD7F9">
            <w:pPr>
              <w:rPr>
                <w:rFonts w:ascii="Arial"/>
                <w:sz w:val="21"/>
              </w:rPr>
            </w:pPr>
          </w:p>
        </w:tc>
        <w:tc>
          <w:tcPr>
            <w:tcW w:w="2056" w:type="dxa"/>
            <w:vMerge w:val="continue"/>
            <w:tcBorders>
              <w:top w:val="nil"/>
            </w:tcBorders>
            <w:vAlign w:val="top"/>
          </w:tcPr>
          <w:p w14:paraId="12A808E2">
            <w:pPr>
              <w:rPr>
                <w:rFonts w:ascii="Arial"/>
                <w:sz w:val="21"/>
              </w:rPr>
            </w:pPr>
          </w:p>
        </w:tc>
        <w:tc>
          <w:tcPr>
            <w:tcW w:w="2754" w:type="dxa"/>
            <w:vAlign w:val="top"/>
          </w:tcPr>
          <w:p w14:paraId="75512E18">
            <w:pPr>
              <w:pStyle w:val="6"/>
              <w:spacing w:before="174" w:line="241" w:lineRule="auto"/>
              <w:ind w:left="806" w:right="417" w:hanging="376"/>
              <w:rPr>
                <w:sz w:val="21"/>
                <w:szCs w:val="21"/>
              </w:rPr>
            </w:pPr>
            <w:r>
              <w:rPr>
                <w:spacing w:val="-1"/>
                <w:sz w:val="21"/>
                <w:szCs w:val="21"/>
              </w:rPr>
              <w:t>综合车间总占地面积</w:t>
            </w:r>
            <w:r>
              <w:rPr>
                <w:rFonts w:ascii="Times New Roman" w:hAnsi="Times New Roman" w:eastAsia="Times New Roman" w:cs="Times New Roman"/>
                <w:spacing w:val="-1"/>
                <w:sz w:val="21"/>
                <w:szCs w:val="21"/>
              </w:rPr>
              <w:t>4492.25m</w:t>
            </w:r>
            <w:r>
              <w:rPr>
                <w:rFonts w:ascii="Times New Roman" w:hAnsi="Times New Roman" w:eastAsia="Times New Roman" w:cs="Times New Roman"/>
                <w:spacing w:val="-1"/>
                <w:position w:val="9"/>
                <w:sz w:val="14"/>
                <w:szCs w:val="14"/>
              </w:rPr>
              <w:t>2</w:t>
            </w:r>
            <w:r>
              <w:rPr>
                <w:spacing w:val="-1"/>
                <w:sz w:val="21"/>
                <w:szCs w:val="21"/>
              </w:rPr>
              <w:t>。</w:t>
            </w:r>
          </w:p>
        </w:tc>
        <w:tc>
          <w:tcPr>
            <w:tcW w:w="2483" w:type="dxa"/>
            <w:vAlign w:val="top"/>
          </w:tcPr>
          <w:p w14:paraId="0C3785E9">
            <w:pPr>
              <w:pStyle w:val="6"/>
              <w:spacing w:before="38" w:line="221" w:lineRule="auto"/>
              <w:ind w:left="301"/>
              <w:rPr>
                <w:sz w:val="21"/>
                <w:szCs w:val="21"/>
              </w:rPr>
            </w:pPr>
            <w:r>
              <w:rPr>
                <w:spacing w:val="-1"/>
                <w:sz w:val="21"/>
                <w:szCs w:val="21"/>
              </w:rPr>
              <w:t>综合车间总占地面积</w:t>
            </w:r>
          </w:p>
          <w:p w14:paraId="16591D2E">
            <w:pPr>
              <w:pStyle w:val="6"/>
              <w:spacing w:before="5" w:line="242" w:lineRule="auto"/>
              <w:ind w:left="111"/>
              <w:rPr>
                <w:sz w:val="21"/>
                <w:szCs w:val="21"/>
              </w:rPr>
            </w:pPr>
            <w:r>
              <w:rPr>
                <w:rFonts w:ascii="Times New Roman" w:hAnsi="Times New Roman" w:eastAsia="Times New Roman" w:cs="Times New Roman"/>
                <w:spacing w:val="-4"/>
                <w:sz w:val="21"/>
                <w:szCs w:val="21"/>
              </w:rPr>
              <w:t>3500m</w:t>
            </w:r>
            <w:r>
              <w:rPr>
                <w:rFonts w:ascii="Times New Roman" w:hAnsi="Times New Roman" w:eastAsia="Times New Roman" w:cs="Times New Roman"/>
                <w:spacing w:val="-4"/>
                <w:position w:val="9"/>
                <w:sz w:val="14"/>
                <w:szCs w:val="14"/>
              </w:rPr>
              <w:t>2</w:t>
            </w:r>
            <w:r>
              <w:rPr>
                <w:rFonts w:ascii="Times New Roman" w:hAnsi="Times New Roman" w:eastAsia="Times New Roman" w:cs="Times New Roman"/>
                <w:position w:val="9"/>
                <w:sz w:val="14"/>
                <w:szCs w:val="14"/>
              </w:rPr>
              <w:t xml:space="preserve"> </w:t>
            </w:r>
            <w:r>
              <w:rPr>
                <w:spacing w:val="-4"/>
                <w:sz w:val="21"/>
                <w:szCs w:val="21"/>
              </w:rPr>
              <w:t>，由</w:t>
            </w:r>
            <w:r>
              <w:rPr>
                <w:spacing w:val="-50"/>
                <w:sz w:val="21"/>
                <w:szCs w:val="21"/>
              </w:rPr>
              <w:t xml:space="preserve"> </w:t>
            </w:r>
            <w:r>
              <w:rPr>
                <w:rFonts w:ascii="Times New Roman" w:hAnsi="Times New Roman" w:eastAsia="Times New Roman" w:cs="Times New Roman"/>
                <w:spacing w:val="-4"/>
                <w:sz w:val="21"/>
                <w:szCs w:val="21"/>
              </w:rPr>
              <w:t>4492.25</w:t>
            </w:r>
            <w:r>
              <w:rPr>
                <w:rFonts w:ascii="Times New Roman" w:hAnsi="Times New Roman" w:eastAsia="Times New Roman" w:cs="Times New Roman"/>
                <w:spacing w:val="20"/>
                <w:sz w:val="21"/>
                <w:szCs w:val="21"/>
              </w:rPr>
              <w:t xml:space="preserve"> </w:t>
            </w:r>
            <w:r>
              <w:rPr>
                <w:spacing w:val="-4"/>
                <w:sz w:val="21"/>
                <w:szCs w:val="21"/>
              </w:rPr>
              <w:t>㎡减</w:t>
            </w:r>
          </w:p>
          <w:p w14:paraId="10E626C7">
            <w:pPr>
              <w:pStyle w:val="6"/>
              <w:spacing w:before="2" w:line="204" w:lineRule="auto"/>
              <w:ind w:left="564"/>
              <w:rPr>
                <w:sz w:val="21"/>
                <w:szCs w:val="21"/>
              </w:rPr>
            </w:pPr>
            <w:r>
              <w:rPr>
                <w:spacing w:val="-5"/>
                <w:sz w:val="21"/>
                <w:szCs w:val="21"/>
              </w:rPr>
              <w:t>少至</w:t>
            </w:r>
            <w:r>
              <w:rPr>
                <w:spacing w:val="-46"/>
                <w:sz w:val="21"/>
                <w:szCs w:val="21"/>
              </w:rPr>
              <w:t xml:space="preserve"> </w:t>
            </w:r>
            <w:r>
              <w:rPr>
                <w:rFonts w:ascii="Times New Roman" w:hAnsi="Times New Roman" w:eastAsia="Times New Roman" w:cs="Times New Roman"/>
                <w:spacing w:val="-5"/>
                <w:sz w:val="21"/>
                <w:szCs w:val="21"/>
              </w:rPr>
              <w:t>3500</w:t>
            </w:r>
            <w:r>
              <w:rPr>
                <w:rFonts w:ascii="Times New Roman" w:hAnsi="Times New Roman" w:eastAsia="Times New Roman" w:cs="Times New Roman"/>
                <w:spacing w:val="19"/>
                <w:sz w:val="21"/>
                <w:szCs w:val="21"/>
              </w:rPr>
              <w:t xml:space="preserve"> </w:t>
            </w:r>
            <w:r>
              <w:rPr>
                <w:spacing w:val="-5"/>
                <w:sz w:val="21"/>
                <w:szCs w:val="21"/>
              </w:rPr>
              <w:t>㎡。</w:t>
            </w:r>
          </w:p>
        </w:tc>
        <w:tc>
          <w:tcPr>
            <w:tcW w:w="792" w:type="dxa"/>
            <w:vAlign w:val="top"/>
          </w:tcPr>
          <w:p w14:paraId="7FB3D647">
            <w:pPr>
              <w:rPr>
                <w:rFonts w:ascii="Arial"/>
                <w:sz w:val="21"/>
              </w:rPr>
            </w:pPr>
          </w:p>
          <w:p w14:paraId="29F5FE64">
            <w:pPr>
              <w:pStyle w:val="6"/>
              <w:spacing w:before="68" w:line="222" w:lineRule="auto"/>
              <w:ind w:left="299"/>
              <w:rPr>
                <w:sz w:val="21"/>
                <w:szCs w:val="21"/>
              </w:rPr>
            </w:pPr>
            <w:r>
              <w:rPr>
                <w:sz w:val="21"/>
                <w:szCs w:val="21"/>
              </w:rPr>
              <w:t>否</w:t>
            </w:r>
          </w:p>
        </w:tc>
      </w:tr>
    </w:tbl>
    <w:p w14:paraId="71A7C436">
      <w:pPr>
        <w:pStyle w:val="2"/>
        <w:spacing w:before="35" w:line="355" w:lineRule="auto"/>
        <w:ind w:left="130" w:right="4" w:firstLine="478"/>
        <w:jc w:val="both"/>
      </w:pPr>
      <w:r>
        <w:rPr>
          <w:spacing w:val="-7"/>
        </w:rPr>
        <w:t>根据现场调查，并对照《污染影响类建设项目重大变动清单（试行）的通知》</w:t>
      </w:r>
      <w:r>
        <w:rPr>
          <w:spacing w:val="5"/>
        </w:rPr>
        <w:t xml:space="preserve"> </w:t>
      </w:r>
      <w:r>
        <w:rPr>
          <w:spacing w:val="-3"/>
        </w:rPr>
        <w:t>（环办环评函</w:t>
      </w:r>
      <w:r>
        <w:rPr>
          <w:rFonts w:ascii="Times New Roman" w:hAnsi="Times New Roman" w:eastAsia="Times New Roman" w:cs="Times New Roman"/>
          <w:spacing w:val="-3"/>
        </w:rPr>
        <w:t>[</w:t>
      </w:r>
      <w:r>
        <w:fldChar w:fldCharType="begin"/>
      </w:r>
      <w:r>
        <w:instrText xml:space="preserve"> HYPERLINK \l "bookmark11" </w:instrText>
      </w:r>
      <w:r>
        <w:fldChar w:fldCharType="separate"/>
      </w:r>
      <w:r>
        <w:rPr>
          <w:rFonts w:ascii="Times New Roman" w:hAnsi="Times New Roman" w:eastAsia="Times New Roman" w:cs="Times New Roman"/>
          <w:spacing w:val="-3"/>
        </w:rPr>
        <w:t>2020</w:t>
      </w:r>
      <w:r>
        <w:rPr>
          <w:rFonts w:ascii="Times New Roman" w:hAnsi="Times New Roman" w:eastAsia="Times New Roman" w:cs="Times New Roman"/>
          <w:spacing w:val="-3"/>
        </w:rPr>
        <w:fldChar w:fldCharType="end"/>
      </w:r>
      <w:r>
        <w:rPr>
          <w:rFonts w:ascii="Times New Roman" w:hAnsi="Times New Roman" w:eastAsia="Times New Roman" w:cs="Times New Roman"/>
          <w:spacing w:val="-3"/>
        </w:rPr>
        <w:t>]688</w:t>
      </w:r>
      <w:r>
        <w:rPr>
          <w:rFonts w:ascii="Times New Roman" w:hAnsi="Times New Roman" w:eastAsia="Times New Roman" w:cs="Times New Roman"/>
          <w:spacing w:val="26"/>
          <w:w w:val="101"/>
        </w:rPr>
        <w:t xml:space="preserve"> </w:t>
      </w:r>
      <w:r>
        <w:rPr>
          <w:spacing w:val="-3"/>
        </w:rPr>
        <w:t>号）中相关要求，并与本项目的实际建设情况逐项对照，均不属于重大变动。本项目符合验收要求。</w:t>
      </w:r>
    </w:p>
    <w:p w14:paraId="7D760E16">
      <w:pPr>
        <w:pStyle w:val="2"/>
        <w:spacing w:before="14" w:line="220" w:lineRule="auto"/>
        <w:ind w:left="613"/>
      </w:pPr>
      <w:r>
        <w:rPr>
          <w:b/>
          <w:bCs/>
          <w:spacing w:val="-3"/>
        </w:rPr>
        <w:t>三、环境保护设施建设情况</w:t>
      </w:r>
    </w:p>
    <w:p w14:paraId="60F470FD">
      <w:pPr>
        <w:pStyle w:val="2"/>
        <w:spacing w:before="302" w:line="220" w:lineRule="auto"/>
        <w:ind w:left="631"/>
      </w:pPr>
      <w:r>
        <w:rPr>
          <w:b/>
          <w:bCs/>
          <w:spacing w:val="-4"/>
        </w:rPr>
        <w:t>1、废气污染物及防治设施</w:t>
      </w:r>
    </w:p>
    <w:p w14:paraId="4A4F56C9">
      <w:pPr>
        <w:pStyle w:val="2"/>
        <w:spacing w:before="302" w:line="219" w:lineRule="auto"/>
        <w:ind w:left="610"/>
      </w:pPr>
      <w:r>
        <w:rPr>
          <w:spacing w:val="-1"/>
        </w:rPr>
        <w:t>本项目为泥浆压滤项目，不涉及废气的产生。</w:t>
      </w:r>
    </w:p>
    <w:p w14:paraId="7EED0043">
      <w:pPr>
        <w:spacing w:line="219" w:lineRule="auto"/>
        <w:sectPr>
          <w:footerReference r:id="rId158" w:type="default"/>
          <w:pgSz w:w="11909" w:h="16836"/>
          <w:pgMar w:top="400" w:right="1685" w:bottom="1271" w:left="1680" w:header="0" w:footer="1043" w:gutter="0"/>
          <w:cols w:space="720" w:num="1"/>
        </w:sectPr>
      </w:pPr>
    </w:p>
    <w:p w14:paraId="39E8C7E1">
      <w:pPr>
        <w:spacing w:line="247" w:lineRule="auto"/>
        <w:rPr>
          <w:rFonts w:ascii="Arial"/>
          <w:sz w:val="21"/>
        </w:rPr>
      </w:pPr>
    </w:p>
    <w:p w14:paraId="5BECC65A">
      <w:pPr>
        <w:spacing w:line="247" w:lineRule="auto"/>
        <w:rPr>
          <w:rFonts w:ascii="Arial"/>
          <w:sz w:val="21"/>
        </w:rPr>
      </w:pPr>
    </w:p>
    <w:p w14:paraId="32E343D4">
      <w:pPr>
        <w:spacing w:line="247" w:lineRule="auto"/>
        <w:rPr>
          <w:rFonts w:ascii="Arial"/>
          <w:sz w:val="21"/>
        </w:rPr>
      </w:pPr>
    </w:p>
    <w:p w14:paraId="556DBD3E">
      <w:pPr>
        <w:spacing w:line="248" w:lineRule="auto"/>
        <w:rPr>
          <w:rFonts w:ascii="Arial"/>
          <w:sz w:val="21"/>
        </w:rPr>
      </w:pPr>
    </w:p>
    <w:p w14:paraId="06512AE6">
      <w:pPr>
        <w:pStyle w:val="2"/>
        <w:spacing w:before="78" w:line="220" w:lineRule="auto"/>
        <w:ind w:left="510"/>
      </w:pPr>
      <w:r>
        <w:rPr>
          <w:b/>
          <w:bCs/>
          <w:spacing w:val="-3"/>
        </w:rPr>
        <w:t>2、废水污染物及防治措施</w:t>
      </w:r>
    </w:p>
    <w:p w14:paraId="49756057">
      <w:pPr>
        <w:pStyle w:val="2"/>
        <w:spacing w:before="302" w:line="219" w:lineRule="auto"/>
        <w:ind w:left="504"/>
      </w:pPr>
      <w:r>
        <w:rPr>
          <w:spacing w:val="-2"/>
        </w:rPr>
        <w:t>本项目废水主要为水基泥浆压滤废水及生活污水。</w:t>
      </w:r>
    </w:p>
    <w:p w14:paraId="6A9A1256">
      <w:pPr>
        <w:pStyle w:val="2"/>
        <w:spacing w:before="180" w:line="360" w:lineRule="auto"/>
        <w:ind w:left="32" w:right="15" w:firstLine="474"/>
      </w:pPr>
      <w:r>
        <w:rPr>
          <w:spacing w:val="-3"/>
        </w:rPr>
        <w:t>水基泥浆压滤废水经储水箱收集，由罐车运输至巴彦勘探开发分</w:t>
      </w:r>
      <w:r>
        <w:rPr>
          <w:spacing w:val="-4"/>
        </w:rPr>
        <w:t>公司下属的</w:t>
      </w:r>
      <w:r>
        <w:rPr>
          <w:spacing w:val="-2"/>
        </w:rPr>
        <w:t>吉兰泰联合站进行处理；企业压滤废水</w:t>
      </w:r>
      <w:r>
        <w:rPr>
          <w:spacing w:val="-56"/>
        </w:rPr>
        <w:t xml:space="preserve"> </w:t>
      </w:r>
      <w:r>
        <w:rPr>
          <w:rFonts w:ascii="Times New Roman" w:hAnsi="Times New Roman" w:eastAsia="Times New Roman" w:cs="Times New Roman"/>
          <w:spacing w:val="-2"/>
        </w:rPr>
        <w:t xml:space="preserve">PH </w:t>
      </w:r>
      <w:r>
        <w:rPr>
          <w:spacing w:val="-2"/>
        </w:rPr>
        <w:t>值不得大于</w:t>
      </w:r>
      <w:r>
        <w:rPr>
          <w:spacing w:val="-31"/>
        </w:rPr>
        <w:t xml:space="preserve"> </w:t>
      </w:r>
      <w:r>
        <w:rPr>
          <w:rFonts w:ascii="Times New Roman" w:hAnsi="Times New Roman" w:eastAsia="Times New Roman" w:cs="Times New Roman"/>
          <w:spacing w:val="-2"/>
        </w:rPr>
        <w:t>12</w:t>
      </w:r>
      <w:r>
        <w:rPr>
          <w:spacing w:val="-3"/>
        </w:rPr>
        <w:t>，其他污染物无要求。</w:t>
      </w:r>
    </w:p>
    <w:p w14:paraId="5A9EA633">
      <w:pPr>
        <w:pStyle w:val="2"/>
        <w:spacing w:before="1" w:line="361" w:lineRule="auto"/>
        <w:ind w:left="49" w:right="85" w:firstLine="456"/>
      </w:pPr>
      <w:r>
        <w:rPr>
          <w:spacing w:val="-3"/>
        </w:rPr>
        <w:t>生活污水排入防渗化粪池，经厂区污水总排口排入园区</w:t>
      </w:r>
      <w:r>
        <w:rPr>
          <w:spacing w:val="-4"/>
        </w:rPr>
        <w:t>污水管网，最终进入巴彦淖尔市临河东城区污水处理厂处理。</w:t>
      </w:r>
    </w:p>
    <w:p w14:paraId="0BE7162A">
      <w:pPr>
        <w:pStyle w:val="2"/>
        <w:spacing w:before="111" w:line="220" w:lineRule="auto"/>
        <w:ind w:left="632"/>
      </w:pPr>
      <w:r>
        <w:rPr>
          <w:b/>
          <w:bCs/>
          <w:spacing w:val="-3"/>
        </w:rPr>
        <w:t>3、噪声污染及防治措施</w:t>
      </w:r>
    </w:p>
    <w:p w14:paraId="605818B5">
      <w:pPr>
        <w:pStyle w:val="2"/>
        <w:spacing w:before="302" w:line="362" w:lineRule="auto"/>
        <w:ind w:left="22" w:right="84" w:firstLine="481"/>
      </w:pPr>
      <w:r>
        <w:rPr>
          <w:spacing w:val="-11"/>
        </w:rPr>
        <w:t>本项目运行过程中所用设备主要为提升泵、水泵、 污泥泵、搅拌机、</w:t>
      </w:r>
      <w:r>
        <w:rPr>
          <w:spacing w:val="29"/>
        </w:rPr>
        <w:t xml:space="preserve"> </w:t>
      </w:r>
      <w:r>
        <w:rPr>
          <w:spacing w:val="-11"/>
        </w:rPr>
        <w:t>高压隔</w:t>
      </w:r>
      <w:r>
        <w:rPr>
          <w:spacing w:val="-1"/>
        </w:rPr>
        <w:t>膜压滤机等，采取基础减震、建筑隔声等措施</w:t>
      </w:r>
      <w:r>
        <w:rPr>
          <w:spacing w:val="-2"/>
        </w:rPr>
        <w:t>后对周围环境影响较小。</w:t>
      </w:r>
    </w:p>
    <w:p w14:paraId="6EB00A86">
      <w:pPr>
        <w:pStyle w:val="2"/>
        <w:spacing w:before="111" w:line="220" w:lineRule="auto"/>
        <w:ind w:left="506"/>
      </w:pPr>
      <w:r>
        <w:rPr>
          <w:b/>
          <w:bCs/>
          <w:spacing w:val="-3"/>
        </w:rPr>
        <w:t>4、固体废弃物污染及防治措施</w:t>
      </w:r>
    </w:p>
    <w:p w14:paraId="1E05A463">
      <w:pPr>
        <w:pStyle w:val="2"/>
        <w:spacing w:before="302" w:line="360" w:lineRule="auto"/>
        <w:ind w:left="22" w:firstLine="481"/>
      </w:pPr>
      <w:r>
        <w:rPr>
          <w:spacing w:val="-8"/>
        </w:rPr>
        <w:t>本项目固体废物主要为格栅渣、沉淀渣、压滤产生的泥饼、废药剂包装材料、</w:t>
      </w:r>
      <w:r>
        <w:rPr>
          <w:spacing w:val="-1"/>
        </w:rPr>
        <w:t>废液压油、含油抹布和职工生活垃圾。</w:t>
      </w:r>
    </w:p>
    <w:p w14:paraId="2AD0E9FE">
      <w:pPr>
        <w:pStyle w:val="2"/>
        <w:spacing w:before="1" w:line="233" w:lineRule="auto"/>
        <w:ind w:left="522"/>
      </w:pPr>
      <w:r>
        <w:rPr>
          <w:rFonts w:ascii="Times New Roman" w:hAnsi="Times New Roman" w:eastAsia="Times New Roman" w:cs="Times New Roman"/>
          <w:spacing w:val="-11"/>
        </w:rPr>
        <w:t>1</w:t>
      </w:r>
      <w:r>
        <w:rPr>
          <w:rFonts w:ascii="Times New Roman" w:hAnsi="Times New Roman" w:eastAsia="Times New Roman" w:cs="Times New Roman"/>
          <w:spacing w:val="-31"/>
        </w:rPr>
        <w:t xml:space="preserve"> </w:t>
      </w:r>
      <w:r>
        <w:rPr>
          <w:spacing w:val="-11"/>
        </w:rPr>
        <w:t>、格栅渣</w:t>
      </w:r>
    </w:p>
    <w:p w14:paraId="5889A817">
      <w:pPr>
        <w:pStyle w:val="2"/>
        <w:spacing w:before="161" w:line="360" w:lineRule="auto"/>
        <w:ind w:left="42" w:right="228" w:firstLine="461"/>
      </w:pPr>
      <w:r>
        <w:t>格栅渣主要为石子等大颗粒物质，属Ⅱ类一般工业固体</w:t>
      </w:r>
      <w:r>
        <w:rPr>
          <w:spacing w:val="-1"/>
        </w:rPr>
        <w:t>废物，产生量约为</w:t>
      </w:r>
      <w:r>
        <w:rPr>
          <w:rFonts w:ascii="Times New Roman" w:hAnsi="Times New Roman" w:eastAsia="Times New Roman" w:cs="Times New Roman"/>
          <w:spacing w:val="-2"/>
        </w:rPr>
        <w:t>10t/a</w:t>
      </w:r>
      <w:r>
        <w:rPr>
          <w:rFonts w:ascii="Times New Roman" w:hAnsi="Times New Roman" w:eastAsia="Times New Roman" w:cs="Times New Roman"/>
          <w:spacing w:val="-15"/>
        </w:rPr>
        <w:t xml:space="preserve"> </w:t>
      </w:r>
      <w:r>
        <w:rPr>
          <w:spacing w:val="-2"/>
        </w:rPr>
        <w:t>。拉运至乌海市科兆恒升环保建材有限责任公司一分公司填埋场填埋。</w:t>
      </w:r>
    </w:p>
    <w:p w14:paraId="63D3FC54">
      <w:pPr>
        <w:pStyle w:val="2"/>
        <w:spacing w:line="234" w:lineRule="auto"/>
        <w:ind w:left="499"/>
      </w:pPr>
      <w:r>
        <w:rPr>
          <w:rFonts w:ascii="Times New Roman" w:hAnsi="Times New Roman" w:eastAsia="Times New Roman" w:cs="Times New Roman"/>
          <w:spacing w:val="-6"/>
        </w:rPr>
        <w:t>2</w:t>
      </w:r>
      <w:r>
        <w:rPr>
          <w:rFonts w:ascii="Times New Roman" w:hAnsi="Times New Roman" w:eastAsia="Times New Roman" w:cs="Times New Roman"/>
          <w:spacing w:val="-33"/>
        </w:rPr>
        <w:t xml:space="preserve"> </w:t>
      </w:r>
      <w:r>
        <w:rPr>
          <w:spacing w:val="-6"/>
        </w:rPr>
        <w:t>、沉淀渣</w:t>
      </w:r>
    </w:p>
    <w:p w14:paraId="31AA500F">
      <w:pPr>
        <w:pStyle w:val="2"/>
        <w:spacing w:before="163" w:line="356" w:lineRule="auto"/>
        <w:ind w:left="26" w:right="81" w:firstLine="477"/>
      </w:pPr>
      <w:r>
        <w:rPr>
          <w:spacing w:val="-3"/>
        </w:rPr>
        <w:t>沉淀渣为泥浆絮凝沉淀后产生的沉渣，属Ⅱ类一般工业固体废物</w:t>
      </w:r>
      <w:r>
        <w:rPr>
          <w:spacing w:val="-4"/>
        </w:rPr>
        <w:t>，产生量约</w:t>
      </w:r>
      <w:r>
        <w:rPr>
          <w:spacing w:val="-1"/>
        </w:rPr>
        <w:t>为</w:t>
      </w:r>
      <w:r>
        <w:rPr>
          <w:spacing w:val="-55"/>
        </w:rPr>
        <w:t xml:space="preserve"> </w:t>
      </w:r>
      <w:r>
        <w:rPr>
          <w:rFonts w:ascii="Times New Roman" w:hAnsi="Times New Roman" w:eastAsia="Times New Roman" w:cs="Times New Roman"/>
          <w:spacing w:val="-1"/>
        </w:rPr>
        <w:t>2t/a</w:t>
      </w:r>
      <w:r>
        <w:rPr>
          <w:spacing w:val="-1"/>
        </w:rPr>
        <w:t>。沉淀渣每年检修时进行集中清理，拉运至乌</w:t>
      </w:r>
      <w:r>
        <w:rPr>
          <w:spacing w:val="-2"/>
        </w:rPr>
        <w:t>海市科兆恒升环保建材有限</w:t>
      </w:r>
      <w:r>
        <w:rPr>
          <w:spacing w:val="-1"/>
        </w:rPr>
        <w:t>责任公司一分公司填埋场填埋。</w:t>
      </w:r>
    </w:p>
    <w:p w14:paraId="53113F42">
      <w:pPr>
        <w:pStyle w:val="2"/>
        <w:spacing w:before="13" w:line="234" w:lineRule="auto"/>
        <w:ind w:left="504"/>
      </w:pPr>
      <w:r>
        <w:rPr>
          <w:rFonts w:ascii="Times New Roman" w:hAnsi="Times New Roman" w:eastAsia="Times New Roman" w:cs="Times New Roman"/>
          <w:spacing w:val="-6"/>
        </w:rPr>
        <w:t>3</w:t>
      </w:r>
      <w:r>
        <w:rPr>
          <w:rFonts w:ascii="Times New Roman" w:hAnsi="Times New Roman" w:eastAsia="Times New Roman" w:cs="Times New Roman"/>
          <w:spacing w:val="-32"/>
        </w:rPr>
        <w:t xml:space="preserve"> </w:t>
      </w:r>
      <w:r>
        <w:rPr>
          <w:spacing w:val="-6"/>
        </w:rPr>
        <w:t>、压滤泥饼</w:t>
      </w:r>
    </w:p>
    <w:p w14:paraId="4B1D58EA">
      <w:pPr>
        <w:pStyle w:val="2"/>
        <w:spacing w:before="160" w:line="360" w:lineRule="auto"/>
        <w:ind w:left="23" w:right="41" w:firstLine="480"/>
      </w:pPr>
      <w:r>
        <w:rPr>
          <w:spacing w:val="-2"/>
        </w:rPr>
        <w:t>压滤泥饼为水基泥浆絮凝后经压滤产生的泥饼，属Ⅱ类一般工业固体废物，</w:t>
      </w:r>
      <w:r>
        <w:rPr>
          <w:spacing w:val="-1"/>
        </w:rPr>
        <w:t>产生量约为</w:t>
      </w:r>
      <w:r>
        <w:rPr>
          <w:spacing w:val="-56"/>
        </w:rPr>
        <w:t xml:space="preserve"> </w:t>
      </w:r>
      <w:r>
        <w:rPr>
          <w:rFonts w:ascii="Times New Roman" w:hAnsi="Times New Roman" w:eastAsia="Times New Roman" w:cs="Times New Roman"/>
          <w:spacing w:val="-1"/>
        </w:rPr>
        <w:t>48450t/a</w:t>
      </w:r>
      <w:r>
        <w:rPr>
          <w:spacing w:val="-1"/>
        </w:rPr>
        <w:t>，拉运至乌海市科兆恒升环保建材有限责任公司</w:t>
      </w:r>
      <w:r>
        <w:rPr>
          <w:spacing w:val="-2"/>
        </w:rPr>
        <w:t>一分公司填</w:t>
      </w:r>
      <w:r>
        <w:rPr>
          <w:spacing w:val="-3"/>
        </w:rPr>
        <w:t>埋场填埋。确保压滤泥饼含水率</w:t>
      </w:r>
      <w:r>
        <w:rPr>
          <w:spacing w:val="-33"/>
        </w:rPr>
        <w:t xml:space="preserve"> </w:t>
      </w:r>
      <w:r>
        <w:rPr>
          <w:rFonts w:ascii="Times New Roman" w:hAnsi="Times New Roman" w:eastAsia="Times New Roman" w:cs="Times New Roman"/>
          <w:spacing w:val="-3"/>
        </w:rPr>
        <w:t>60%</w:t>
      </w:r>
      <w:r>
        <w:rPr>
          <w:spacing w:val="-3"/>
        </w:rPr>
        <w:t>以下。</w:t>
      </w:r>
    </w:p>
    <w:p w14:paraId="0B4EE7F3">
      <w:pPr>
        <w:pStyle w:val="2"/>
        <w:spacing w:before="1" w:line="232" w:lineRule="auto"/>
        <w:ind w:left="498"/>
      </w:pPr>
      <w:r>
        <w:rPr>
          <w:rFonts w:ascii="Times New Roman" w:hAnsi="Times New Roman" w:eastAsia="Times New Roman" w:cs="Times New Roman"/>
          <w:spacing w:val="-4"/>
        </w:rPr>
        <w:t>4</w:t>
      </w:r>
      <w:r>
        <w:rPr>
          <w:rFonts w:ascii="Times New Roman" w:hAnsi="Times New Roman" w:eastAsia="Times New Roman" w:cs="Times New Roman"/>
          <w:spacing w:val="-28"/>
        </w:rPr>
        <w:t xml:space="preserve"> </w:t>
      </w:r>
      <w:r>
        <w:rPr>
          <w:spacing w:val="-4"/>
        </w:rPr>
        <w:t>、废药剂包装材料</w:t>
      </w:r>
    </w:p>
    <w:p w14:paraId="256EC063">
      <w:pPr>
        <w:pStyle w:val="2"/>
        <w:spacing w:before="161" w:line="352" w:lineRule="auto"/>
        <w:ind w:left="28" w:right="94" w:firstLine="476"/>
      </w:pPr>
      <w:r>
        <w:rPr>
          <w:spacing w:val="-3"/>
        </w:rPr>
        <w:t>本项目所需药剂会产生废包装袋，总产生量约为</w:t>
      </w:r>
      <w:r>
        <w:rPr>
          <w:spacing w:val="-51"/>
        </w:rPr>
        <w:t xml:space="preserve"> </w:t>
      </w:r>
      <w:r>
        <w:rPr>
          <w:rFonts w:ascii="Times New Roman" w:hAnsi="Times New Roman" w:eastAsia="Times New Roman" w:cs="Times New Roman"/>
          <w:spacing w:val="-3"/>
        </w:rPr>
        <w:t>0.</w:t>
      </w:r>
      <w:r>
        <w:rPr>
          <w:rFonts w:ascii="Times New Roman" w:hAnsi="Times New Roman" w:eastAsia="Times New Roman" w:cs="Times New Roman"/>
          <w:spacing w:val="-4"/>
        </w:rPr>
        <w:t>05t/a</w:t>
      </w:r>
      <w:r>
        <w:rPr>
          <w:spacing w:val="-4"/>
        </w:rPr>
        <w:t>，在辅料区指定区域</w:t>
      </w:r>
      <w:r>
        <w:rPr>
          <w:spacing w:val="-3"/>
        </w:rPr>
        <w:t>塑料桶内暂存，定期交由环卫部门清运。</w:t>
      </w:r>
    </w:p>
    <w:p w14:paraId="5EACF5A8">
      <w:pPr>
        <w:pStyle w:val="2"/>
        <w:spacing w:before="21" w:line="234" w:lineRule="auto"/>
        <w:ind w:left="505"/>
      </w:pPr>
      <w:r>
        <w:rPr>
          <w:rFonts w:ascii="Times New Roman" w:hAnsi="Times New Roman" w:eastAsia="Times New Roman" w:cs="Times New Roman"/>
          <w:spacing w:val="-6"/>
        </w:rPr>
        <w:t>5</w:t>
      </w:r>
      <w:r>
        <w:rPr>
          <w:rFonts w:ascii="Times New Roman" w:hAnsi="Times New Roman" w:eastAsia="Times New Roman" w:cs="Times New Roman"/>
          <w:spacing w:val="-34"/>
        </w:rPr>
        <w:t xml:space="preserve"> </w:t>
      </w:r>
      <w:r>
        <w:rPr>
          <w:spacing w:val="-6"/>
        </w:rPr>
        <w:t>、废液压油</w:t>
      </w:r>
    </w:p>
    <w:p w14:paraId="6291DFC0">
      <w:pPr>
        <w:pStyle w:val="2"/>
        <w:spacing w:before="160" w:line="220" w:lineRule="auto"/>
        <w:ind w:right="16"/>
        <w:jc w:val="right"/>
      </w:pPr>
      <w:r>
        <w:rPr>
          <w:spacing w:val="-8"/>
        </w:rPr>
        <w:t>项目废液压油暂存于企业危废暂存库，定期交由有资质单位</w:t>
      </w:r>
      <w:r>
        <w:rPr>
          <w:spacing w:val="-9"/>
        </w:rPr>
        <w:t>处置。验收期间，</w:t>
      </w:r>
    </w:p>
    <w:p w14:paraId="463F9F34">
      <w:pPr>
        <w:spacing w:line="220" w:lineRule="auto"/>
        <w:sectPr>
          <w:footerReference r:id="rId159" w:type="default"/>
          <w:pgSz w:w="11909" w:h="16836"/>
          <w:pgMar w:top="400" w:right="1716" w:bottom="1271" w:left="1786" w:header="0" w:footer="1043" w:gutter="0"/>
          <w:cols w:space="720" w:num="1"/>
        </w:sectPr>
      </w:pPr>
    </w:p>
    <w:p w14:paraId="68DDD270">
      <w:pPr>
        <w:spacing w:line="247" w:lineRule="auto"/>
        <w:rPr>
          <w:rFonts w:ascii="Arial"/>
          <w:sz w:val="21"/>
        </w:rPr>
      </w:pPr>
    </w:p>
    <w:p w14:paraId="526E2FFD">
      <w:pPr>
        <w:spacing w:line="247" w:lineRule="auto"/>
        <w:rPr>
          <w:rFonts w:ascii="Arial"/>
          <w:sz w:val="21"/>
        </w:rPr>
      </w:pPr>
    </w:p>
    <w:p w14:paraId="66604444">
      <w:pPr>
        <w:spacing w:line="247" w:lineRule="auto"/>
        <w:rPr>
          <w:rFonts w:ascii="Arial"/>
          <w:sz w:val="21"/>
        </w:rPr>
      </w:pPr>
    </w:p>
    <w:p w14:paraId="68C42967">
      <w:pPr>
        <w:spacing w:line="248" w:lineRule="auto"/>
        <w:rPr>
          <w:rFonts w:ascii="Arial"/>
          <w:sz w:val="21"/>
        </w:rPr>
      </w:pPr>
    </w:p>
    <w:p w14:paraId="1A79870A">
      <w:pPr>
        <w:pStyle w:val="2"/>
        <w:spacing w:before="78" w:line="220" w:lineRule="auto"/>
        <w:ind w:left="31"/>
      </w:pPr>
      <w:r>
        <w:rPr>
          <w:spacing w:val="-5"/>
        </w:rPr>
        <w:t>暂无废液压油产生量。</w:t>
      </w:r>
    </w:p>
    <w:p w14:paraId="4DEFDFE9">
      <w:pPr>
        <w:pStyle w:val="2"/>
        <w:spacing w:before="181" w:line="233" w:lineRule="auto"/>
        <w:ind w:left="504"/>
      </w:pPr>
      <w:r>
        <w:rPr>
          <w:rFonts w:ascii="Times New Roman" w:hAnsi="Times New Roman" w:eastAsia="Times New Roman" w:cs="Times New Roman"/>
          <w:spacing w:val="-6"/>
        </w:rPr>
        <w:t>6</w:t>
      </w:r>
      <w:r>
        <w:rPr>
          <w:rFonts w:ascii="Times New Roman" w:hAnsi="Times New Roman" w:eastAsia="Times New Roman" w:cs="Times New Roman"/>
          <w:spacing w:val="-33"/>
        </w:rPr>
        <w:t xml:space="preserve"> </w:t>
      </w:r>
      <w:r>
        <w:rPr>
          <w:spacing w:val="-6"/>
        </w:rPr>
        <w:t>、含油抹布</w:t>
      </w:r>
    </w:p>
    <w:p w14:paraId="5B964EC9">
      <w:pPr>
        <w:pStyle w:val="2"/>
        <w:spacing w:before="162" w:line="360" w:lineRule="auto"/>
        <w:ind w:left="52" w:right="11" w:firstLine="454"/>
      </w:pPr>
      <w:r>
        <w:rPr>
          <w:spacing w:val="-3"/>
        </w:rPr>
        <w:t>项目在设备检修及更换液压油时会产生少量含油抹布，经密闭</w:t>
      </w:r>
      <w:r>
        <w:rPr>
          <w:spacing w:val="-4"/>
        </w:rPr>
        <w:t>容器收集后交由环卫部门清运。验收期间暂无含油抹布产生量。</w:t>
      </w:r>
    </w:p>
    <w:p w14:paraId="1811C191">
      <w:pPr>
        <w:pStyle w:val="2"/>
        <w:spacing w:line="234" w:lineRule="auto"/>
        <w:ind w:left="503"/>
      </w:pPr>
      <w:r>
        <w:rPr>
          <w:rFonts w:ascii="Times New Roman" w:hAnsi="Times New Roman" w:eastAsia="Times New Roman" w:cs="Times New Roman"/>
          <w:spacing w:val="-6"/>
        </w:rPr>
        <w:t>7</w:t>
      </w:r>
      <w:r>
        <w:rPr>
          <w:rFonts w:ascii="Times New Roman" w:hAnsi="Times New Roman" w:eastAsia="Times New Roman" w:cs="Times New Roman"/>
          <w:spacing w:val="-31"/>
        </w:rPr>
        <w:t xml:space="preserve"> </w:t>
      </w:r>
      <w:r>
        <w:rPr>
          <w:spacing w:val="-6"/>
        </w:rPr>
        <w:t>、生活垃圾</w:t>
      </w:r>
    </w:p>
    <w:p w14:paraId="5463227E">
      <w:pPr>
        <w:pStyle w:val="2"/>
        <w:spacing w:before="164" w:line="349" w:lineRule="auto"/>
        <w:ind w:left="29" w:right="67" w:firstLine="475"/>
      </w:pPr>
      <w:r>
        <w:rPr>
          <w:spacing w:val="-2"/>
        </w:rPr>
        <w:t>本项目生活垃圾约为</w:t>
      </w:r>
      <w:r>
        <w:rPr>
          <w:spacing w:val="-26"/>
        </w:rPr>
        <w:t xml:space="preserve"> </w:t>
      </w:r>
      <w:r>
        <w:rPr>
          <w:rFonts w:ascii="Times New Roman" w:hAnsi="Times New Roman" w:eastAsia="Times New Roman" w:cs="Times New Roman"/>
          <w:spacing w:val="-2"/>
        </w:rPr>
        <w:t>1.2t/a</w:t>
      </w:r>
      <w:r>
        <w:rPr>
          <w:spacing w:val="-2"/>
        </w:rPr>
        <w:t>，项目区设垃圾桶收集生活垃圾，委托环卫部门</w:t>
      </w:r>
      <w:r>
        <w:rPr>
          <w:spacing w:val="-5"/>
        </w:rPr>
        <w:t>定期清运，不外排。</w:t>
      </w:r>
    </w:p>
    <w:p w14:paraId="332F6CC6">
      <w:pPr>
        <w:pStyle w:val="2"/>
        <w:spacing w:before="24" w:line="220" w:lineRule="auto"/>
        <w:ind w:left="530"/>
      </w:pPr>
      <w:r>
        <w:rPr>
          <w:b/>
          <w:bCs/>
          <w:spacing w:val="-5"/>
        </w:rPr>
        <w:t>四、环境保护设施调试效果</w:t>
      </w:r>
    </w:p>
    <w:p w14:paraId="3549C661">
      <w:pPr>
        <w:pStyle w:val="2"/>
        <w:spacing w:before="182" w:line="234" w:lineRule="auto"/>
        <w:ind w:left="514"/>
      </w:pPr>
      <w:r>
        <w:rPr>
          <w:rFonts w:ascii="Times New Roman" w:hAnsi="Times New Roman" w:eastAsia="Times New Roman" w:cs="Times New Roman"/>
          <w:b/>
          <w:bCs/>
          <w:spacing w:val="-10"/>
        </w:rPr>
        <w:t>1</w:t>
      </w:r>
      <w:r>
        <w:rPr>
          <w:rFonts w:ascii="Times New Roman" w:hAnsi="Times New Roman" w:eastAsia="Times New Roman" w:cs="Times New Roman"/>
          <w:b/>
          <w:bCs/>
          <w:spacing w:val="-32"/>
        </w:rPr>
        <w:t xml:space="preserve"> </w:t>
      </w:r>
      <w:r>
        <w:rPr>
          <w:b/>
          <w:bCs/>
          <w:spacing w:val="-10"/>
        </w:rPr>
        <w:t>、噪声</w:t>
      </w:r>
    </w:p>
    <w:p w14:paraId="07956DDE">
      <w:pPr>
        <w:pStyle w:val="2"/>
        <w:spacing w:before="160" w:line="360" w:lineRule="auto"/>
        <w:ind w:left="24" w:right="648" w:firstLine="479"/>
      </w:pPr>
      <w:r>
        <w:rPr>
          <w:spacing w:val="-1"/>
        </w:rPr>
        <w:t>检测结果表明：厂界噪声均符合《工业企业厂界环境噪声排放标准》</w:t>
      </w:r>
      <w:r>
        <w:rPr>
          <w:spacing w:val="12"/>
        </w:rPr>
        <w:t xml:space="preserve"> </w:t>
      </w:r>
      <w:r>
        <w:rPr>
          <w:rFonts w:ascii="Times New Roman" w:hAnsi="Times New Roman" w:eastAsia="Times New Roman" w:cs="Times New Roman"/>
          <w:spacing w:val="-4"/>
        </w:rPr>
        <w:t>(GB12348-2008)</w:t>
      </w:r>
      <w:r>
        <w:rPr>
          <w:rFonts w:ascii="Times New Roman" w:hAnsi="Times New Roman" w:eastAsia="Times New Roman" w:cs="Times New Roman"/>
          <w:spacing w:val="22"/>
        </w:rPr>
        <w:t xml:space="preserve">  </w:t>
      </w:r>
      <w:r>
        <w:rPr>
          <w:spacing w:val="-4"/>
        </w:rPr>
        <w:t>中</w:t>
      </w:r>
      <w:r>
        <w:rPr>
          <w:spacing w:val="-51"/>
        </w:rPr>
        <w:t xml:space="preserve"> </w:t>
      </w:r>
      <w:r>
        <w:rPr>
          <w:rFonts w:ascii="Times New Roman" w:hAnsi="Times New Roman" w:eastAsia="Times New Roman" w:cs="Times New Roman"/>
          <w:spacing w:val="-4"/>
        </w:rPr>
        <w:t xml:space="preserve">3 </w:t>
      </w:r>
      <w:r>
        <w:rPr>
          <w:spacing w:val="-4"/>
        </w:rPr>
        <w:t>类标准限值。</w:t>
      </w:r>
    </w:p>
    <w:p w14:paraId="10564A03">
      <w:pPr>
        <w:pStyle w:val="2"/>
        <w:spacing w:line="220" w:lineRule="auto"/>
        <w:ind w:left="511"/>
      </w:pPr>
      <w:r>
        <w:rPr>
          <w:b/>
          <w:bCs/>
          <w:spacing w:val="-4"/>
        </w:rPr>
        <w:t>五、项目建设对环境的影响</w:t>
      </w:r>
    </w:p>
    <w:p w14:paraId="433EF6AA">
      <w:pPr>
        <w:pStyle w:val="2"/>
        <w:spacing w:before="181" w:line="359" w:lineRule="auto"/>
        <w:ind w:left="69" w:right="14" w:firstLine="435"/>
      </w:pPr>
      <w:r>
        <w:rPr>
          <w:spacing w:val="-3"/>
        </w:rPr>
        <w:t>本项目噪声排放达到排放标准，固体废物按照相关规定妥善处</w:t>
      </w:r>
      <w:r>
        <w:rPr>
          <w:spacing w:val="-4"/>
        </w:rPr>
        <w:t>置，因此本项</w:t>
      </w:r>
      <w:r>
        <w:rPr>
          <w:spacing w:val="-9"/>
        </w:rPr>
        <w:t>目对环境影响较小。</w:t>
      </w:r>
    </w:p>
    <w:p w14:paraId="5377DC1A">
      <w:pPr>
        <w:pStyle w:val="2"/>
        <w:spacing w:before="1" w:line="219" w:lineRule="auto"/>
        <w:ind w:left="509"/>
      </w:pPr>
      <w:r>
        <w:rPr>
          <w:b/>
          <w:bCs/>
          <w:spacing w:val="-4"/>
        </w:rPr>
        <w:t>六、验收结论</w:t>
      </w:r>
    </w:p>
    <w:p w14:paraId="7EDAE790">
      <w:pPr>
        <w:pStyle w:val="2"/>
        <w:spacing w:before="182" w:line="362" w:lineRule="auto"/>
        <w:ind w:left="24" w:right="126" w:firstLine="477"/>
      </w:pPr>
      <w:r>
        <w:rPr>
          <w:spacing w:val="1"/>
        </w:rPr>
        <w:t>对照《建设项目竣工环境保护验收暂行办法》中相关规定</w:t>
      </w:r>
      <w:r>
        <w:t>与要求，内蒙古</w:t>
      </w:r>
      <w:r>
        <w:rPr>
          <w:spacing w:val="13"/>
        </w:rPr>
        <w:t>众宁环保科技有限公司油气田废弃物集中处理厂建设项目验收合格。</w:t>
      </w:r>
    </w:p>
    <w:p w14:paraId="0F20EA4C">
      <w:pPr>
        <w:spacing w:line="327" w:lineRule="auto"/>
        <w:rPr>
          <w:rFonts w:ascii="Arial"/>
          <w:sz w:val="21"/>
        </w:rPr>
      </w:pPr>
    </w:p>
    <w:p w14:paraId="70E7CF39">
      <w:pPr>
        <w:pStyle w:val="2"/>
        <w:spacing w:before="78" w:line="219" w:lineRule="auto"/>
        <w:ind w:right="8"/>
        <w:jc w:val="right"/>
      </w:pPr>
      <w:r>
        <w:rPr>
          <w:spacing w:val="-3"/>
        </w:rPr>
        <w:t>内蒙古众宁环保科技有限公司</w:t>
      </w:r>
    </w:p>
    <w:p w14:paraId="3C5BB3FC">
      <w:pPr>
        <w:spacing w:line="248" w:lineRule="auto"/>
        <w:rPr>
          <w:rFonts w:ascii="Arial"/>
          <w:sz w:val="21"/>
        </w:rPr>
      </w:pPr>
    </w:p>
    <w:p w14:paraId="34DFBAE9">
      <w:pPr>
        <w:spacing w:line="248" w:lineRule="auto"/>
        <w:rPr>
          <w:rFonts w:ascii="Arial"/>
          <w:sz w:val="21"/>
        </w:rPr>
      </w:pPr>
    </w:p>
    <w:p w14:paraId="74F0BB08">
      <w:pPr>
        <w:spacing w:line="248" w:lineRule="auto"/>
        <w:rPr>
          <w:rFonts w:ascii="Arial"/>
          <w:sz w:val="21"/>
        </w:rPr>
      </w:pPr>
    </w:p>
    <w:p w14:paraId="5DDBC0C8">
      <w:pPr>
        <w:spacing w:line="248" w:lineRule="auto"/>
        <w:rPr>
          <w:rFonts w:ascii="Arial"/>
          <w:sz w:val="21"/>
        </w:rPr>
      </w:pPr>
    </w:p>
    <w:p w14:paraId="26710CC2">
      <w:pPr>
        <w:pStyle w:val="2"/>
        <w:spacing w:before="78" w:line="233" w:lineRule="auto"/>
        <w:jc w:val="right"/>
      </w:pPr>
      <w:r>
        <w:rPr>
          <w:rFonts w:ascii="Times New Roman" w:hAnsi="Times New Roman" w:eastAsia="Times New Roman" w:cs="Times New Roman"/>
          <w:spacing w:val="-12"/>
        </w:rPr>
        <w:t>2025</w:t>
      </w:r>
      <w:r>
        <w:rPr>
          <w:rFonts w:ascii="Times New Roman" w:hAnsi="Times New Roman" w:eastAsia="Times New Roman" w:cs="Times New Roman"/>
          <w:spacing w:val="15"/>
          <w:w w:val="101"/>
        </w:rPr>
        <w:t xml:space="preserve"> </w:t>
      </w:r>
      <w:r>
        <w:rPr>
          <w:spacing w:val="-12"/>
        </w:rPr>
        <w:t>年</w:t>
      </w:r>
      <w:r>
        <w:rPr>
          <w:spacing w:val="-32"/>
        </w:rPr>
        <w:t xml:space="preserve"> </w:t>
      </w:r>
      <w:r>
        <w:rPr>
          <w:rFonts w:ascii="Times New Roman" w:hAnsi="Times New Roman" w:eastAsia="Times New Roman" w:cs="Times New Roman"/>
          <w:spacing w:val="-12"/>
        </w:rPr>
        <w:t>1</w:t>
      </w:r>
      <w:r>
        <w:rPr>
          <w:rFonts w:ascii="Times New Roman" w:hAnsi="Times New Roman" w:eastAsia="Times New Roman" w:cs="Times New Roman"/>
          <w:spacing w:val="15"/>
        </w:rPr>
        <w:t xml:space="preserve"> </w:t>
      </w:r>
      <w:r>
        <w:rPr>
          <w:spacing w:val="-12"/>
        </w:rPr>
        <w:t>月</w:t>
      </w:r>
      <w:r>
        <w:rPr>
          <w:spacing w:val="-55"/>
        </w:rPr>
        <w:t xml:space="preserve"> </w:t>
      </w:r>
      <w:r>
        <w:rPr>
          <w:rFonts w:ascii="Times New Roman" w:hAnsi="Times New Roman" w:eastAsia="Times New Roman" w:cs="Times New Roman"/>
          <w:spacing w:val="-12"/>
        </w:rPr>
        <w:t>24</w:t>
      </w:r>
      <w:r>
        <w:rPr>
          <w:rFonts w:ascii="Times New Roman" w:hAnsi="Times New Roman" w:eastAsia="Times New Roman" w:cs="Times New Roman"/>
          <w:spacing w:val="50"/>
          <w:w w:val="101"/>
        </w:rPr>
        <w:t xml:space="preserve"> </w:t>
      </w:r>
      <w:r>
        <w:rPr>
          <w:spacing w:val="-12"/>
        </w:rPr>
        <w:t>日</w:t>
      </w:r>
    </w:p>
    <w:p w14:paraId="50721064">
      <w:pPr>
        <w:spacing w:line="233" w:lineRule="auto"/>
        <w:sectPr>
          <w:footerReference r:id="rId160" w:type="default"/>
          <w:pgSz w:w="11909" w:h="16836"/>
          <w:pgMar w:top="400" w:right="1786" w:bottom="1271" w:left="1786" w:header="0" w:footer="1043" w:gutter="0"/>
          <w:cols w:space="720" w:num="1"/>
        </w:sectPr>
      </w:pPr>
    </w:p>
    <w:p w14:paraId="39F5321B">
      <w:pPr>
        <w:spacing w:line="258" w:lineRule="auto"/>
        <w:rPr>
          <w:rFonts w:ascii="Arial"/>
          <w:sz w:val="21"/>
        </w:rPr>
      </w:pPr>
    </w:p>
    <w:p w14:paraId="5A7A8009">
      <w:pPr>
        <w:spacing w:line="258" w:lineRule="auto"/>
        <w:rPr>
          <w:rFonts w:ascii="Arial"/>
          <w:sz w:val="21"/>
        </w:rPr>
      </w:pPr>
    </w:p>
    <w:p w14:paraId="239C8E08">
      <w:pPr>
        <w:spacing w:line="258" w:lineRule="auto"/>
        <w:rPr>
          <w:rFonts w:ascii="Arial"/>
          <w:sz w:val="21"/>
        </w:rPr>
      </w:pPr>
    </w:p>
    <w:p w14:paraId="49DD53BE">
      <w:pPr>
        <w:spacing w:line="259" w:lineRule="auto"/>
        <w:rPr>
          <w:rFonts w:ascii="Arial"/>
          <w:sz w:val="21"/>
        </w:rPr>
      </w:pPr>
    </w:p>
    <w:p w14:paraId="42FC4C7B">
      <w:pPr>
        <w:spacing w:line="13948" w:lineRule="exact"/>
        <w:ind w:firstLine="17"/>
      </w:pPr>
      <w:r>
        <w:rPr>
          <w:position w:val="-278"/>
        </w:rPr>
        <w:drawing>
          <wp:inline distT="0" distB="0" distL="0" distR="0">
            <wp:extent cx="5273040" cy="8856980"/>
            <wp:effectExtent l="0" t="0" r="0" b="0"/>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258"/>
                    <a:stretch>
                      <a:fillRect/>
                    </a:stretch>
                  </pic:blipFill>
                  <pic:spPr>
                    <a:xfrm>
                      <a:off x="0" y="0"/>
                      <a:ext cx="5273040" cy="8856980"/>
                    </a:xfrm>
                    <a:prstGeom prst="rect">
                      <a:avLst/>
                    </a:prstGeom>
                  </pic:spPr>
                </pic:pic>
              </a:graphicData>
            </a:graphic>
          </wp:inline>
        </w:drawing>
      </w:r>
    </w:p>
    <w:p w14:paraId="41F3375B">
      <w:pPr>
        <w:spacing w:line="13948" w:lineRule="exact"/>
        <w:sectPr>
          <w:footerReference r:id="rId161" w:type="default"/>
          <w:pgSz w:w="11909" w:h="16836"/>
          <w:pgMar w:top="400" w:right="1786" w:bottom="1271" w:left="1786" w:header="0" w:footer="1043" w:gutter="0"/>
          <w:cols w:space="720" w:num="1"/>
        </w:sectPr>
      </w:pPr>
    </w:p>
    <w:p w14:paraId="574ABF7E">
      <w:pPr>
        <w:spacing w:line="258" w:lineRule="auto"/>
        <w:rPr>
          <w:rFonts w:ascii="Arial"/>
          <w:sz w:val="21"/>
        </w:rPr>
      </w:pPr>
    </w:p>
    <w:p w14:paraId="6BD34867">
      <w:pPr>
        <w:spacing w:line="258" w:lineRule="auto"/>
        <w:rPr>
          <w:rFonts w:ascii="Arial"/>
          <w:sz w:val="21"/>
        </w:rPr>
      </w:pPr>
    </w:p>
    <w:p w14:paraId="06032E88">
      <w:pPr>
        <w:spacing w:line="258" w:lineRule="auto"/>
        <w:rPr>
          <w:rFonts w:ascii="Arial"/>
          <w:sz w:val="21"/>
        </w:rPr>
      </w:pPr>
    </w:p>
    <w:p w14:paraId="2C5C5AA6">
      <w:pPr>
        <w:spacing w:line="259" w:lineRule="auto"/>
        <w:rPr>
          <w:rFonts w:ascii="Arial"/>
          <w:sz w:val="21"/>
        </w:rPr>
      </w:pPr>
    </w:p>
    <w:p w14:paraId="7BA989F6">
      <w:pPr>
        <w:spacing w:line="13788" w:lineRule="exact"/>
        <w:ind w:firstLine="21"/>
      </w:pPr>
      <w:r>
        <w:rPr>
          <w:position w:val="-275"/>
        </w:rPr>
        <w:drawing>
          <wp:inline distT="0" distB="0" distL="0" distR="0">
            <wp:extent cx="5270500" cy="8755380"/>
            <wp:effectExtent l="0" t="0" r="0" b="0"/>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259"/>
                    <a:stretch>
                      <a:fillRect/>
                    </a:stretch>
                  </pic:blipFill>
                  <pic:spPr>
                    <a:xfrm>
                      <a:off x="0" y="0"/>
                      <a:ext cx="5270500" cy="8755380"/>
                    </a:xfrm>
                    <a:prstGeom prst="rect">
                      <a:avLst/>
                    </a:prstGeom>
                  </pic:spPr>
                </pic:pic>
              </a:graphicData>
            </a:graphic>
          </wp:inline>
        </w:drawing>
      </w:r>
    </w:p>
    <w:p w14:paraId="6158E093">
      <w:pPr>
        <w:spacing w:line="13788" w:lineRule="exact"/>
        <w:sectPr>
          <w:footerReference r:id="rId162" w:type="default"/>
          <w:pgSz w:w="11909" w:h="16836"/>
          <w:pgMar w:top="400" w:right="1786" w:bottom="1271" w:left="1786" w:header="0" w:footer="1043" w:gutter="0"/>
          <w:cols w:space="720" w:num="1"/>
        </w:sectPr>
      </w:pPr>
    </w:p>
    <w:p w14:paraId="2300240D">
      <w:pPr>
        <w:spacing w:line="352" w:lineRule="auto"/>
        <w:rPr>
          <w:rFonts w:ascii="Arial"/>
          <w:sz w:val="21"/>
        </w:rPr>
      </w:pPr>
    </w:p>
    <w:p w14:paraId="76908D34">
      <w:pPr>
        <w:spacing w:line="352" w:lineRule="auto"/>
        <w:rPr>
          <w:rFonts w:ascii="Arial"/>
          <w:sz w:val="21"/>
        </w:rPr>
      </w:pPr>
    </w:p>
    <w:p w14:paraId="2BF5ECD7">
      <w:pPr>
        <w:spacing w:line="14491" w:lineRule="exact"/>
      </w:pPr>
      <w:r>
        <w:rPr>
          <w:position w:val="-289"/>
        </w:rPr>
        <w:drawing>
          <wp:inline distT="0" distB="0" distL="0" distR="0">
            <wp:extent cx="6507480" cy="9201150"/>
            <wp:effectExtent l="0" t="0" r="0" b="0"/>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260"/>
                    <a:stretch>
                      <a:fillRect/>
                    </a:stretch>
                  </pic:blipFill>
                  <pic:spPr>
                    <a:xfrm>
                      <a:off x="0" y="0"/>
                      <a:ext cx="6507480" cy="9201784"/>
                    </a:xfrm>
                    <a:prstGeom prst="rect">
                      <a:avLst/>
                    </a:prstGeom>
                  </pic:spPr>
                </pic:pic>
              </a:graphicData>
            </a:graphic>
          </wp:inline>
        </w:drawing>
      </w:r>
    </w:p>
    <w:p w14:paraId="7F163452">
      <w:pPr>
        <w:spacing w:line="14491" w:lineRule="exact"/>
        <w:sectPr>
          <w:footerReference r:id="rId163" w:type="default"/>
          <w:pgSz w:w="11909" w:h="16836"/>
          <w:pgMar w:top="400" w:right="841" w:bottom="400" w:left="818" w:header="0" w:footer="0" w:gutter="0"/>
          <w:cols w:space="720" w:num="1"/>
        </w:sectPr>
      </w:pPr>
    </w:p>
    <w:p w14:paraId="68C4E0DC">
      <w:pPr>
        <w:spacing w:line="468" w:lineRule="auto"/>
        <w:rPr>
          <w:rFonts w:ascii="Arial"/>
          <w:sz w:val="21"/>
        </w:rPr>
      </w:pPr>
    </w:p>
    <w:p w14:paraId="45305EF7">
      <w:pPr>
        <w:spacing w:line="14568" w:lineRule="exact"/>
      </w:pPr>
      <w:r>
        <w:rPr>
          <w:position w:val="-291"/>
        </w:rPr>
        <w:drawing>
          <wp:inline distT="0" distB="0" distL="0" distR="0">
            <wp:extent cx="6291580" cy="9250680"/>
            <wp:effectExtent l="0" t="0" r="0" b="0"/>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261"/>
                    <a:stretch>
                      <a:fillRect/>
                    </a:stretch>
                  </pic:blipFill>
                  <pic:spPr>
                    <a:xfrm>
                      <a:off x="0" y="0"/>
                      <a:ext cx="6292214" cy="9251188"/>
                    </a:xfrm>
                    <a:prstGeom prst="rect">
                      <a:avLst/>
                    </a:prstGeom>
                  </pic:spPr>
                </pic:pic>
              </a:graphicData>
            </a:graphic>
          </wp:inline>
        </w:drawing>
      </w:r>
    </w:p>
    <w:p w14:paraId="5A7E576F">
      <w:pPr>
        <w:spacing w:line="14568" w:lineRule="exact"/>
        <w:sectPr>
          <w:pgSz w:w="11909" w:h="16836"/>
          <w:pgMar w:top="400" w:right="1011" w:bottom="400" w:left="988" w:header="0" w:footer="0" w:gutter="0"/>
          <w:cols w:space="720" w:num="1"/>
        </w:sectPr>
      </w:pPr>
    </w:p>
    <w:p w14:paraId="6FEEE35F">
      <w:pPr>
        <w:spacing w:line="472" w:lineRule="auto"/>
        <w:rPr>
          <w:rFonts w:ascii="Arial"/>
          <w:sz w:val="21"/>
        </w:rPr>
      </w:pPr>
    </w:p>
    <w:p w14:paraId="066372B1">
      <w:pPr>
        <w:spacing w:line="14569" w:lineRule="exact"/>
      </w:pPr>
      <w:r>
        <w:rPr>
          <w:position w:val="-291"/>
        </w:rPr>
        <w:drawing>
          <wp:inline distT="0" distB="0" distL="0" distR="0">
            <wp:extent cx="5979795" cy="9251315"/>
            <wp:effectExtent l="0" t="0" r="0" b="0"/>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262"/>
                    <a:stretch>
                      <a:fillRect/>
                    </a:stretch>
                  </pic:blipFill>
                  <pic:spPr>
                    <a:xfrm>
                      <a:off x="0" y="0"/>
                      <a:ext cx="5980429" cy="9251442"/>
                    </a:xfrm>
                    <a:prstGeom prst="rect">
                      <a:avLst/>
                    </a:prstGeom>
                  </pic:spPr>
                </pic:pic>
              </a:graphicData>
            </a:graphic>
          </wp:inline>
        </w:drawing>
      </w:r>
    </w:p>
    <w:p w14:paraId="10E01B5A">
      <w:pPr>
        <w:spacing w:line="14569" w:lineRule="exact"/>
        <w:sectPr>
          <w:pgSz w:w="11909" w:h="16836"/>
          <w:pgMar w:top="400" w:right="1296" w:bottom="400" w:left="1194" w:header="0" w:footer="0" w:gutter="0"/>
          <w:cols w:space="720" w:num="1"/>
        </w:sectPr>
      </w:pPr>
    </w:p>
    <w:p w14:paraId="1F0D6243">
      <w:pPr>
        <w:spacing w:line="473" w:lineRule="auto"/>
        <w:rPr>
          <w:rFonts w:ascii="Arial"/>
          <w:sz w:val="21"/>
        </w:rPr>
      </w:pPr>
    </w:p>
    <w:p w14:paraId="6ADA8232">
      <w:pPr>
        <w:spacing w:line="14569" w:lineRule="exact"/>
      </w:pPr>
      <w:r>
        <w:rPr>
          <w:position w:val="-291"/>
        </w:rPr>
        <w:drawing>
          <wp:inline distT="0" distB="0" distL="0" distR="0">
            <wp:extent cx="6100445" cy="9251315"/>
            <wp:effectExtent l="0" t="0" r="0" b="0"/>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263"/>
                    <a:stretch>
                      <a:fillRect/>
                    </a:stretch>
                  </pic:blipFill>
                  <pic:spPr>
                    <a:xfrm>
                      <a:off x="0" y="0"/>
                      <a:ext cx="6101079" cy="9251569"/>
                    </a:xfrm>
                    <a:prstGeom prst="rect">
                      <a:avLst/>
                    </a:prstGeom>
                  </pic:spPr>
                </pic:pic>
              </a:graphicData>
            </a:graphic>
          </wp:inline>
        </w:drawing>
      </w:r>
    </w:p>
    <w:p w14:paraId="771D36C7">
      <w:pPr>
        <w:spacing w:line="14569" w:lineRule="exact"/>
        <w:sectPr>
          <w:pgSz w:w="11909" w:h="16836"/>
          <w:pgMar w:top="400" w:right="1192" w:bottom="400" w:left="1108" w:header="0" w:footer="0" w:gutter="0"/>
          <w:cols w:space="720" w:num="1"/>
        </w:sectPr>
      </w:pPr>
    </w:p>
    <w:p w14:paraId="1D681818">
      <w:pPr>
        <w:spacing w:line="447" w:lineRule="auto"/>
        <w:rPr>
          <w:rFonts w:ascii="Arial"/>
          <w:sz w:val="21"/>
        </w:rPr>
      </w:pPr>
    </w:p>
    <w:p w14:paraId="1C85D8EF">
      <w:pPr>
        <w:spacing w:line="14569" w:lineRule="exact"/>
      </w:pPr>
      <w:r>
        <w:rPr>
          <w:position w:val="-291"/>
        </w:rPr>
        <w:drawing>
          <wp:inline distT="0" distB="0" distL="0" distR="0">
            <wp:extent cx="6086475" cy="9251315"/>
            <wp:effectExtent l="0" t="0" r="0" b="0"/>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264"/>
                    <a:stretch>
                      <a:fillRect/>
                    </a:stretch>
                  </pic:blipFill>
                  <pic:spPr>
                    <a:xfrm>
                      <a:off x="0" y="0"/>
                      <a:ext cx="6087109" cy="9251569"/>
                    </a:xfrm>
                    <a:prstGeom prst="rect">
                      <a:avLst/>
                    </a:prstGeom>
                  </pic:spPr>
                </pic:pic>
              </a:graphicData>
            </a:graphic>
          </wp:inline>
        </w:drawing>
      </w:r>
    </w:p>
    <w:p w14:paraId="4C32D5AC">
      <w:pPr>
        <w:spacing w:line="14569" w:lineRule="exact"/>
        <w:sectPr>
          <w:pgSz w:w="11909" w:h="16836"/>
          <w:pgMar w:top="400" w:right="1168" w:bottom="400" w:left="1153" w:header="0" w:footer="0" w:gutter="0"/>
          <w:cols w:space="720" w:num="1"/>
        </w:sectPr>
      </w:pPr>
    </w:p>
    <w:p w14:paraId="1919A536">
      <w:pPr>
        <w:spacing w:line="465" w:lineRule="auto"/>
        <w:rPr>
          <w:rFonts w:ascii="Arial"/>
          <w:sz w:val="21"/>
        </w:rPr>
      </w:pPr>
    </w:p>
    <w:p w14:paraId="3B9D8EA9">
      <w:pPr>
        <w:spacing w:line="14569" w:lineRule="exact"/>
      </w:pPr>
      <w:r>
        <w:rPr>
          <w:position w:val="-291"/>
        </w:rPr>
        <w:drawing>
          <wp:inline distT="0" distB="0" distL="0" distR="0">
            <wp:extent cx="5956300" cy="9251315"/>
            <wp:effectExtent l="0" t="0" r="0" b="0"/>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265"/>
                    <a:stretch>
                      <a:fillRect/>
                    </a:stretch>
                  </pic:blipFill>
                  <pic:spPr>
                    <a:xfrm>
                      <a:off x="0" y="0"/>
                      <a:ext cx="5956300" cy="9251442"/>
                    </a:xfrm>
                    <a:prstGeom prst="rect">
                      <a:avLst/>
                    </a:prstGeom>
                  </pic:spPr>
                </pic:pic>
              </a:graphicData>
            </a:graphic>
          </wp:inline>
        </w:drawing>
      </w:r>
    </w:p>
    <w:p w14:paraId="69F1E841">
      <w:pPr>
        <w:spacing w:line="14569" w:lineRule="exact"/>
        <w:sectPr>
          <w:pgSz w:w="11909" w:h="16836"/>
          <w:pgMar w:top="400" w:right="1267" w:bottom="400" w:left="1260" w:header="0" w:footer="0" w:gutter="0"/>
          <w:cols w:space="720" w:num="1"/>
        </w:sectPr>
      </w:pPr>
    </w:p>
    <w:p w14:paraId="2862BF7B">
      <w:pPr>
        <w:spacing w:line="479" w:lineRule="auto"/>
        <w:rPr>
          <w:rFonts w:ascii="Arial"/>
          <w:sz w:val="21"/>
        </w:rPr>
      </w:pPr>
    </w:p>
    <w:p w14:paraId="22A2106E">
      <w:pPr>
        <w:spacing w:line="14569" w:lineRule="exact"/>
      </w:pPr>
      <w:r>
        <w:rPr>
          <w:position w:val="-291"/>
        </w:rPr>
        <w:drawing>
          <wp:inline distT="0" distB="0" distL="0" distR="0">
            <wp:extent cx="6518910" cy="9251315"/>
            <wp:effectExtent l="0" t="0" r="0" b="0"/>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266"/>
                    <a:stretch>
                      <a:fillRect/>
                    </a:stretch>
                  </pic:blipFill>
                  <pic:spPr>
                    <a:xfrm>
                      <a:off x="0" y="0"/>
                      <a:ext cx="6519544" cy="9251823"/>
                    </a:xfrm>
                    <a:prstGeom prst="rect">
                      <a:avLst/>
                    </a:prstGeom>
                  </pic:spPr>
                </pic:pic>
              </a:graphicData>
            </a:graphic>
          </wp:inline>
        </w:drawing>
      </w:r>
    </w:p>
    <w:p w14:paraId="64360F73">
      <w:pPr>
        <w:spacing w:line="14569" w:lineRule="exact"/>
        <w:sectPr>
          <w:pgSz w:w="11909" w:h="16836"/>
          <w:pgMar w:top="400" w:right="828" w:bottom="400" w:left="812" w:header="0" w:footer="0" w:gutter="0"/>
          <w:cols w:space="720" w:num="1"/>
        </w:sectPr>
      </w:pPr>
    </w:p>
    <w:p w14:paraId="61184CC6">
      <w:pPr>
        <w:spacing w:line="271" w:lineRule="auto"/>
        <w:rPr>
          <w:rFonts w:ascii="Arial"/>
          <w:sz w:val="21"/>
        </w:rPr>
      </w:pPr>
    </w:p>
    <w:p w14:paraId="560C6C5F">
      <w:pPr>
        <w:spacing w:line="271" w:lineRule="auto"/>
        <w:rPr>
          <w:rFonts w:ascii="Arial"/>
          <w:sz w:val="21"/>
        </w:rPr>
      </w:pPr>
    </w:p>
    <w:p w14:paraId="79DC0DE6">
      <w:pPr>
        <w:spacing w:line="272" w:lineRule="auto"/>
        <w:rPr>
          <w:rFonts w:ascii="Arial"/>
          <w:sz w:val="21"/>
        </w:rPr>
      </w:pPr>
    </w:p>
    <w:p w14:paraId="26D6A106">
      <w:pPr>
        <w:spacing w:line="272" w:lineRule="auto"/>
        <w:rPr>
          <w:rFonts w:ascii="Arial"/>
          <w:sz w:val="21"/>
        </w:rPr>
      </w:pPr>
    </w:p>
    <w:p w14:paraId="26DD6B68">
      <w:pPr>
        <w:pStyle w:val="2"/>
        <w:spacing w:before="101" w:line="225" w:lineRule="auto"/>
        <w:ind w:left="721"/>
        <w:rPr>
          <w:sz w:val="31"/>
          <w:szCs w:val="31"/>
        </w:rPr>
      </w:pPr>
      <w:r>
        <w:rPr>
          <w:b/>
          <w:bCs/>
          <w:spacing w:val="2"/>
          <w:sz w:val="31"/>
          <w:szCs w:val="31"/>
        </w:rPr>
        <w:t>中国石油天然气股份有限公司巴彦勘探开发分公司</w:t>
      </w:r>
    </w:p>
    <w:p w14:paraId="79FFEAFA">
      <w:pPr>
        <w:pStyle w:val="2"/>
        <w:spacing w:before="246" w:line="225" w:lineRule="auto"/>
        <w:ind w:left="1205"/>
        <w:rPr>
          <w:sz w:val="31"/>
          <w:szCs w:val="31"/>
        </w:rPr>
      </w:pPr>
      <w:r>
        <w:rPr>
          <w:b/>
          <w:bCs/>
          <w:spacing w:val="4"/>
          <w:sz w:val="31"/>
          <w:szCs w:val="31"/>
        </w:rPr>
        <w:t>巴彦油田兴华区块（兴华</w:t>
      </w:r>
      <w:r>
        <w:rPr>
          <w:spacing w:val="-53"/>
          <w:sz w:val="31"/>
          <w:szCs w:val="31"/>
        </w:rPr>
        <w:t xml:space="preserve"> </w:t>
      </w:r>
      <w:r>
        <w:rPr>
          <w:rFonts w:ascii="Times New Roman" w:hAnsi="Times New Roman" w:eastAsia="Times New Roman" w:cs="Times New Roman"/>
          <w:b/>
          <w:bCs/>
          <w:spacing w:val="4"/>
          <w:sz w:val="31"/>
          <w:szCs w:val="31"/>
        </w:rPr>
        <w:t>1</w:t>
      </w:r>
      <w:r>
        <w:rPr>
          <w:b/>
          <w:bCs/>
          <w:spacing w:val="4"/>
          <w:sz w:val="31"/>
          <w:szCs w:val="31"/>
        </w:rPr>
        <w:t>）产能建设项目</w:t>
      </w:r>
    </w:p>
    <w:p w14:paraId="6E19E6F7">
      <w:pPr>
        <w:pStyle w:val="2"/>
        <w:spacing w:before="247" w:line="225" w:lineRule="auto"/>
        <w:ind w:left="2576"/>
        <w:rPr>
          <w:sz w:val="31"/>
          <w:szCs w:val="31"/>
        </w:rPr>
      </w:pPr>
      <w:r>
        <w:rPr>
          <w:b/>
          <w:bCs/>
          <w:spacing w:val="6"/>
          <w:sz w:val="31"/>
          <w:szCs w:val="31"/>
        </w:rPr>
        <w:t>竣工环境保护验收意见</w:t>
      </w:r>
    </w:p>
    <w:p w14:paraId="5CACA85B">
      <w:pPr>
        <w:pStyle w:val="2"/>
        <w:spacing w:before="171" w:line="360" w:lineRule="auto"/>
        <w:ind w:left="24" w:firstLine="474"/>
        <w:jc w:val="both"/>
      </w:pPr>
      <w:r>
        <w:rPr>
          <w:rFonts w:ascii="Times New Roman" w:hAnsi="Times New Roman" w:eastAsia="Times New Roman" w:cs="Times New Roman"/>
          <w:spacing w:val="-2"/>
        </w:rPr>
        <w:t xml:space="preserve">2024 </w:t>
      </w:r>
      <w:r>
        <w:rPr>
          <w:spacing w:val="-2"/>
        </w:rPr>
        <w:t>年</w:t>
      </w:r>
      <w:r>
        <w:rPr>
          <w:spacing w:val="-17"/>
        </w:rPr>
        <w:t xml:space="preserve"> </w:t>
      </w:r>
      <w:r>
        <w:rPr>
          <w:rFonts w:ascii="Times New Roman" w:hAnsi="Times New Roman" w:eastAsia="Times New Roman" w:cs="Times New Roman"/>
          <w:spacing w:val="-2"/>
        </w:rPr>
        <w:t>11</w:t>
      </w:r>
      <w:r>
        <w:rPr>
          <w:rFonts w:ascii="Times New Roman" w:hAnsi="Times New Roman" w:eastAsia="Times New Roman" w:cs="Times New Roman"/>
          <w:spacing w:val="17"/>
          <w:w w:val="101"/>
        </w:rPr>
        <w:t xml:space="preserve"> </w:t>
      </w:r>
      <w:r>
        <w:rPr>
          <w:spacing w:val="-2"/>
        </w:rPr>
        <w:t>月</w:t>
      </w:r>
      <w:r>
        <w:rPr>
          <w:spacing w:val="-27"/>
        </w:rPr>
        <w:t xml:space="preserve"> </w:t>
      </w:r>
      <w:r>
        <w:rPr>
          <w:rFonts w:ascii="Times New Roman" w:hAnsi="Times New Roman" w:eastAsia="Times New Roman" w:cs="Times New Roman"/>
          <w:spacing w:val="-2"/>
        </w:rPr>
        <w:t xml:space="preserve">13  </w:t>
      </w:r>
      <w:r>
        <w:rPr>
          <w:spacing w:val="-2"/>
        </w:rPr>
        <w:t>日中国石油天然气股份有限公司华北油田巴彦勘探开发分公司根据《巴彦油田兴华区块（兴华</w:t>
      </w:r>
      <w:r>
        <w:rPr>
          <w:spacing w:val="-31"/>
        </w:rPr>
        <w:t xml:space="preserve"> </w:t>
      </w:r>
      <w:r>
        <w:rPr>
          <w:rFonts w:ascii="Times New Roman" w:hAnsi="Times New Roman" w:eastAsia="Times New Roman" w:cs="Times New Roman"/>
          <w:spacing w:val="-2"/>
        </w:rPr>
        <w:t>1</w:t>
      </w:r>
      <w:r>
        <w:rPr>
          <w:spacing w:val="-2"/>
        </w:rPr>
        <w:t>）产能建设项目竣工环境保护验</w:t>
      </w:r>
      <w:r>
        <w:rPr>
          <w:spacing w:val="-3"/>
        </w:rPr>
        <w:t>收调查报告》及《建设项目环境保护管理条例》等国家有关法律法规、建设项目竣工环境保护验收技术规范、项目环境影响报告和审批部门审批决定等要求，组织对本项</w:t>
      </w:r>
      <w:r>
        <w:rPr>
          <w:spacing w:val="-7"/>
        </w:rPr>
        <w:t>目进行竣工环保验收。验收会由建设单位、调查单位和</w:t>
      </w:r>
      <w:r>
        <w:rPr>
          <w:spacing w:val="-8"/>
        </w:rPr>
        <w:t>专业技术专家组成验收组。</w:t>
      </w:r>
      <w:r>
        <w:rPr>
          <w:spacing w:val="-4"/>
        </w:rPr>
        <w:t>由于验收工程内容空间距离宽度较大，因此验收组成员从</w:t>
      </w:r>
      <w:r>
        <w:rPr>
          <w:spacing w:val="-55"/>
        </w:rPr>
        <w:t xml:space="preserve"> </w:t>
      </w:r>
      <w:r>
        <w:rPr>
          <w:rFonts w:ascii="Times New Roman" w:hAnsi="Times New Roman" w:eastAsia="Times New Roman" w:cs="Times New Roman"/>
          <w:spacing w:val="-4"/>
        </w:rPr>
        <w:t xml:space="preserve">2024 </w:t>
      </w:r>
      <w:r>
        <w:rPr>
          <w:spacing w:val="-4"/>
        </w:rPr>
        <w:t>年</w:t>
      </w:r>
      <w:r>
        <w:rPr>
          <w:spacing w:val="-32"/>
        </w:rPr>
        <w:t xml:space="preserve"> </w:t>
      </w:r>
      <w:r>
        <w:rPr>
          <w:rFonts w:ascii="Times New Roman" w:hAnsi="Times New Roman" w:eastAsia="Times New Roman" w:cs="Times New Roman"/>
          <w:spacing w:val="-4"/>
        </w:rPr>
        <w:t>10</w:t>
      </w:r>
      <w:r>
        <w:rPr>
          <w:rFonts w:ascii="Times New Roman" w:hAnsi="Times New Roman" w:eastAsia="Times New Roman" w:cs="Times New Roman"/>
          <w:spacing w:val="16"/>
        </w:rPr>
        <w:t xml:space="preserve"> </w:t>
      </w:r>
      <w:r>
        <w:rPr>
          <w:spacing w:val="-4"/>
        </w:rPr>
        <w:t>月开始</w:t>
      </w:r>
      <w:r>
        <w:rPr>
          <w:spacing w:val="-5"/>
        </w:rPr>
        <w:t>进行</w:t>
      </w:r>
      <w:r>
        <w:t>项目现场踏勘，同步查阅了相关验收材料，经</w:t>
      </w:r>
      <w:r>
        <w:rPr>
          <w:spacing w:val="-1"/>
        </w:rPr>
        <w:t>讨论，提出验收意见如下：</w:t>
      </w:r>
    </w:p>
    <w:p w14:paraId="5BFBB405">
      <w:pPr>
        <w:pStyle w:val="2"/>
        <w:spacing w:before="34" w:line="219" w:lineRule="auto"/>
        <w:ind w:left="507"/>
      </w:pPr>
      <w:r>
        <w:rPr>
          <w:b/>
          <w:bCs/>
          <w:spacing w:val="-3"/>
        </w:rPr>
        <w:t>一、工程建设基本情况</w:t>
      </w:r>
    </w:p>
    <w:p w14:paraId="30E84EEB">
      <w:pPr>
        <w:pStyle w:val="2"/>
        <w:spacing w:before="147" w:line="360" w:lineRule="exact"/>
        <w:ind w:left="522"/>
      </w:pPr>
      <w:r>
        <w:rPr>
          <w:rFonts w:ascii="Times New Roman" w:hAnsi="Times New Roman" w:eastAsia="Times New Roman" w:cs="Times New Roman"/>
          <w:spacing w:val="-4"/>
          <w:position w:val="2"/>
        </w:rPr>
        <w:t>1</w:t>
      </w:r>
      <w:r>
        <w:rPr>
          <w:rFonts w:ascii="Times New Roman" w:hAnsi="Times New Roman" w:eastAsia="Times New Roman" w:cs="Times New Roman"/>
          <w:spacing w:val="-22"/>
          <w:position w:val="2"/>
        </w:rPr>
        <w:t xml:space="preserve"> </w:t>
      </w:r>
      <w:r>
        <w:rPr>
          <w:spacing w:val="-4"/>
          <w:position w:val="2"/>
        </w:rPr>
        <w:t>、建设地点、规模、主要建设内容：</w:t>
      </w:r>
    </w:p>
    <w:p w14:paraId="0F71EFC2">
      <w:pPr>
        <w:pStyle w:val="2"/>
        <w:spacing w:before="110" w:line="353" w:lineRule="auto"/>
        <w:ind w:left="22" w:right="81" w:firstLine="506"/>
      </w:pPr>
      <w:r>
        <w:rPr>
          <w:spacing w:val="-3"/>
        </w:rPr>
        <w:t>巴彦油田兴华区块（兴华</w:t>
      </w:r>
      <w:r>
        <w:rPr>
          <w:spacing w:val="-31"/>
        </w:rPr>
        <w:t xml:space="preserve"> </w:t>
      </w:r>
      <w:r>
        <w:rPr>
          <w:rFonts w:ascii="Times New Roman" w:hAnsi="Times New Roman" w:eastAsia="Times New Roman" w:cs="Times New Roman"/>
          <w:spacing w:val="-3"/>
        </w:rPr>
        <w:t>1</w:t>
      </w:r>
      <w:r>
        <w:rPr>
          <w:spacing w:val="-3"/>
        </w:rPr>
        <w:t>）产能建设项目位于内蒙古自治区巴彦淖尔市临河区，实际建设内容主要包括</w:t>
      </w:r>
      <w:r>
        <w:rPr>
          <w:spacing w:val="-29"/>
        </w:rPr>
        <w:t xml:space="preserve"> </w:t>
      </w:r>
      <w:r>
        <w:rPr>
          <w:rFonts w:ascii="Times New Roman" w:hAnsi="Times New Roman" w:eastAsia="Times New Roman" w:cs="Times New Roman"/>
          <w:spacing w:val="-3"/>
        </w:rPr>
        <w:t>134</w:t>
      </w:r>
      <w:r>
        <w:rPr>
          <w:rFonts w:ascii="Times New Roman" w:hAnsi="Times New Roman" w:eastAsia="Times New Roman" w:cs="Times New Roman"/>
          <w:spacing w:val="48"/>
        </w:rPr>
        <w:t xml:space="preserve"> </w:t>
      </w:r>
      <w:r>
        <w:rPr>
          <w:spacing w:val="-3"/>
        </w:rPr>
        <w:t>口井、</w:t>
      </w:r>
      <w:r>
        <w:rPr>
          <w:rFonts w:ascii="Times New Roman" w:hAnsi="Times New Roman" w:eastAsia="Times New Roman" w:cs="Times New Roman"/>
          <w:spacing w:val="-3"/>
        </w:rPr>
        <w:t xml:space="preserve">1 </w:t>
      </w:r>
      <w:r>
        <w:rPr>
          <w:spacing w:val="-3"/>
        </w:rPr>
        <w:t>座联</w:t>
      </w:r>
      <w:r>
        <w:rPr>
          <w:spacing w:val="-4"/>
        </w:rPr>
        <w:t>合站及相关配套工程。《巴彦油</w:t>
      </w:r>
      <w:r>
        <w:rPr>
          <w:spacing w:val="-2"/>
        </w:rPr>
        <w:t>田兴华区块（兴华</w:t>
      </w:r>
      <w:r>
        <w:rPr>
          <w:spacing w:val="-32"/>
        </w:rPr>
        <w:t xml:space="preserve"> </w:t>
      </w:r>
      <w:r>
        <w:rPr>
          <w:rFonts w:ascii="Times New Roman" w:hAnsi="Times New Roman" w:eastAsia="Times New Roman" w:cs="Times New Roman"/>
          <w:spacing w:val="-2"/>
        </w:rPr>
        <w:t>1</w:t>
      </w:r>
      <w:r>
        <w:rPr>
          <w:spacing w:val="-2"/>
        </w:rPr>
        <w:t>）产能建设项目环境影响报告书》已取得巴彦淖尔市生</w:t>
      </w:r>
      <w:r>
        <w:rPr>
          <w:spacing w:val="-3"/>
        </w:rPr>
        <w:t>态环</w:t>
      </w:r>
      <w:r>
        <w:rPr>
          <w:spacing w:val="-2"/>
        </w:rPr>
        <w:t>境局的批复文件</w:t>
      </w:r>
      <w:r>
        <w:rPr>
          <w:rFonts w:ascii="Times New Roman" w:hAnsi="Times New Roman" w:eastAsia="Times New Roman" w:cs="Times New Roman"/>
          <w:spacing w:val="-2"/>
        </w:rPr>
        <w:t>(</w:t>
      </w:r>
      <w:r>
        <w:rPr>
          <w:spacing w:val="-2"/>
        </w:rPr>
        <w:t>巴环审</w:t>
      </w:r>
      <w:r>
        <w:rPr>
          <w:rFonts w:ascii="Times New Roman" w:hAnsi="Times New Roman" w:eastAsia="Times New Roman" w:cs="Times New Roman"/>
          <w:spacing w:val="-2"/>
        </w:rPr>
        <w:t>[</w:t>
      </w:r>
      <w:r>
        <w:fldChar w:fldCharType="begin"/>
      </w:r>
      <w:r>
        <w:instrText xml:space="preserve"> HYPERLINK \l "bookmark12" </w:instrText>
      </w:r>
      <w:r>
        <w:fldChar w:fldCharType="separate"/>
      </w:r>
      <w:r>
        <w:rPr>
          <w:rFonts w:ascii="Times New Roman" w:hAnsi="Times New Roman" w:eastAsia="Times New Roman" w:cs="Times New Roman"/>
          <w:spacing w:val="-2"/>
        </w:rPr>
        <w:t>2023</w:t>
      </w:r>
      <w:r>
        <w:rPr>
          <w:rFonts w:ascii="Times New Roman" w:hAnsi="Times New Roman" w:eastAsia="Times New Roman" w:cs="Times New Roman"/>
          <w:spacing w:val="-2"/>
        </w:rPr>
        <w:fldChar w:fldCharType="end"/>
      </w:r>
      <w:r>
        <w:rPr>
          <w:rFonts w:ascii="Times New Roman" w:hAnsi="Times New Roman" w:eastAsia="Times New Roman" w:cs="Times New Roman"/>
          <w:spacing w:val="-2"/>
        </w:rPr>
        <w:t>]2</w:t>
      </w:r>
      <w:r>
        <w:rPr>
          <w:rFonts w:ascii="Times New Roman" w:hAnsi="Times New Roman" w:eastAsia="Times New Roman" w:cs="Times New Roman"/>
          <w:spacing w:val="32"/>
          <w:w w:val="101"/>
        </w:rPr>
        <w:t xml:space="preserve"> </w:t>
      </w:r>
      <w:r>
        <w:rPr>
          <w:spacing w:val="-2"/>
        </w:rPr>
        <w:t>号</w:t>
      </w:r>
      <w:r>
        <w:rPr>
          <w:rFonts w:ascii="Times New Roman" w:hAnsi="Times New Roman" w:eastAsia="Times New Roman" w:cs="Times New Roman"/>
          <w:spacing w:val="-2"/>
        </w:rPr>
        <w:t>)</w:t>
      </w:r>
      <w:r>
        <w:rPr>
          <w:spacing w:val="-2"/>
        </w:rPr>
        <w:t>。</w:t>
      </w:r>
    </w:p>
    <w:p w14:paraId="6C1DE8F5">
      <w:pPr>
        <w:pStyle w:val="2"/>
        <w:spacing w:before="34" w:line="361" w:lineRule="exact"/>
        <w:ind w:left="499"/>
      </w:pPr>
      <w:r>
        <w:rPr>
          <w:rFonts w:ascii="Times New Roman" w:hAnsi="Times New Roman" w:eastAsia="Times New Roman" w:cs="Times New Roman"/>
          <w:spacing w:val="-3"/>
          <w:position w:val="2"/>
        </w:rPr>
        <w:t>2</w:t>
      </w:r>
      <w:r>
        <w:rPr>
          <w:rFonts w:ascii="Times New Roman" w:hAnsi="Times New Roman" w:eastAsia="Times New Roman" w:cs="Times New Roman"/>
          <w:spacing w:val="-25"/>
          <w:position w:val="2"/>
        </w:rPr>
        <w:t xml:space="preserve"> </w:t>
      </w:r>
      <w:r>
        <w:rPr>
          <w:spacing w:val="-3"/>
          <w:position w:val="2"/>
        </w:rPr>
        <w:t>、建设过程及环保审批情况：</w:t>
      </w:r>
    </w:p>
    <w:p w14:paraId="1AFFBF54">
      <w:pPr>
        <w:pStyle w:val="2"/>
        <w:spacing w:before="106" w:line="357" w:lineRule="auto"/>
        <w:ind w:left="23" w:right="76" w:firstLine="505"/>
      </w:pPr>
      <w:r>
        <w:rPr>
          <w:spacing w:val="-7"/>
        </w:rPr>
        <w:t>巴彦淖尔市生态环境局于</w:t>
      </w:r>
      <w:r>
        <w:rPr>
          <w:spacing w:val="-72"/>
        </w:rPr>
        <w:t xml:space="preserve"> </w:t>
      </w:r>
      <w:r>
        <w:rPr>
          <w:rFonts w:ascii="Times New Roman" w:hAnsi="Times New Roman" w:eastAsia="Times New Roman" w:cs="Times New Roman"/>
          <w:spacing w:val="-7"/>
        </w:rPr>
        <w:t>2023</w:t>
      </w:r>
      <w:r>
        <w:rPr>
          <w:rFonts w:ascii="Times New Roman" w:hAnsi="Times New Roman" w:eastAsia="Times New Roman" w:cs="Times New Roman"/>
          <w:spacing w:val="-17"/>
        </w:rPr>
        <w:t xml:space="preserve"> </w:t>
      </w:r>
      <w:r>
        <w:rPr>
          <w:spacing w:val="-7"/>
        </w:rPr>
        <w:t>年</w:t>
      </w:r>
      <w:r>
        <w:rPr>
          <w:rFonts w:ascii="Times New Roman" w:hAnsi="Times New Roman" w:eastAsia="Times New Roman" w:cs="Times New Roman"/>
          <w:spacing w:val="-7"/>
        </w:rPr>
        <w:t xml:space="preserve">2 </w:t>
      </w:r>
      <w:r>
        <w:rPr>
          <w:spacing w:val="-7"/>
        </w:rPr>
        <w:t>月</w:t>
      </w:r>
      <w:r>
        <w:rPr>
          <w:rFonts w:ascii="Times New Roman" w:hAnsi="Times New Roman" w:eastAsia="Times New Roman" w:cs="Times New Roman"/>
          <w:spacing w:val="-7"/>
        </w:rPr>
        <w:t>4</w:t>
      </w:r>
      <w:r>
        <w:rPr>
          <w:rFonts w:ascii="Times New Roman" w:hAnsi="Times New Roman" w:eastAsia="Times New Roman" w:cs="Times New Roman"/>
          <w:spacing w:val="24"/>
          <w:w w:val="101"/>
        </w:rPr>
        <w:t xml:space="preserve"> </w:t>
      </w:r>
      <w:r>
        <w:rPr>
          <w:spacing w:val="-7"/>
        </w:rPr>
        <w:t>日以“</w:t>
      </w:r>
      <w:r>
        <w:rPr>
          <w:spacing w:val="-85"/>
        </w:rPr>
        <w:t xml:space="preserve"> </w:t>
      </w:r>
      <w:r>
        <w:rPr>
          <w:spacing w:val="-7"/>
        </w:rPr>
        <w:t>巴环审</w:t>
      </w:r>
      <w:r>
        <w:rPr>
          <w:rFonts w:ascii="Times New Roman" w:hAnsi="Times New Roman" w:eastAsia="Times New Roman" w:cs="Times New Roman"/>
          <w:spacing w:val="-7"/>
        </w:rPr>
        <w:t>[</w:t>
      </w:r>
      <w:r>
        <w:fldChar w:fldCharType="begin"/>
      </w:r>
      <w:r>
        <w:instrText xml:space="preserve"> HYPERLINK \l "bookmark13" </w:instrText>
      </w:r>
      <w:r>
        <w:fldChar w:fldCharType="separate"/>
      </w:r>
      <w:r>
        <w:rPr>
          <w:rFonts w:ascii="Times New Roman" w:hAnsi="Times New Roman" w:eastAsia="Times New Roman" w:cs="Times New Roman"/>
          <w:spacing w:val="-7"/>
        </w:rPr>
        <w:t>2023</w:t>
      </w:r>
      <w:r>
        <w:rPr>
          <w:rFonts w:ascii="Times New Roman" w:hAnsi="Times New Roman" w:eastAsia="Times New Roman" w:cs="Times New Roman"/>
          <w:spacing w:val="-7"/>
        </w:rPr>
        <w:fldChar w:fldCharType="end"/>
      </w:r>
      <w:r>
        <w:rPr>
          <w:rFonts w:ascii="Times New Roman" w:hAnsi="Times New Roman" w:eastAsia="Times New Roman" w:cs="Times New Roman"/>
          <w:spacing w:val="-7"/>
        </w:rPr>
        <w:t xml:space="preserve">]2 </w:t>
      </w:r>
      <w:r>
        <w:rPr>
          <w:spacing w:val="-7"/>
        </w:rPr>
        <w:t>号</w:t>
      </w:r>
      <w:r>
        <w:rPr>
          <w:spacing w:val="-89"/>
        </w:rPr>
        <w:t xml:space="preserve"> </w:t>
      </w:r>
      <w:r>
        <w:rPr>
          <w:spacing w:val="-7"/>
        </w:rPr>
        <w:t>”批复了《巴</w:t>
      </w:r>
      <w:r>
        <w:rPr>
          <w:spacing w:val="-2"/>
        </w:rPr>
        <w:t>彦油田兴华区块（兴华</w:t>
      </w:r>
      <w:r>
        <w:rPr>
          <w:spacing w:val="-17"/>
        </w:rPr>
        <w:t xml:space="preserve"> </w:t>
      </w:r>
      <w:r>
        <w:rPr>
          <w:rFonts w:ascii="Times New Roman" w:hAnsi="Times New Roman" w:eastAsia="Times New Roman" w:cs="Times New Roman"/>
          <w:spacing w:val="-2"/>
        </w:rPr>
        <w:t>1</w:t>
      </w:r>
      <w:r>
        <w:rPr>
          <w:spacing w:val="-2"/>
        </w:rPr>
        <w:t>）产能建设项目》环境影响报告书。</w:t>
      </w:r>
    </w:p>
    <w:p w14:paraId="2D47AB0D">
      <w:pPr>
        <w:pStyle w:val="2"/>
        <w:spacing w:before="8" w:line="358" w:lineRule="auto"/>
        <w:ind w:left="62" w:right="44" w:firstLine="441"/>
      </w:pPr>
      <w:r>
        <w:rPr>
          <w:rFonts w:ascii="Times New Roman" w:hAnsi="Times New Roman" w:eastAsia="Times New Roman" w:cs="Times New Roman"/>
          <w:spacing w:val="-2"/>
        </w:rPr>
        <w:t>3</w:t>
      </w:r>
      <w:r>
        <w:rPr>
          <w:rFonts w:ascii="Times New Roman" w:hAnsi="Times New Roman" w:eastAsia="Times New Roman" w:cs="Times New Roman"/>
          <w:spacing w:val="-34"/>
        </w:rPr>
        <w:t xml:space="preserve"> </w:t>
      </w:r>
      <w:r>
        <w:rPr>
          <w:spacing w:val="-2"/>
        </w:rPr>
        <w:t>、投资情况：本项目实际总投资</w:t>
      </w:r>
      <w:r>
        <w:rPr>
          <w:spacing w:val="-48"/>
        </w:rPr>
        <w:t xml:space="preserve"> </w:t>
      </w:r>
      <w:r>
        <w:rPr>
          <w:rFonts w:ascii="Times New Roman" w:hAnsi="Times New Roman" w:eastAsia="Times New Roman" w:cs="Times New Roman"/>
          <w:spacing w:val="-2"/>
        </w:rPr>
        <w:t>548287</w:t>
      </w:r>
      <w:r>
        <w:rPr>
          <w:rFonts w:ascii="Times New Roman" w:hAnsi="Times New Roman" w:eastAsia="Times New Roman" w:cs="Times New Roman"/>
          <w:spacing w:val="15"/>
        </w:rPr>
        <w:t xml:space="preserve"> </w:t>
      </w:r>
      <w:r>
        <w:rPr>
          <w:spacing w:val="-2"/>
        </w:rPr>
        <w:t>万元，环境保护投资</w:t>
      </w:r>
      <w:r>
        <w:rPr>
          <w:rFonts w:ascii="Times New Roman" w:hAnsi="Times New Roman" w:eastAsia="Times New Roman" w:cs="Times New Roman"/>
          <w:spacing w:val="-2"/>
        </w:rPr>
        <w:t>41450</w:t>
      </w:r>
      <w:r>
        <w:rPr>
          <w:rFonts w:ascii="Times New Roman" w:hAnsi="Times New Roman" w:eastAsia="Times New Roman" w:cs="Times New Roman"/>
          <w:spacing w:val="15"/>
        </w:rPr>
        <w:t xml:space="preserve"> </w:t>
      </w:r>
      <w:r>
        <w:rPr>
          <w:spacing w:val="-2"/>
        </w:rPr>
        <w:t>万元，</w:t>
      </w:r>
      <w:r>
        <w:rPr>
          <w:spacing w:val="-5"/>
        </w:rPr>
        <w:t>占实际总投资</w:t>
      </w:r>
      <w:r>
        <w:rPr>
          <w:spacing w:val="-50"/>
        </w:rPr>
        <w:t xml:space="preserve"> </w:t>
      </w:r>
      <w:r>
        <w:rPr>
          <w:rFonts w:ascii="Times New Roman" w:hAnsi="Times New Roman" w:eastAsia="Times New Roman" w:cs="Times New Roman"/>
          <w:spacing w:val="-5"/>
        </w:rPr>
        <w:t>7.56%</w:t>
      </w:r>
      <w:r>
        <w:rPr>
          <w:spacing w:val="-5"/>
        </w:rPr>
        <w:t>。</w:t>
      </w:r>
    </w:p>
    <w:p w14:paraId="53F0984A">
      <w:pPr>
        <w:pStyle w:val="2"/>
        <w:spacing w:before="41" w:line="220" w:lineRule="auto"/>
        <w:ind w:left="507"/>
      </w:pPr>
      <w:r>
        <w:rPr>
          <w:b/>
          <w:bCs/>
          <w:spacing w:val="-4"/>
        </w:rPr>
        <w:t>二、验收范围及阶段</w:t>
      </w:r>
    </w:p>
    <w:p w14:paraId="24120D4E">
      <w:pPr>
        <w:pStyle w:val="2"/>
        <w:spacing w:before="146" w:line="352" w:lineRule="auto"/>
        <w:ind w:left="28" w:right="81" w:firstLine="476"/>
      </w:pPr>
      <w:r>
        <w:rPr>
          <w:spacing w:val="-2"/>
        </w:rPr>
        <w:t>本次验收范围为《巴彦油田兴华区块（兴华</w:t>
      </w:r>
      <w:r>
        <w:rPr>
          <w:spacing w:val="-32"/>
        </w:rPr>
        <w:t xml:space="preserve"> </w:t>
      </w:r>
      <w:r>
        <w:rPr>
          <w:rFonts w:ascii="Times New Roman" w:hAnsi="Times New Roman" w:eastAsia="Times New Roman" w:cs="Times New Roman"/>
          <w:spacing w:val="-2"/>
        </w:rPr>
        <w:t>1</w:t>
      </w:r>
      <w:r>
        <w:rPr>
          <w:spacing w:val="-2"/>
        </w:rPr>
        <w:t>）产能建设项</w:t>
      </w:r>
      <w:r>
        <w:rPr>
          <w:spacing w:val="-3"/>
        </w:rPr>
        <w:t>目环境影响报告</w:t>
      </w:r>
      <w:r>
        <w:rPr>
          <w:spacing w:val="-2"/>
        </w:rPr>
        <w:t>书》的建设内容。</w:t>
      </w:r>
    </w:p>
    <w:p w14:paraId="122541C7">
      <w:pPr>
        <w:pStyle w:val="2"/>
        <w:spacing w:before="57" w:line="221" w:lineRule="auto"/>
        <w:ind w:left="503"/>
      </w:pPr>
      <w:r>
        <w:rPr>
          <w:b/>
          <w:bCs/>
          <w:spacing w:val="-3"/>
        </w:rPr>
        <w:t>三、工程变动情况</w:t>
      </w:r>
    </w:p>
    <w:p w14:paraId="725F1B7E">
      <w:pPr>
        <w:pStyle w:val="2"/>
        <w:spacing w:before="182" w:line="346" w:lineRule="auto"/>
        <w:ind w:left="25" w:right="81" w:firstLine="479"/>
      </w:pPr>
      <w:r>
        <w:rPr>
          <w:spacing w:val="-3"/>
        </w:rPr>
        <w:t>本次验收调查将原环评时的工程内容与项目竣工后的工程内容</w:t>
      </w:r>
      <w:r>
        <w:rPr>
          <w:spacing w:val="-4"/>
        </w:rPr>
        <w:t>进行对比，项</w:t>
      </w:r>
      <w:r>
        <w:rPr>
          <w:spacing w:val="-2"/>
        </w:rPr>
        <w:t>主要变化内容为：</w:t>
      </w:r>
    </w:p>
    <w:p w14:paraId="6E4E5501">
      <w:pPr>
        <w:pStyle w:val="2"/>
        <w:spacing w:line="360" w:lineRule="exact"/>
        <w:ind w:left="522"/>
        <w:rPr>
          <w:rFonts w:ascii="Times New Roman" w:hAnsi="Times New Roman" w:eastAsia="Times New Roman" w:cs="Times New Roman"/>
        </w:rPr>
      </w:pPr>
      <w:r>
        <w:rPr>
          <w:rFonts w:ascii="Times New Roman" w:hAnsi="Times New Roman" w:eastAsia="Times New Roman" w:cs="Times New Roman"/>
          <w:spacing w:val="-4"/>
          <w:position w:val="2"/>
        </w:rPr>
        <w:t>1</w:t>
      </w:r>
      <w:r>
        <w:rPr>
          <w:rFonts w:ascii="Times New Roman" w:hAnsi="Times New Roman" w:eastAsia="Times New Roman" w:cs="Times New Roman"/>
          <w:spacing w:val="-29"/>
          <w:position w:val="2"/>
        </w:rPr>
        <w:t xml:space="preserve"> </w:t>
      </w:r>
      <w:r>
        <w:rPr>
          <w:spacing w:val="-4"/>
          <w:position w:val="2"/>
        </w:rPr>
        <w:t>、环评及批复新建油井</w:t>
      </w:r>
      <w:r>
        <w:rPr>
          <w:spacing w:val="-27"/>
          <w:position w:val="2"/>
        </w:rPr>
        <w:t xml:space="preserve"> </w:t>
      </w:r>
      <w:r>
        <w:rPr>
          <w:rFonts w:ascii="Times New Roman" w:hAnsi="Times New Roman" w:eastAsia="Times New Roman" w:cs="Times New Roman"/>
          <w:spacing w:val="-4"/>
          <w:position w:val="2"/>
        </w:rPr>
        <w:t>105</w:t>
      </w:r>
      <w:r>
        <w:rPr>
          <w:rFonts w:ascii="Times New Roman" w:hAnsi="Times New Roman" w:eastAsia="Times New Roman" w:cs="Times New Roman"/>
          <w:spacing w:val="51"/>
          <w:position w:val="2"/>
        </w:rPr>
        <w:t xml:space="preserve"> </w:t>
      </w:r>
      <w:r>
        <w:rPr>
          <w:spacing w:val="-4"/>
          <w:position w:val="2"/>
        </w:rPr>
        <w:t>口，注水井</w:t>
      </w:r>
      <w:r>
        <w:rPr>
          <w:spacing w:val="-46"/>
          <w:position w:val="2"/>
        </w:rPr>
        <w:t xml:space="preserve"> </w:t>
      </w:r>
      <w:r>
        <w:rPr>
          <w:rFonts w:ascii="Times New Roman" w:hAnsi="Times New Roman" w:eastAsia="Times New Roman" w:cs="Times New Roman"/>
          <w:spacing w:val="-4"/>
          <w:position w:val="2"/>
        </w:rPr>
        <w:t>32</w:t>
      </w:r>
      <w:r>
        <w:rPr>
          <w:rFonts w:ascii="Times New Roman" w:hAnsi="Times New Roman" w:eastAsia="Times New Roman" w:cs="Times New Roman"/>
          <w:spacing w:val="51"/>
          <w:position w:val="2"/>
        </w:rPr>
        <w:t xml:space="preserve"> </w:t>
      </w:r>
      <w:r>
        <w:rPr>
          <w:spacing w:val="-4"/>
          <w:position w:val="2"/>
        </w:rPr>
        <w:t>口，实际建设</w:t>
      </w:r>
      <w:r>
        <w:rPr>
          <w:spacing w:val="-25"/>
          <w:position w:val="2"/>
        </w:rPr>
        <w:t xml:space="preserve"> </w:t>
      </w:r>
      <w:r>
        <w:rPr>
          <w:rFonts w:ascii="Times New Roman" w:hAnsi="Times New Roman" w:eastAsia="Times New Roman" w:cs="Times New Roman"/>
          <w:spacing w:val="-4"/>
          <w:position w:val="2"/>
        </w:rPr>
        <w:t>108</w:t>
      </w:r>
      <w:r>
        <w:rPr>
          <w:rFonts w:ascii="Times New Roman" w:hAnsi="Times New Roman" w:eastAsia="Times New Roman" w:cs="Times New Roman"/>
          <w:spacing w:val="51"/>
          <w:position w:val="2"/>
        </w:rPr>
        <w:t xml:space="preserve"> </w:t>
      </w:r>
      <w:r>
        <w:rPr>
          <w:spacing w:val="-4"/>
          <w:position w:val="2"/>
        </w:rPr>
        <w:t>口</w:t>
      </w:r>
      <w:r>
        <w:rPr>
          <w:spacing w:val="-5"/>
          <w:position w:val="2"/>
        </w:rPr>
        <w:t>油井，</w:t>
      </w:r>
      <w:r>
        <w:rPr>
          <w:rFonts w:ascii="Times New Roman" w:hAnsi="Times New Roman" w:eastAsia="Times New Roman" w:cs="Times New Roman"/>
          <w:spacing w:val="-5"/>
          <w:position w:val="2"/>
        </w:rPr>
        <w:t>26</w:t>
      </w:r>
    </w:p>
    <w:p w14:paraId="70A76D6E">
      <w:pPr>
        <w:spacing w:line="360" w:lineRule="exact"/>
        <w:rPr>
          <w:rFonts w:ascii="Times New Roman" w:hAnsi="Times New Roman" w:eastAsia="Times New Roman" w:cs="Times New Roman"/>
        </w:rPr>
        <w:sectPr>
          <w:footerReference r:id="rId164" w:type="default"/>
          <w:pgSz w:w="11906" w:h="16839"/>
          <w:pgMar w:top="400" w:right="1718" w:bottom="1253" w:left="1785" w:header="0" w:footer="937" w:gutter="0"/>
          <w:cols w:space="720" w:num="1"/>
        </w:sectPr>
      </w:pPr>
    </w:p>
    <w:p w14:paraId="266719FA">
      <w:pPr>
        <w:spacing w:line="258" w:lineRule="auto"/>
        <w:rPr>
          <w:rFonts w:ascii="Arial"/>
          <w:sz w:val="21"/>
        </w:rPr>
      </w:pPr>
    </w:p>
    <w:p w14:paraId="4C21BD84">
      <w:pPr>
        <w:spacing w:line="259" w:lineRule="auto"/>
        <w:rPr>
          <w:rFonts w:ascii="Arial"/>
          <w:sz w:val="21"/>
        </w:rPr>
      </w:pPr>
    </w:p>
    <w:p w14:paraId="2AA118E8">
      <w:pPr>
        <w:spacing w:line="259" w:lineRule="auto"/>
        <w:rPr>
          <w:rFonts w:ascii="Arial"/>
          <w:sz w:val="21"/>
        </w:rPr>
      </w:pPr>
    </w:p>
    <w:p w14:paraId="10ED5796">
      <w:pPr>
        <w:spacing w:line="259" w:lineRule="auto"/>
        <w:rPr>
          <w:rFonts w:ascii="Arial"/>
          <w:sz w:val="21"/>
        </w:rPr>
      </w:pPr>
    </w:p>
    <w:p w14:paraId="78A48927">
      <w:pPr>
        <w:pStyle w:val="2"/>
        <w:spacing w:before="78" w:line="359" w:lineRule="auto"/>
        <w:ind w:left="23" w:right="13" w:firstLine="36"/>
        <w:jc w:val="both"/>
      </w:pPr>
      <w:r>
        <w:rPr>
          <w:spacing w:val="-3"/>
        </w:rPr>
        <w:t>口注水井，项目增加建设了</w:t>
      </w:r>
      <w:r>
        <w:rPr>
          <w:rFonts w:ascii="Times New Roman" w:hAnsi="Times New Roman" w:eastAsia="Times New Roman" w:cs="Times New Roman"/>
          <w:spacing w:val="-3"/>
        </w:rPr>
        <w:t>3</w:t>
      </w:r>
      <w:r>
        <w:rPr>
          <w:rFonts w:ascii="Times New Roman" w:hAnsi="Times New Roman" w:eastAsia="Times New Roman" w:cs="Times New Roman"/>
          <w:spacing w:val="46"/>
          <w:w w:val="101"/>
        </w:rPr>
        <w:t xml:space="preserve"> </w:t>
      </w:r>
      <w:r>
        <w:rPr>
          <w:spacing w:val="-3"/>
        </w:rPr>
        <w:t>口油井，减少了</w:t>
      </w:r>
      <w:r>
        <w:rPr>
          <w:rFonts w:ascii="Times New Roman" w:hAnsi="Times New Roman" w:eastAsia="Times New Roman" w:cs="Times New Roman"/>
          <w:spacing w:val="-3"/>
        </w:rPr>
        <w:t>6</w:t>
      </w:r>
      <w:r>
        <w:rPr>
          <w:rFonts w:ascii="Times New Roman" w:hAnsi="Times New Roman" w:eastAsia="Times New Roman" w:cs="Times New Roman"/>
          <w:spacing w:val="45"/>
          <w:w w:val="101"/>
        </w:rPr>
        <w:t xml:space="preserve"> </w:t>
      </w:r>
      <w:r>
        <w:rPr>
          <w:spacing w:val="-3"/>
        </w:rPr>
        <w:t>口水井，新钻</w:t>
      </w:r>
      <w:r>
        <w:rPr>
          <w:spacing w:val="-4"/>
        </w:rPr>
        <w:t>井数量未超过规定的</w:t>
      </w:r>
      <w:r>
        <w:rPr>
          <w:spacing w:val="-40"/>
        </w:rPr>
        <w:t xml:space="preserve"> </w:t>
      </w:r>
      <w:r>
        <w:rPr>
          <w:rFonts w:ascii="Times New Roman" w:hAnsi="Times New Roman" w:eastAsia="Times New Roman" w:cs="Times New Roman"/>
          <w:spacing w:val="-4"/>
        </w:rPr>
        <w:t>30%</w:t>
      </w:r>
      <w:r>
        <w:rPr>
          <w:spacing w:val="-4"/>
        </w:rPr>
        <w:t>。新增井均位于环评及批复的井场内，未新建井场，单井集油管线长度增</w:t>
      </w:r>
      <w:r>
        <w:rPr>
          <w:spacing w:val="-3"/>
        </w:rPr>
        <w:t>加</w:t>
      </w:r>
      <w:r>
        <w:rPr>
          <w:spacing w:val="-47"/>
        </w:rPr>
        <w:t xml:space="preserve"> </w:t>
      </w:r>
      <w:r>
        <w:rPr>
          <w:rFonts w:ascii="Times New Roman" w:hAnsi="Times New Roman" w:eastAsia="Times New Roman" w:cs="Times New Roman"/>
          <w:spacing w:val="-3"/>
        </w:rPr>
        <w:t>0.25km</w:t>
      </w:r>
      <w:r>
        <w:rPr>
          <w:spacing w:val="-3"/>
        </w:rPr>
        <w:t>。</w:t>
      </w:r>
    </w:p>
    <w:p w14:paraId="1118A3EF">
      <w:pPr>
        <w:pStyle w:val="2"/>
        <w:spacing w:before="4" w:line="358" w:lineRule="auto"/>
        <w:ind w:left="22" w:right="13" w:firstLine="476"/>
      </w:pPr>
      <w:r>
        <w:rPr>
          <w:rFonts w:ascii="Times New Roman" w:hAnsi="Times New Roman" w:eastAsia="Times New Roman" w:cs="Times New Roman"/>
          <w:spacing w:val="1"/>
        </w:rPr>
        <w:t>2</w:t>
      </w:r>
      <w:r>
        <w:rPr>
          <w:rFonts w:ascii="Times New Roman" w:hAnsi="Times New Roman" w:eastAsia="Times New Roman" w:cs="Times New Roman"/>
          <w:spacing w:val="-34"/>
        </w:rPr>
        <w:t xml:space="preserve"> </w:t>
      </w:r>
      <w:r>
        <w:rPr>
          <w:spacing w:val="1"/>
        </w:rPr>
        <w:t>、环评及批复建设</w:t>
      </w:r>
      <w:r>
        <w:rPr>
          <w:spacing w:val="-30"/>
        </w:rPr>
        <w:t xml:space="preserve"> </w:t>
      </w:r>
      <w:r>
        <w:rPr>
          <w:rFonts w:ascii="Times New Roman" w:hAnsi="Times New Roman" w:eastAsia="Times New Roman" w:cs="Times New Roman"/>
          <w:spacing w:val="1"/>
        </w:rPr>
        <w:t>11</w:t>
      </w:r>
      <w:r>
        <w:rPr>
          <w:spacing w:val="1"/>
        </w:rPr>
        <w:t>座丛式井场和</w:t>
      </w:r>
      <w:r>
        <w:rPr>
          <w:spacing w:val="-32"/>
        </w:rPr>
        <w:t xml:space="preserve"> </w:t>
      </w:r>
      <w:r>
        <w:rPr>
          <w:rFonts w:ascii="Times New Roman" w:hAnsi="Times New Roman" w:eastAsia="Times New Roman" w:cs="Times New Roman"/>
          <w:spacing w:val="1"/>
        </w:rPr>
        <w:t xml:space="preserve">1 </w:t>
      </w:r>
      <w:r>
        <w:rPr>
          <w:spacing w:val="1"/>
        </w:rPr>
        <w:t>座单井井场，</w:t>
      </w:r>
      <w:r>
        <w:t>实际建设</w:t>
      </w:r>
      <w:r>
        <w:rPr>
          <w:spacing w:val="-29"/>
        </w:rPr>
        <w:t xml:space="preserve"> </w:t>
      </w:r>
      <w:r>
        <w:rPr>
          <w:rFonts w:ascii="Times New Roman" w:hAnsi="Times New Roman" w:eastAsia="Times New Roman" w:cs="Times New Roman"/>
        </w:rPr>
        <w:t>11</w:t>
      </w:r>
      <w:r>
        <w:t>座丛式井</w:t>
      </w:r>
      <w:r>
        <w:rPr>
          <w:spacing w:val="-5"/>
        </w:rPr>
        <w:t>场和</w:t>
      </w:r>
      <w:r>
        <w:rPr>
          <w:spacing w:val="-55"/>
        </w:rPr>
        <w:t xml:space="preserve"> </w:t>
      </w:r>
      <w:r>
        <w:rPr>
          <w:rFonts w:ascii="Times New Roman" w:hAnsi="Times New Roman" w:eastAsia="Times New Roman" w:cs="Times New Roman"/>
          <w:spacing w:val="-5"/>
        </w:rPr>
        <w:t xml:space="preserve">2 </w:t>
      </w:r>
      <w:r>
        <w:rPr>
          <w:spacing w:val="-5"/>
        </w:rPr>
        <w:t>座单井井场。兴华</w:t>
      </w:r>
      <w:r>
        <w:rPr>
          <w:spacing w:val="-32"/>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27"/>
          <w:w w:val="101"/>
        </w:rPr>
        <w:t xml:space="preserve"> </w:t>
      </w:r>
      <w:r>
        <w:rPr>
          <w:spacing w:val="-5"/>
        </w:rPr>
        <w:t>区块兴华</w:t>
      </w:r>
      <w:r>
        <w:rPr>
          <w:spacing w:val="-55"/>
        </w:rPr>
        <w:t xml:space="preserve"> </w:t>
      </w:r>
      <w:r>
        <w:rPr>
          <w:rFonts w:ascii="Times New Roman" w:hAnsi="Times New Roman" w:eastAsia="Times New Roman" w:cs="Times New Roman"/>
          <w:spacing w:val="-5"/>
        </w:rPr>
        <w:t xml:space="preserve">2 </w:t>
      </w:r>
      <w:r>
        <w:rPr>
          <w:spacing w:val="-5"/>
        </w:rPr>
        <w:t>平台分别建设了兴华</w:t>
      </w:r>
      <w:r>
        <w:rPr>
          <w:spacing w:val="-32"/>
        </w:rPr>
        <w:t xml:space="preserve"> </w:t>
      </w:r>
      <w:r>
        <w:rPr>
          <w:rFonts w:ascii="Times New Roman" w:hAnsi="Times New Roman" w:eastAsia="Times New Roman" w:cs="Times New Roman"/>
          <w:spacing w:val="-5"/>
        </w:rPr>
        <w:t xml:space="preserve">1 </w:t>
      </w:r>
      <w:r>
        <w:rPr>
          <w:spacing w:val="-5"/>
        </w:rPr>
        <w:t>井</w:t>
      </w:r>
      <w:r>
        <w:rPr>
          <w:spacing w:val="-6"/>
        </w:rPr>
        <w:t>单井井场和兴华</w:t>
      </w:r>
      <w:r>
        <w:rPr>
          <w:rFonts w:ascii="Times New Roman" w:hAnsi="Times New Roman" w:eastAsia="Times New Roman" w:cs="Times New Roman"/>
          <w:spacing w:val="-3"/>
        </w:rPr>
        <w:t>1</w:t>
      </w:r>
      <w:r>
        <w:rPr>
          <w:rFonts w:ascii="Times New Roman" w:hAnsi="Times New Roman" w:eastAsia="Times New Roman" w:cs="Times New Roman"/>
          <w:spacing w:val="27"/>
        </w:rPr>
        <w:t xml:space="preserve"> </w:t>
      </w:r>
      <w:r>
        <w:rPr>
          <w:spacing w:val="-3"/>
        </w:rPr>
        <w:t>区块兴华</w:t>
      </w:r>
      <w:r>
        <w:rPr>
          <w:spacing w:val="-55"/>
        </w:rPr>
        <w:t xml:space="preserve"> </w:t>
      </w:r>
      <w:r>
        <w:rPr>
          <w:rFonts w:ascii="Times New Roman" w:hAnsi="Times New Roman" w:eastAsia="Times New Roman" w:cs="Times New Roman"/>
          <w:spacing w:val="-3"/>
        </w:rPr>
        <w:t xml:space="preserve">2 </w:t>
      </w:r>
      <w:r>
        <w:rPr>
          <w:spacing w:val="-3"/>
        </w:rPr>
        <w:t>平台丛式井场。</w:t>
      </w:r>
    </w:p>
    <w:p w14:paraId="6004EDC0">
      <w:pPr>
        <w:pStyle w:val="2"/>
        <w:spacing w:before="6" w:line="360" w:lineRule="auto"/>
        <w:ind w:left="17" w:right="13" w:firstLine="485"/>
      </w:pPr>
      <w:r>
        <w:rPr>
          <w:rFonts w:ascii="Times New Roman" w:hAnsi="Times New Roman" w:eastAsia="Times New Roman" w:cs="Times New Roman"/>
          <w:spacing w:val="7"/>
        </w:rPr>
        <w:t>3</w:t>
      </w:r>
      <w:r>
        <w:rPr>
          <w:rFonts w:ascii="Times New Roman" w:hAnsi="Times New Roman" w:eastAsia="Times New Roman" w:cs="Times New Roman"/>
          <w:spacing w:val="-15"/>
        </w:rPr>
        <w:t xml:space="preserve"> </w:t>
      </w:r>
      <w:r>
        <w:rPr>
          <w:spacing w:val="7"/>
        </w:rPr>
        <w:t>、环评及批复项</w:t>
      </w:r>
      <w:r>
        <w:rPr>
          <w:spacing w:val="-45"/>
        </w:rPr>
        <w:t xml:space="preserve"> </w:t>
      </w:r>
      <w:r>
        <w:rPr>
          <w:spacing w:val="7"/>
        </w:rPr>
        <w:t xml:space="preserve">目临时占地面积 </w:t>
      </w:r>
      <w:r>
        <w:rPr>
          <w:rFonts w:ascii="Times New Roman" w:hAnsi="Times New Roman" w:eastAsia="Times New Roman" w:cs="Times New Roman"/>
          <w:spacing w:val="7"/>
        </w:rPr>
        <w:t>149869</w:t>
      </w:r>
      <w:r>
        <w:rPr>
          <w:rFonts w:ascii="Times New Roman" w:hAnsi="Times New Roman" w:eastAsia="Times New Roman" w:cs="Times New Roman"/>
          <w:spacing w:val="6"/>
        </w:rPr>
        <w:t>8.33m</w:t>
      </w:r>
      <w:r>
        <w:rPr>
          <w:rFonts w:ascii="Times New Roman" w:hAnsi="Times New Roman" w:eastAsia="Times New Roman" w:cs="Times New Roman"/>
          <w:spacing w:val="6"/>
          <w:position w:val="7"/>
          <w:sz w:val="15"/>
          <w:szCs w:val="15"/>
        </w:rPr>
        <w:t xml:space="preserve">2 </w:t>
      </w:r>
      <w:r>
        <w:rPr>
          <w:spacing w:val="6"/>
        </w:rPr>
        <w:t>，营运期永久占地面积</w:t>
      </w:r>
      <w:r>
        <w:rPr>
          <w:rFonts w:ascii="Times New Roman" w:hAnsi="Times New Roman" w:eastAsia="Times New Roman" w:cs="Times New Roman"/>
          <w:spacing w:val="-1"/>
        </w:rPr>
        <w:t>462769.95m</w:t>
      </w:r>
      <w:r>
        <w:rPr>
          <w:rFonts w:ascii="Times New Roman" w:hAnsi="Times New Roman" w:eastAsia="Times New Roman" w:cs="Times New Roman"/>
          <w:spacing w:val="-1"/>
          <w:position w:val="7"/>
          <w:sz w:val="15"/>
          <w:szCs w:val="15"/>
        </w:rPr>
        <w:t xml:space="preserve">2 </w:t>
      </w:r>
      <w:r>
        <w:rPr>
          <w:spacing w:val="-1"/>
        </w:rPr>
        <w:t>。实际建设中，施工期临时占地面积</w:t>
      </w:r>
      <w:r>
        <w:rPr>
          <w:spacing w:val="-27"/>
        </w:rPr>
        <w:t xml:space="preserve"> </w:t>
      </w:r>
      <w:r>
        <w:rPr>
          <w:rFonts w:ascii="Times New Roman" w:hAnsi="Times New Roman" w:eastAsia="Times New Roman" w:cs="Times New Roman"/>
          <w:spacing w:val="-1"/>
        </w:rPr>
        <w:t>1498337.</w:t>
      </w:r>
      <w:r>
        <w:rPr>
          <w:rFonts w:ascii="Times New Roman" w:hAnsi="Times New Roman" w:eastAsia="Times New Roman" w:cs="Times New Roman"/>
          <w:spacing w:val="-2"/>
        </w:rPr>
        <w:t>33m</w:t>
      </w:r>
      <w:r>
        <w:rPr>
          <w:rFonts w:ascii="Times New Roman" w:hAnsi="Times New Roman" w:eastAsia="Times New Roman" w:cs="Times New Roman"/>
          <w:spacing w:val="-2"/>
          <w:position w:val="7"/>
          <w:sz w:val="15"/>
          <w:szCs w:val="15"/>
        </w:rPr>
        <w:t>2</w:t>
      </w:r>
      <w:r>
        <w:rPr>
          <w:rFonts w:ascii="Times New Roman" w:hAnsi="Times New Roman" w:eastAsia="Times New Roman" w:cs="Times New Roman"/>
          <w:spacing w:val="-12"/>
          <w:position w:val="7"/>
          <w:sz w:val="15"/>
          <w:szCs w:val="15"/>
        </w:rPr>
        <w:t xml:space="preserve"> </w:t>
      </w:r>
      <w:r>
        <w:rPr>
          <w:spacing w:val="-2"/>
        </w:rPr>
        <w:t>，营运期永久占</w:t>
      </w:r>
      <w:r>
        <w:rPr>
          <w:spacing w:val="1"/>
        </w:rPr>
        <w:t>地面积</w:t>
      </w:r>
      <w:r>
        <w:rPr>
          <w:rFonts w:ascii="Times New Roman" w:hAnsi="Times New Roman" w:eastAsia="Times New Roman" w:cs="Times New Roman"/>
          <w:spacing w:val="1"/>
        </w:rPr>
        <w:t>465408.95m</w:t>
      </w:r>
      <w:r>
        <w:rPr>
          <w:rFonts w:ascii="Times New Roman" w:hAnsi="Times New Roman" w:eastAsia="Times New Roman" w:cs="Times New Roman"/>
          <w:spacing w:val="1"/>
          <w:position w:val="7"/>
          <w:sz w:val="15"/>
          <w:szCs w:val="15"/>
        </w:rPr>
        <w:t xml:space="preserve">2 </w:t>
      </w:r>
      <w:r>
        <w:rPr>
          <w:spacing w:val="1"/>
        </w:rPr>
        <w:t>。由于地层储量</w:t>
      </w:r>
      <w:r>
        <w:t>等原因，本项目产能建设项目通过优化井场</w:t>
      </w:r>
      <w:r>
        <w:rPr>
          <w:spacing w:val="-3"/>
        </w:rPr>
        <w:t>等措施在兴华</w:t>
      </w:r>
      <w:r>
        <w:rPr>
          <w:spacing w:val="-27"/>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15"/>
        </w:rPr>
        <w:t xml:space="preserve"> </w:t>
      </w:r>
      <w:r>
        <w:rPr>
          <w:spacing w:val="-3"/>
        </w:rPr>
        <w:t>区块兴华</w:t>
      </w:r>
      <w:r>
        <w:rPr>
          <w:spacing w:val="-67"/>
        </w:rPr>
        <w:t xml:space="preserve"> </w:t>
      </w:r>
      <w:r>
        <w:rPr>
          <w:rFonts w:ascii="Times New Roman" w:hAnsi="Times New Roman" w:eastAsia="Times New Roman" w:cs="Times New Roman"/>
          <w:spacing w:val="-3"/>
        </w:rPr>
        <w:t xml:space="preserve">2 </w:t>
      </w:r>
      <w:r>
        <w:rPr>
          <w:spacing w:val="-3"/>
        </w:rPr>
        <w:t>平台分别建设了兴华</w:t>
      </w:r>
      <w:r>
        <w:rPr>
          <w:spacing w:val="-44"/>
        </w:rPr>
        <w:t xml:space="preserve"> </w:t>
      </w:r>
      <w:r>
        <w:rPr>
          <w:rFonts w:ascii="Times New Roman" w:hAnsi="Times New Roman" w:eastAsia="Times New Roman" w:cs="Times New Roman"/>
          <w:spacing w:val="-3"/>
        </w:rPr>
        <w:t xml:space="preserve">1 </w:t>
      </w:r>
      <w:r>
        <w:rPr>
          <w:spacing w:val="-3"/>
        </w:rPr>
        <w:t>井单井井场和兴华</w:t>
      </w:r>
      <w:r>
        <w:rPr>
          <w:rFonts w:ascii="Times New Roman" w:hAnsi="Times New Roman" w:eastAsia="Times New Roman" w:cs="Times New Roman"/>
          <w:spacing w:val="-3"/>
        </w:rPr>
        <w:t>1</w:t>
      </w:r>
      <w:r>
        <w:rPr>
          <w:rFonts w:ascii="Times New Roman" w:hAnsi="Times New Roman" w:eastAsia="Times New Roman" w:cs="Times New Roman"/>
          <w:spacing w:val="15"/>
        </w:rPr>
        <w:t xml:space="preserve"> </w:t>
      </w:r>
      <w:r>
        <w:rPr>
          <w:spacing w:val="-3"/>
        </w:rPr>
        <w:t>区块兴华</w:t>
      </w:r>
      <w:r>
        <w:rPr>
          <w:rFonts w:ascii="Times New Roman" w:hAnsi="Times New Roman" w:eastAsia="Times New Roman" w:cs="Times New Roman"/>
          <w:spacing w:val="-2"/>
        </w:rPr>
        <w:t xml:space="preserve">2 </w:t>
      </w:r>
      <w:r>
        <w:rPr>
          <w:spacing w:val="-2"/>
        </w:rPr>
        <w:t>平台丛式井场，最终增加建设</w:t>
      </w:r>
      <w:r>
        <w:rPr>
          <w:spacing w:val="-32"/>
        </w:rPr>
        <w:t xml:space="preserve"> </w:t>
      </w:r>
      <w:r>
        <w:rPr>
          <w:rFonts w:ascii="Times New Roman" w:hAnsi="Times New Roman" w:eastAsia="Times New Roman" w:cs="Times New Roman"/>
          <w:spacing w:val="-2"/>
        </w:rPr>
        <w:t xml:space="preserve">1 </w:t>
      </w:r>
      <w:r>
        <w:rPr>
          <w:spacing w:val="-2"/>
        </w:rPr>
        <w:t>个井</w:t>
      </w:r>
      <w:r>
        <w:rPr>
          <w:spacing w:val="-3"/>
        </w:rPr>
        <w:t>场，增加占地面积。增加的</w:t>
      </w:r>
      <w:r>
        <w:rPr>
          <w:spacing w:val="-32"/>
        </w:rPr>
        <w:t xml:space="preserve"> </w:t>
      </w:r>
      <w:r>
        <w:rPr>
          <w:rFonts w:ascii="Times New Roman" w:hAnsi="Times New Roman" w:eastAsia="Times New Roman" w:cs="Times New Roman"/>
          <w:spacing w:val="-3"/>
        </w:rPr>
        <w:t xml:space="preserve">1 </w:t>
      </w:r>
      <w:r>
        <w:rPr>
          <w:spacing w:val="-3"/>
        </w:rPr>
        <w:t>个井场均在原环评评价范围内，不会导致敏感点增加。此外，为减少占地面积，位于临河联</w:t>
      </w:r>
      <w:r>
        <w:rPr>
          <w:spacing w:val="2"/>
        </w:rPr>
        <w:t>合站外的放空火炬移至了临河联合站站内，占地面积减</w:t>
      </w:r>
      <w:r>
        <w:rPr>
          <w:spacing w:val="1"/>
        </w:rPr>
        <w:t>少了</w:t>
      </w:r>
      <w:r>
        <w:rPr>
          <w:rFonts w:ascii="Times New Roman" w:hAnsi="Times New Roman" w:eastAsia="Times New Roman" w:cs="Times New Roman"/>
          <w:spacing w:val="1"/>
        </w:rPr>
        <w:t>361m</w:t>
      </w:r>
      <w:r>
        <w:rPr>
          <w:rFonts w:ascii="Times New Roman" w:hAnsi="Times New Roman" w:eastAsia="Times New Roman" w:cs="Times New Roman"/>
          <w:spacing w:val="1"/>
          <w:position w:val="7"/>
          <w:sz w:val="15"/>
          <w:szCs w:val="15"/>
        </w:rPr>
        <w:t>2</w:t>
      </w:r>
      <w:r>
        <w:rPr>
          <w:spacing w:val="1"/>
        </w:rPr>
        <w:t>。</w:t>
      </w:r>
    </w:p>
    <w:p w14:paraId="6C7B3667">
      <w:pPr>
        <w:pStyle w:val="2"/>
        <w:spacing w:before="6" w:line="358" w:lineRule="auto"/>
        <w:ind w:left="23" w:right="11" w:firstLine="474"/>
      </w:pPr>
      <w:r>
        <w:rPr>
          <w:rFonts w:ascii="Times New Roman" w:hAnsi="Times New Roman" w:eastAsia="Times New Roman" w:cs="Times New Roman"/>
        </w:rPr>
        <w:t>4</w:t>
      </w:r>
      <w:r>
        <w:rPr>
          <w:rFonts w:ascii="Times New Roman" w:hAnsi="Times New Roman" w:eastAsia="Times New Roman" w:cs="Times New Roman"/>
          <w:spacing w:val="-33"/>
        </w:rPr>
        <w:t xml:space="preserve"> </w:t>
      </w:r>
      <w:r>
        <w:t>、环评及批复中，兴华区块采出液和临华区块采出液进</w:t>
      </w:r>
      <w:r>
        <w:rPr>
          <w:spacing w:val="-1"/>
        </w:rPr>
        <w:t>入三相分离器，三相分离器分离出的含水油经增压泵增压至</w:t>
      </w:r>
      <w:r>
        <w:rPr>
          <w:spacing w:val="-40"/>
        </w:rPr>
        <w:t xml:space="preserve"> </w:t>
      </w:r>
      <w:r>
        <w:rPr>
          <w:rFonts w:ascii="Times New Roman" w:hAnsi="Times New Roman" w:eastAsia="Times New Roman" w:cs="Times New Roman"/>
          <w:spacing w:val="-1"/>
        </w:rPr>
        <w:t xml:space="preserve">0.5MPa </w:t>
      </w:r>
      <w:r>
        <w:rPr>
          <w:spacing w:val="-1"/>
        </w:rPr>
        <w:t>后进入含水油换热器，含水油</w:t>
      </w:r>
      <w:r>
        <w:rPr>
          <w:spacing w:val="2"/>
        </w:rPr>
        <w:t>经升温后加入破乳剂进入电脱水器脱水至含水</w:t>
      </w:r>
      <w:r>
        <w:rPr>
          <w:rFonts w:ascii="Times New Roman" w:hAnsi="Times New Roman" w:eastAsia="Times New Roman" w:cs="Times New Roman"/>
          <w:spacing w:val="2"/>
        </w:rPr>
        <w:t>0.5%</w:t>
      </w:r>
      <w:r>
        <w:rPr>
          <w:rFonts w:ascii="Times New Roman" w:hAnsi="Times New Roman" w:eastAsia="Times New Roman" w:cs="Times New Roman"/>
          <w:spacing w:val="-16"/>
        </w:rPr>
        <w:t xml:space="preserve"> </w:t>
      </w:r>
      <w:r>
        <w:rPr>
          <w:spacing w:val="2"/>
        </w:rPr>
        <w:t>，可循环利用破乳剂，脱水</w:t>
      </w:r>
      <w:r>
        <w:rPr>
          <w:spacing w:val="-3"/>
        </w:rPr>
        <w:t>合格的原油进入电脱盐装置进行脱盐处理。脱水、脱盐处理合格的原油进入原油</w:t>
      </w:r>
      <w:r>
        <w:rPr>
          <w:spacing w:val="-4"/>
        </w:rPr>
        <w:t>稳定塔（</w:t>
      </w:r>
      <w:r>
        <w:rPr>
          <w:rFonts w:ascii="Times New Roman" w:hAnsi="Times New Roman" w:eastAsia="Times New Roman" w:cs="Times New Roman"/>
          <w:spacing w:val="-4"/>
        </w:rPr>
        <w:t>0.05MPa</w:t>
      </w:r>
      <w:r>
        <w:rPr>
          <w:spacing w:val="-4"/>
        </w:rPr>
        <w:t>（绝压）、</w:t>
      </w:r>
      <w:r>
        <w:rPr>
          <w:rFonts w:ascii="Times New Roman" w:hAnsi="Times New Roman" w:eastAsia="Times New Roman" w:cs="Times New Roman"/>
          <w:spacing w:val="-4"/>
        </w:rPr>
        <w:t>60</w:t>
      </w:r>
      <w:r>
        <w:rPr>
          <w:spacing w:val="-4"/>
        </w:rPr>
        <w:t>℃</w:t>
      </w:r>
      <w:r>
        <w:rPr>
          <w:spacing w:val="-83"/>
        </w:rPr>
        <w:t xml:space="preserve"> </w:t>
      </w:r>
      <w:r>
        <w:rPr>
          <w:spacing w:val="-4"/>
        </w:rPr>
        <w:t>、</w:t>
      </w:r>
      <w:r>
        <w:rPr>
          <w:rFonts w:ascii="Times New Roman" w:hAnsi="Times New Roman" w:eastAsia="Times New Roman" w:cs="Times New Roman"/>
          <w:spacing w:val="-4"/>
        </w:rPr>
        <w:t>3319t/d</w:t>
      </w:r>
      <w:r>
        <w:rPr>
          <w:rFonts w:ascii="Times New Roman" w:hAnsi="Times New Roman" w:eastAsia="Times New Roman" w:cs="Times New Roman"/>
          <w:spacing w:val="-34"/>
        </w:rPr>
        <w:t xml:space="preserve"> </w:t>
      </w:r>
      <w:r>
        <w:rPr>
          <w:spacing w:val="-4"/>
        </w:rPr>
        <w:t>，含水</w:t>
      </w:r>
      <w:r>
        <w:rPr>
          <w:spacing w:val="-52"/>
        </w:rPr>
        <w:t xml:space="preserve"> </w:t>
      </w:r>
      <w:r>
        <w:rPr>
          <w:rFonts w:ascii="Times New Roman" w:hAnsi="Times New Roman" w:eastAsia="Times New Roman" w:cs="Times New Roman"/>
          <w:spacing w:val="-4"/>
        </w:rPr>
        <w:t>0.5%</w:t>
      </w:r>
      <w:r>
        <w:rPr>
          <w:spacing w:val="-4"/>
        </w:rPr>
        <w:t>）进行脱气处理，原油稳</w:t>
      </w:r>
      <w:r>
        <w:rPr>
          <w:spacing w:val="-1"/>
        </w:rPr>
        <w:t>定塔塔底原油经过塔底泵提升至</w:t>
      </w:r>
      <w:r>
        <w:rPr>
          <w:spacing w:val="-32"/>
        </w:rPr>
        <w:t xml:space="preserve"> </w:t>
      </w:r>
      <w:r>
        <w:rPr>
          <w:rFonts w:ascii="Times New Roman" w:hAnsi="Times New Roman" w:eastAsia="Times New Roman" w:cs="Times New Roman"/>
          <w:spacing w:val="-1"/>
        </w:rPr>
        <w:t xml:space="preserve">5 </w:t>
      </w:r>
      <w:r>
        <w:rPr>
          <w:spacing w:val="-1"/>
        </w:rPr>
        <w:t>座</w:t>
      </w:r>
      <w:r>
        <w:rPr>
          <w:spacing w:val="-49"/>
        </w:rPr>
        <w:t xml:space="preserve"> </w:t>
      </w:r>
      <w:r>
        <w:rPr>
          <w:rFonts w:ascii="Times New Roman" w:hAnsi="Times New Roman" w:eastAsia="Times New Roman" w:cs="Times New Roman"/>
          <w:spacing w:val="-1"/>
        </w:rPr>
        <w:t>5000m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8"/>
          <w:position w:val="7"/>
          <w:sz w:val="15"/>
          <w:szCs w:val="15"/>
        </w:rPr>
        <w:t xml:space="preserve"> </w:t>
      </w:r>
      <w:r>
        <w:rPr>
          <w:spacing w:val="-1"/>
        </w:rPr>
        <w:t>常压储罐储存，再经输油泵将原油</w:t>
      </w:r>
      <w:r>
        <w:rPr>
          <w:spacing w:val="-3"/>
        </w:rPr>
        <w:t>分批次输送至原油转运站。实际建设过程中，原油稳定塔不再建设，兴华区块采出液和临华区块采出液进入三相分离器，三相分离器分离出的含水油经增压泵增</w:t>
      </w:r>
      <w:r>
        <w:rPr>
          <w:spacing w:val="-1"/>
        </w:rPr>
        <w:t>压至</w:t>
      </w:r>
      <w:r>
        <w:rPr>
          <w:spacing w:val="-40"/>
        </w:rPr>
        <w:t xml:space="preserve"> </w:t>
      </w:r>
      <w:r>
        <w:rPr>
          <w:rFonts w:ascii="Times New Roman" w:hAnsi="Times New Roman" w:eastAsia="Times New Roman" w:cs="Times New Roman"/>
          <w:spacing w:val="-1"/>
        </w:rPr>
        <w:t xml:space="preserve">0.5MPa </w:t>
      </w:r>
      <w:r>
        <w:rPr>
          <w:spacing w:val="-1"/>
        </w:rPr>
        <w:t>后进入含水油换热器，含水油经升温后加入破乳剂进入电脱水器脱</w:t>
      </w:r>
      <w:r>
        <w:rPr>
          <w:spacing w:val="2"/>
        </w:rPr>
        <w:t>水至含水</w:t>
      </w:r>
      <w:r>
        <w:rPr>
          <w:rFonts w:ascii="Times New Roman" w:hAnsi="Times New Roman" w:eastAsia="Times New Roman" w:cs="Times New Roman"/>
          <w:spacing w:val="2"/>
        </w:rPr>
        <w:t>0.5%</w:t>
      </w:r>
      <w:r>
        <w:rPr>
          <w:rFonts w:ascii="Times New Roman" w:hAnsi="Times New Roman" w:eastAsia="Times New Roman" w:cs="Times New Roman"/>
          <w:spacing w:val="-17"/>
        </w:rPr>
        <w:t xml:space="preserve"> </w:t>
      </w:r>
      <w:r>
        <w:rPr>
          <w:spacing w:val="2"/>
        </w:rPr>
        <w:t>，脱水合格的原油进入电脱盐装置进行脱盐处理。脱水、脱盐合</w:t>
      </w:r>
      <w:r>
        <w:rPr>
          <w:spacing w:val="-1"/>
        </w:rPr>
        <w:t>格的原油进入</w:t>
      </w:r>
      <w:r>
        <w:rPr>
          <w:spacing w:val="-34"/>
        </w:rPr>
        <w:t xml:space="preserve"> </w:t>
      </w:r>
      <w:r>
        <w:rPr>
          <w:rFonts w:ascii="Times New Roman" w:hAnsi="Times New Roman" w:eastAsia="Times New Roman" w:cs="Times New Roman"/>
          <w:spacing w:val="-1"/>
        </w:rPr>
        <w:t xml:space="preserve">5 </w:t>
      </w:r>
      <w:r>
        <w:rPr>
          <w:spacing w:val="-1"/>
        </w:rPr>
        <w:t>座</w:t>
      </w:r>
      <w:r>
        <w:rPr>
          <w:spacing w:val="-49"/>
        </w:rPr>
        <w:t xml:space="preserve"> </w:t>
      </w:r>
      <w:r>
        <w:rPr>
          <w:rFonts w:ascii="Times New Roman" w:hAnsi="Times New Roman" w:eastAsia="Times New Roman" w:cs="Times New Roman"/>
          <w:spacing w:val="-1"/>
        </w:rPr>
        <w:t>5000m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7"/>
          <w:w w:val="102"/>
          <w:position w:val="7"/>
          <w:sz w:val="15"/>
          <w:szCs w:val="15"/>
        </w:rPr>
        <w:t xml:space="preserve"> </w:t>
      </w:r>
      <w:r>
        <w:rPr>
          <w:spacing w:val="-1"/>
        </w:rPr>
        <w:t>常压储罐储存，再经输油泵将原油分批次输送至原油</w:t>
      </w:r>
      <w:r>
        <w:rPr>
          <w:spacing w:val="-3"/>
        </w:rPr>
        <w:t>转运站。</w:t>
      </w:r>
    </w:p>
    <w:p w14:paraId="67955F9B">
      <w:pPr>
        <w:pStyle w:val="2"/>
        <w:spacing w:before="26" w:line="353" w:lineRule="auto"/>
        <w:ind w:left="22" w:right="11" w:firstLine="482"/>
      </w:pPr>
      <w:r>
        <w:rPr>
          <w:rFonts w:ascii="Times New Roman" w:hAnsi="Times New Roman" w:eastAsia="Times New Roman" w:cs="Times New Roman"/>
          <w:spacing w:val="-2"/>
        </w:rPr>
        <w:t>5</w:t>
      </w:r>
      <w:r>
        <w:rPr>
          <w:rFonts w:ascii="Times New Roman" w:hAnsi="Times New Roman" w:eastAsia="Times New Roman" w:cs="Times New Roman"/>
          <w:spacing w:val="-34"/>
        </w:rPr>
        <w:t xml:space="preserve"> </w:t>
      </w:r>
      <w:r>
        <w:rPr>
          <w:spacing w:val="-2"/>
        </w:rPr>
        <w:t>、环评及批复中，来自三相分离器的伴生气（</w:t>
      </w:r>
      <w:r>
        <w:rPr>
          <w:rFonts w:ascii="Times New Roman" w:hAnsi="Times New Roman" w:eastAsia="Times New Roman" w:cs="Times New Roman"/>
          <w:spacing w:val="-2"/>
        </w:rPr>
        <w:t>0.1MPag~0.15MPa</w:t>
      </w:r>
      <w:r>
        <w:rPr>
          <w:rFonts w:ascii="Times New Roman" w:hAnsi="Times New Roman" w:eastAsia="Times New Roman" w:cs="Times New Roman"/>
          <w:spacing w:val="-3"/>
        </w:rPr>
        <w:t>g</w:t>
      </w:r>
      <w:r>
        <w:rPr>
          <w:spacing w:val="-3"/>
        </w:rPr>
        <w:t>）经分离</w:t>
      </w:r>
      <w:r>
        <w:rPr>
          <w:spacing w:val="-2"/>
        </w:rPr>
        <w:t>器滤除凝液后，经压缩机增压至</w:t>
      </w:r>
      <w:r>
        <w:rPr>
          <w:spacing w:val="-55"/>
        </w:rPr>
        <w:t xml:space="preserve"> </w:t>
      </w:r>
      <w:r>
        <w:rPr>
          <w:rFonts w:ascii="Times New Roman" w:hAnsi="Times New Roman" w:eastAsia="Times New Roman" w:cs="Times New Roman"/>
          <w:spacing w:val="-2"/>
        </w:rPr>
        <w:t>2.2MPag</w:t>
      </w:r>
      <w:r>
        <w:rPr>
          <w:spacing w:val="-2"/>
        </w:rPr>
        <w:t>，然后进入脱酸装置脱酸、分</w:t>
      </w:r>
      <w:r>
        <w:rPr>
          <w:spacing w:val="-3"/>
        </w:rPr>
        <w:t>子筛脱水</w:t>
      </w:r>
      <w:r>
        <w:rPr>
          <w:spacing w:val="15"/>
        </w:rPr>
        <w:t>装置脱水，脱除水后的进入板翅冷箱</w:t>
      </w:r>
      <w:r>
        <w:rPr>
          <w:spacing w:val="-23"/>
        </w:rPr>
        <w:t xml:space="preserve"> </w:t>
      </w:r>
      <w:r>
        <w:rPr>
          <w:rFonts w:ascii="Times New Roman" w:hAnsi="Times New Roman" w:eastAsia="Times New Roman" w:cs="Times New Roman"/>
          <w:spacing w:val="15"/>
        </w:rPr>
        <w:t>I</w:t>
      </w:r>
      <w:r>
        <w:rPr>
          <w:rFonts w:ascii="Times New Roman" w:hAnsi="Times New Roman" w:eastAsia="Times New Roman" w:cs="Times New Roman"/>
          <w:spacing w:val="29"/>
          <w:w w:val="101"/>
        </w:rPr>
        <w:t xml:space="preserve"> </w:t>
      </w:r>
      <w:r>
        <w:rPr>
          <w:spacing w:val="15"/>
        </w:rPr>
        <w:t>冷却至</w:t>
      </w:r>
      <w:r>
        <w:rPr>
          <w:rFonts w:ascii="Times New Roman" w:hAnsi="Times New Roman" w:eastAsia="Times New Roman" w:cs="Times New Roman"/>
          <w:spacing w:val="15"/>
        </w:rPr>
        <w:t>-32</w:t>
      </w:r>
      <w:r>
        <w:rPr>
          <w:spacing w:val="15"/>
        </w:rPr>
        <w:t>℃后经调节阀节流降压至</w:t>
      </w:r>
      <w:r>
        <w:rPr>
          <w:rFonts w:ascii="Times New Roman" w:hAnsi="Times New Roman" w:eastAsia="Times New Roman" w:cs="Times New Roman"/>
          <w:spacing w:val="-2"/>
        </w:rPr>
        <w:t xml:space="preserve">0.6MPag </w:t>
      </w:r>
      <w:r>
        <w:rPr>
          <w:spacing w:val="-2"/>
        </w:rPr>
        <w:t>进入低温分离器，气相和低温凝液后进入板翅冷箱</w:t>
      </w:r>
      <w:r>
        <w:rPr>
          <w:spacing w:val="-49"/>
        </w:rPr>
        <w:t xml:space="preserve"> </w:t>
      </w:r>
      <w:r>
        <w:rPr>
          <w:rFonts w:ascii="Times New Roman" w:hAnsi="Times New Roman" w:eastAsia="Times New Roman" w:cs="Times New Roman"/>
          <w:spacing w:val="-2"/>
        </w:rPr>
        <w:t>I</w:t>
      </w:r>
      <w:r>
        <w:rPr>
          <w:rFonts w:ascii="Times New Roman" w:hAnsi="Times New Roman" w:eastAsia="Times New Roman" w:cs="Times New Roman"/>
          <w:spacing w:val="32"/>
          <w:w w:val="101"/>
        </w:rPr>
        <w:t xml:space="preserve"> </w:t>
      </w:r>
      <w:r>
        <w:rPr>
          <w:spacing w:val="-2"/>
        </w:rPr>
        <w:t>回收冷量后，气相</w:t>
      </w:r>
    </w:p>
    <w:p w14:paraId="6E27E5F7">
      <w:pPr>
        <w:spacing w:line="353" w:lineRule="auto"/>
        <w:sectPr>
          <w:footerReference r:id="rId165" w:type="default"/>
          <w:pgSz w:w="11906" w:h="16839"/>
          <w:pgMar w:top="400" w:right="1785" w:bottom="1253" w:left="1785" w:header="0" w:footer="937" w:gutter="0"/>
          <w:cols w:space="720" w:num="1"/>
        </w:sectPr>
      </w:pPr>
    </w:p>
    <w:p w14:paraId="29F709A9">
      <w:pPr>
        <w:spacing w:line="258" w:lineRule="auto"/>
        <w:rPr>
          <w:rFonts w:ascii="Arial"/>
          <w:sz w:val="21"/>
        </w:rPr>
      </w:pPr>
    </w:p>
    <w:p w14:paraId="79DFDDD3">
      <w:pPr>
        <w:spacing w:line="258" w:lineRule="auto"/>
        <w:rPr>
          <w:rFonts w:ascii="Arial"/>
          <w:sz w:val="21"/>
        </w:rPr>
      </w:pPr>
    </w:p>
    <w:p w14:paraId="0F965E7B">
      <w:pPr>
        <w:spacing w:line="259" w:lineRule="auto"/>
        <w:rPr>
          <w:rFonts w:ascii="Arial"/>
          <w:sz w:val="21"/>
        </w:rPr>
      </w:pPr>
    </w:p>
    <w:p w14:paraId="3DDB9476">
      <w:pPr>
        <w:spacing w:line="259" w:lineRule="auto"/>
        <w:rPr>
          <w:rFonts w:ascii="Arial"/>
          <w:sz w:val="21"/>
        </w:rPr>
      </w:pPr>
    </w:p>
    <w:p w14:paraId="2423EBDF">
      <w:pPr>
        <w:pStyle w:val="2"/>
        <w:spacing w:before="78" w:line="351" w:lineRule="auto"/>
        <w:ind w:left="22" w:firstLine="1"/>
        <w:jc w:val="both"/>
      </w:pPr>
      <w:r>
        <w:rPr>
          <w:spacing w:val="1"/>
        </w:rPr>
        <w:t>作为成品气，液相在</w:t>
      </w:r>
      <w:r>
        <w:rPr>
          <w:rFonts w:ascii="Times New Roman" w:hAnsi="Times New Roman" w:eastAsia="Times New Roman" w:cs="Times New Roman"/>
          <w:spacing w:val="1"/>
        </w:rPr>
        <w:t>20</w:t>
      </w:r>
      <w:r>
        <w:rPr>
          <w:spacing w:val="1"/>
        </w:rPr>
        <w:t>℃</w:t>
      </w:r>
      <w:r>
        <w:rPr>
          <w:spacing w:val="-78"/>
        </w:rPr>
        <w:t xml:space="preserve"> </w:t>
      </w:r>
      <w:r>
        <w:rPr>
          <w:spacing w:val="1"/>
        </w:rPr>
        <w:t>,</w:t>
      </w:r>
      <w:r>
        <w:rPr>
          <w:spacing w:val="84"/>
        </w:rPr>
        <w:t xml:space="preserve"> </w:t>
      </w:r>
      <w:r>
        <w:rPr>
          <w:rFonts w:ascii="Times New Roman" w:hAnsi="Times New Roman" w:eastAsia="Times New Roman" w:cs="Times New Roman"/>
          <w:spacing w:val="1"/>
        </w:rPr>
        <w:t>1.8</w:t>
      </w:r>
      <w:r>
        <w:rPr>
          <w:rFonts w:ascii="Times New Roman" w:hAnsi="Times New Roman" w:eastAsia="Times New Roman" w:cs="Times New Roman"/>
        </w:rPr>
        <w:t>MPag</w:t>
      </w:r>
      <w:r>
        <w:rPr>
          <w:rFonts w:ascii="Times New Roman" w:hAnsi="Times New Roman" w:eastAsia="Times New Roman" w:cs="Times New Roman"/>
          <w:spacing w:val="1"/>
        </w:rPr>
        <w:t xml:space="preserve"> </w:t>
      </w:r>
      <w:r>
        <w:rPr>
          <w:spacing w:val="1"/>
        </w:rPr>
        <w:t>进入脱乙烷塔顶部进料。脱乙烷塔塔顶气</w:t>
      </w:r>
      <w:r>
        <w:rPr>
          <w:spacing w:val="-2"/>
        </w:rPr>
        <w:t>（</w:t>
      </w:r>
      <w:r>
        <w:rPr>
          <w:rFonts w:ascii="Times New Roman" w:hAnsi="Times New Roman" w:eastAsia="Times New Roman" w:cs="Times New Roman"/>
          <w:spacing w:val="-2"/>
        </w:rPr>
        <w:t>-10.</w:t>
      </w:r>
      <w:r>
        <w:rPr>
          <w:rFonts w:ascii="Times New Roman" w:hAnsi="Times New Roman" w:eastAsia="Times New Roman" w:cs="Times New Roman"/>
          <w:spacing w:val="-31"/>
        </w:rPr>
        <w:t xml:space="preserve"> </w:t>
      </w:r>
      <w:r>
        <w:rPr>
          <w:rFonts w:ascii="Times New Roman" w:hAnsi="Times New Roman" w:eastAsia="Times New Roman" w:cs="Times New Roman"/>
          <w:spacing w:val="-2"/>
        </w:rPr>
        <w:t>1</w:t>
      </w:r>
      <w:r>
        <w:rPr>
          <w:spacing w:val="-2"/>
        </w:rPr>
        <w:t>℃、</w:t>
      </w:r>
      <w:r>
        <w:rPr>
          <w:rFonts w:ascii="Times New Roman" w:hAnsi="Times New Roman" w:eastAsia="Times New Roman" w:cs="Times New Roman"/>
          <w:spacing w:val="-2"/>
        </w:rPr>
        <w:t>1.7MPag</w:t>
      </w:r>
      <w:r>
        <w:rPr>
          <w:spacing w:val="-59"/>
        </w:rPr>
        <w:t>），</w:t>
      </w:r>
      <w:r>
        <w:rPr>
          <w:spacing w:val="-2"/>
        </w:rPr>
        <w:t>进入板翅冷箱</w:t>
      </w:r>
      <w:r>
        <w:rPr>
          <w:spacing w:val="-54"/>
        </w:rPr>
        <w:t xml:space="preserve"> </w:t>
      </w:r>
      <w:r>
        <w:rPr>
          <w:rFonts w:ascii="Times New Roman" w:hAnsi="Times New Roman" w:eastAsia="Times New Roman" w:cs="Times New Roman"/>
          <w:spacing w:val="-2"/>
        </w:rPr>
        <w:t>II</w:t>
      </w:r>
      <w:r>
        <w:rPr>
          <w:rFonts w:ascii="Times New Roman" w:hAnsi="Times New Roman" w:eastAsia="Times New Roman" w:cs="Times New Roman"/>
          <w:spacing w:val="15"/>
        </w:rPr>
        <w:t xml:space="preserve"> </w:t>
      </w:r>
      <w:r>
        <w:rPr>
          <w:spacing w:val="-2"/>
        </w:rPr>
        <w:t>冷却至</w:t>
      </w:r>
      <w:r>
        <w:rPr>
          <w:rFonts w:ascii="Times New Roman" w:hAnsi="Times New Roman" w:eastAsia="Times New Roman" w:cs="Times New Roman"/>
          <w:spacing w:val="-2"/>
        </w:rPr>
        <w:t>-25</w:t>
      </w:r>
      <w:r>
        <w:rPr>
          <w:spacing w:val="-2"/>
        </w:rPr>
        <w:t>℃后，进入分离器，气相节流</w:t>
      </w:r>
      <w:r>
        <w:t xml:space="preserve"> </w:t>
      </w:r>
      <w:r>
        <w:rPr>
          <w:rFonts w:ascii="Times New Roman" w:hAnsi="Times New Roman" w:eastAsia="Times New Roman" w:cs="Times New Roman"/>
          <w:spacing w:val="-4"/>
        </w:rPr>
        <w:t xml:space="preserve">0.6MPag </w:t>
      </w:r>
      <w:r>
        <w:rPr>
          <w:spacing w:val="-4"/>
        </w:rPr>
        <w:t>返回板翅冷箱</w:t>
      </w:r>
      <w:r>
        <w:rPr>
          <w:spacing w:val="-54"/>
        </w:rPr>
        <w:t xml:space="preserve"> </w:t>
      </w:r>
      <w:r>
        <w:rPr>
          <w:rFonts w:ascii="Times New Roman" w:hAnsi="Times New Roman" w:eastAsia="Times New Roman" w:cs="Times New Roman"/>
          <w:spacing w:val="-4"/>
        </w:rPr>
        <w:t>II</w:t>
      </w:r>
      <w:r>
        <w:rPr>
          <w:rFonts w:ascii="Times New Roman" w:hAnsi="Times New Roman" w:eastAsia="Times New Roman" w:cs="Times New Roman"/>
          <w:spacing w:val="17"/>
          <w:w w:val="101"/>
        </w:rPr>
        <w:t xml:space="preserve"> </w:t>
      </w:r>
      <w:r>
        <w:rPr>
          <w:spacing w:val="-4"/>
        </w:rPr>
        <w:t>复热为成品气外输，液</w:t>
      </w:r>
      <w:r>
        <w:rPr>
          <w:spacing w:val="-5"/>
        </w:rPr>
        <w:t>相经增压泵作为脱乙烷塔的液相。</w:t>
      </w:r>
    </w:p>
    <w:p w14:paraId="1CE18F33">
      <w:pPr>
        <w:pStyle w:val="2"/>
        <w:spacing w:before="69" w:line="357" w:lineRule="auto"/>
        <w:ind w:left="23" w:right="164" w:firstLine="480"/>
        <w:jc w:val="both"/>
      </w:pPr>
      <w:r>
        <w:rPr>
          <w:spacing w:val="-3"/>
        </w:rPr>
        <w:t>脱乙烷塔底液烃经过脱乙烷塔重沸器加热后，气相返回脱乙烷</w:t>
      </w:r>
      <w:r>
        <w:rPr>
          <w:spacing w:val="-4"/>
        </w:rPr>
        <w:t>塔，液相进入</w:t>
      </w:r>
      <w:r>
        <w:rPr>
          <w:spacing w:val="1"/>
        </w:rPr>
        <w:t>液化气塔，液化气塔顶气经液化气塔顶冷却器冷却至</w:t>
      </w:r>
      <w:r>
        <w:rPr>
          <w:rFonts w:ascii="Times New Roman" w:hAnsi="Times New Roman" w:eastAsia="Times New Roman" w:cs="Times New Roman"/>
          <w:spacing w:val="1"/>
        </w:rPr>
        <w:t>45</w:t>
      </w:r>
      <w:r>
        <w:rPr>
          <w:spacing w:val="1"/>
        </w:rPr>
        <w:t>℃</w:t>
      </w:r>
      <w:r>
        <w:rPr>
          <w:spacing w:val="-84"/>
        </w:rPr>
        <w:t xml:space="preserve"> </w:t>
      </w:r>
      <w:r>
        <w:rPr>
          <w:spacing w:val="1"/>
        </w:rPr>
        <w:t>,</w:t>
      </w:r>
      <w:r>
        <w:rPr>
          <w:spacing w:val="64"/>
        </w:rPr>
        <w:t xml:space="preserve"> </w:t>
      </w:r>
      <w:r>
        <w:rPr>
          <w:spacing w:val="1"/>
        </w:rPr>
        <w:t>然后进入液化气塔</w:t>
      </w:r>
      <w:r>
        <w:rPr>
          <w:spacing w:val="-3"/>
        </w:rPr>
        <w:t>顶回流罐。液化气塔顶回流罐的液化气一部分经液化气塔底回流泵进入液化气塔顶作为回流，另外一部分进入液化气储罐储存后经液化气装车泵及定量装车橇车拉外运。液化气塔底凝液经液化气塔底重沸器加热后，气相返回液化气塔，液相</w:t>
      </w:r>
      <w:r>
        <w:rPr>
          <w:spacing w:val="1"/>
        </w:rPr>
        <w:t>经干气</w:t>
      </w:r>
      <w:r>
        <w:rPr>
          <w:rFonts w:ascii="Times New Roman" w:hAnsi="Times New Roman" w:eastAsia="Times New Roman" w:cs="Times New Roman"/>
          <w:spacing w:val="1"/>
        </w:rPr>
        <w:t>-</w:t>
      </w:r>
      <w:r>
        <w:rPr>
          <w:spacing w:val="1"/>
        </w:rPr>
        <w:t>轻油换热器和轻油冷却器冷却至</w:t>
      </w:r>
      <w:r>
        <w:rPr>
          <w:spacing w:val="-41"/>
        </w:rPr>
        <w:t xml:space="preserve"> </w:t>
      </w:r>
      <w:r>
        <w:rPr>
          <w:rFonts w:ascii="Times New Roman" w:hAnsi="Times New Roman" w:eastAsia="Times New Roman" w:cs="Times New Roman"/>
          <w:spacing w:val="1"/>
        </w:rPr>
        <w:t>37.8</w:t>
      </w:r>
      <w:r>
        <w:rPr>
          <w:spacing w:val="1"/>
        </w:rPr>
        <w:t>℃后进入稳定轻烃储罐，再经稳定</w:t>
      </w:r>
      <w:r>
        <w:rPr>
          <w:spacing w:val="-2"/>
        </w:rPr>
        <w:t>轻烃装车泵及定量装车橇车拉外运。实际建设过程中，脱乙烷塔部分不再建设，分离出的气相和液相分别返回冷箱</w:t>
      </w:r>
      <w:r>
        <w:rPr>
          <w:spacing w:val="-54"/>
        </w:rPr>
        <w:t xml:space="preserve"> </w:t>
      </w:r>
      <w:r>
        <w:rPr>
          <w:rFonts w:ascii="Times New Roman" w:hAnsi="Times New Roman" w:eastAsia="Times New Roman" w:cs="Times New Roman"/>
          <w:spacing w:val="-2"/>
        </w:rPr>
        <w:t>I</w:t>
      </w:r>
      <w:r>
        <w:rPr>
          <w:rFonts w:ascii="Times New Roman" w:hAnsi="Times New Roman" w:eastAsia="Times New Roman" w:cs="Times New Roman"/>
          <w:spacing w:val="16"/>
        </w:rPr>
        <w:t xml:space="preserve"> </w:t>
      </w:r>
      <w:r>
        <w:rPr>
          <w:spacing w:val="-2"/>
        </w:rPr>
        <w:t>复热。</w:t>
      </w:r>
      <w:r>
        <w:rPr>
          <w:spacing w:val="-3"/>
        </w:rPr>
        <w:t>气相作为成品气，进入城镇管网，液</w:t>
      </w:r>
      <w:r>
        <w:rPr>
          <w:spacing w:val="-2"/>
        </w:rPr>
        <w:t>相进入脱冷箱换热。</w:t>
      </w:r>
    </w:p>
    <w:p w14:paraId="046B8285">
      <w:pPr>
        <w:pStyle w:val="2"/>
        <w:spacing w:before="3" w:line="355" w:lineRule="auto"/>
        <w:ind w:left="19" w:right="135" w:firstLine="485"/>
      </w:pPr>
      <w:r>
        <w:rPr>
          <w:rFonts w:ascii="Times New Roman" w:hAnsi="Times New Roman" w:eastAsia="Times New Roman" w:cs="Times New Roman"/>
          <w:spacing w:val="-8"/>
        </w:rPr>
        <w:t>6</w:t>
      </w:r>
      <w:r>
        <w:rPr>
          <w:spacing w:val="-8"/>
        </w:rPr>
        <w:t>、环评及批复中，为保证热源供应，在联合站内设置一台</w:t>
      </w:r>
      <w:r>
        <w:rPr>
          <w:rFonts w:ascii="Times New Roman" w:hAnsi="Times New Roman" w:eastAsia="Times New Roman" w:cs="Times New Roman"/>
          <w:spacing w:val="-8"/>
        </w:rPr>
        <w:t>0.7MW</w:t>
      </w:r>
      <w:r>
        <w:rPr>
          <w:rFonts w:ascii="Times New Roman" w:hAnsi="Times New Roman" w:eastAsia="Times New Roman" w:cs="Times New Roman"/>
          <w:spacing w:val="48"/>
          <w:w w:val="101"/>
        </w:rPr>
        <w:t xml:space="preserve"> </w:t>
      </w:r>
      <w:r>
        <w:rPr>
          <w:spacing w:val="-8"/>
        </w:rPr>
        <w:t>的加热炉，</w:t>
      </w:r>
      <w:r>
        <w:rPr>
          <w:spacing w:val="1"/>
        </w:rPr>
        <w:t>加热炉燃烧废气经</w:t>
      </w:r>
      <w:r>
        <w:rPr>
          <w:spacing w:val="-23"/>
        </w:rPr>
        <w:t xml:space="preserve"> </w:t>
      </w:r>
      <w:r>
        <w:rPr>
          <w:rFonts w:ascii="Times New Roman" w:hAnsi="Times New Roman" w:eastAsia="Times New Roman" w:cs="Times New Roman"/>
          <w:spacing w:val="1"/>
        </w:rPr>
        <w:t xml:space="preserve">14m </w:t>
      </w:r>
      <w:r>
        <w:rPr>
          <w:spacing w:val="1"/>
        </w:rPr>
        <w:t>排气筒排放，实际建设过程中，在联合站内设置了一台</w:t>
      </w:r>
      <w:r>
        <w:rPr>
          <w:rFonts w:ascii="Times New Roman" w:hAnsi="Times New Roman" w:eastAsia="Times New Roman" w:cs="Times New Roman"/>
          <w:spacing w:val="-6"/>
        </w:rPr>
        <w:t>2.4MW</w:t>
      </w:r>
      <w:r>
        <w:rPr>
          <w:rFonts w:ascii="Times New Roman" w:hAnsi="Times New Roman" w:eastAsia="Times New Roman" w:cs="Times New Roman"/>
          <w:spacing w:val="28"/>
        </w:rPr>
        <w:t xml:space="preserve"> </w:t>
      </w:r>
      <w:r>
        <w:rPr>
          <w:spacing w:val="-6"/>
        </w:rPr>
        <w:t>的加热炉，加热炉燃烧废气经</w:t>
      </w:r>
      <w:r>
        <w:rPr>
          <w:spacing w:val="-32"/>
        </w:rPr>
        <w:t xml:space="preserve"> </w:t>
      </w:r>
      <w:r>
        <w:rPr>
          <w:rFonts w:ascii="Times New Roman" w:hAnsi="Times New Roman" w:eastAsia="Times New Roman" w:cs="Times New Roman"/>
          <w:spacing w:val="-6"/>
        </w:rPr>
        <w:t xml:space="preserve">18m </w:t>
      </w:r>
      <w:r>
        <w:rPr>
          <w:spacing w:val="-6"/>
        </w:rPr>
        <w:t>排气筒排放，加热炉排气筒高度</w:t>
      </w:r>
      <w:r>
        <w:rPr>
          <w:spacing w:val="-7"/>
        </w:rPr>
        <w:t>增加，</w:t>
      </w:r>
      <w:r>
        <w:rPr>
          <w:spacing w:val="-1"/>
        </w:rPr>
        <w:t>加热炉为备用加热炉，加热炉用气量不变，</w:t>
      </w:r>
      <w:r>
        <w:rPr>
          <w:rFonts w:ascii="Times New Roman" w:hAnsi="Times New Roman" w:eastAsia="Times New Roman" w:cs="Times New Roman"/>
          <w:spacing w:val="-1"/>
        </w:rPr>
        <w:t>SO</w:t>
      </w:r>
      <w:r>
        <w:rPr>
          <w:rFonts w:ascii="Times New Roman" w:hAnsi="Times New Roman" w:eastAsia="Times New Roman" w:cs="Times New Roman"/>
          <w:spacing w:val="-1"/>
          <w:position w:val="-1"/>
          <w:sz w:val="15"/>
          <w:szCs w:val="15"/>
        </w:rPr>
        <w:t xml:space="preserve">2 </w:t>
      </w:r>
      <w:r>
        <w:rPr>
          <w:spacing w:val="-1"/>
        </w:rPr>
        <w:t>、</w:t>
      </w:r>
      <w:r>
        <w:rPr>
          <w:rFonts w:ascii="Times New Roman" w:hAnsi="Times New Roman" w:eastAsia="Times New Roman" w:cs="Times New Roman"/>
          <w:spacing w:val="-1"/>
        </w:rPr>
        <w:t>NO</w:t>
      </w:r>
      <w:r>
        <w:rPr>
          <w:rFonts w:ascii="Times New Roman" w:hAnsi="Times New Roman" w:eastAsia="Times New Roman" w:cs="Times New Roman"/>
          <w:spacing w:val="-1"/>
          <w:position w:val="-1"/>
          <w:sz w:val="15"/>
          <w:szCs w:val="15"/>
        </w:rPr>
        <w:t>X</w:t>
      </w:r>
      <w:r>
        <w:rPr>
          <w:rFonts w:ascii="Times New Roman" w:hAnsi="Times New Roman" w:eastAsia="Times New Roman" w:cs="Times New Roman"/>
          <w:spacing w:val="-14"/>
          <w:position w:val="-1"/>
          <w:sz w:val="15"/>
          <w:szCs w:val="15"/>
        </w:rPr>
        <w:t xml:space="preserve"> </w:t>
      </w:r>
      <w:r>
        <w:rPr>
          <w:spacing w:val="-1"/>
        </w:rPr>
        <w:t>、颗粒物的产生量不会增</w:t>
      </w:r>
      <w:r>
        <w:rPr>
          <w:spacing w:val="-3"/>
        </w:rPr>
        <w:t>加。</w:t>
      </w:r>
    </w:p>
    <w:p w14:paraId="30BCFA9E">
      <w:pPr>
        <w:pStyle w:val="2"/>
        <w:spacing w:before="34" w:line="362" w:lineRule="auto"/>
        <w:ind w:left="23" w:right="137" w:firstLine="479"/>
      </w:pPr>
      <w:r>
        <w:rPr>
          <w:rFonts w:ascii="Times New Roman" w:hAnsi="Times New Roman" w:eastAsia="Times New Roman" w:cs="Times New Roman"/>
          <w:spacing w:val="-5"/>
        </w:rPr>
        <w:t>7</w:t>
      </w:r>
      <w:r>
        <w:rPr>
          <w:spacing w:val="-5"/>
        </w:rPr>
        <w:t>、环评阶段，项目计划在联合站内东北部设</w:t>
      </w:r>
      <w:r>
        <w:rPr>
          <w:spacing w:val="-6"/>
        </w:rPr>
        <w:t>置占地面积为</w:t>
      </w:r>
      <w:r>
        <w:rPr>
          <w:rFonts w:ascii="Times New Roman" w:hAnsi="Times New Roman" w:eastAsia="Times New Roman" w:cs="Times New Roman"/>
          <w:spacing w:val="-6"/>
        </w:rPr>
        <w:t>280m2</w:t>
      </w:r>
      <w:r>
        <w:rPr>
          <w:rFonts w:ascii="Times New Roman" w:hAnsi="Times New Roman" w:eastAsia="Times New Roman" w:cs="Times New Roman"/>
          <w:spacing w:val="29"/>
        </w:rPr>
        <w:t xml:space="preserve"> </w:t>
      </w:r>
      <w:r>
        <w:rPr>
          <w:spacing w:val="-6"/>
        </w:rPr>
        <w:t>的油泥池，</w:t>
      </w:r>
      <w:r>
        <w:rPr>
          <w:spacing w:val="-3"/>
        </w:rPr>
        <w:t>主要用于贮存落地油、含油污泥。含油污泥主要来自联合站内油罐清洗及采出水处理系统。实际建设过程中，为提高收集效率，在原占地上分别建设了占地面积</w:t>
      </w:r>
      <w:r>
        <w:rPr>
          <w:rFonts w:ascii="Times New Roman" w:hAnsi="Times New Roman" w:eastAsia="Times New Roman" w:cs="Times New Roman"/>
          <w:spacing w:val="-3"/>
        </w:rPr>
        <w:t>140m</w:t>
      </w:r>
      <w:r>
        <w:rPr>
          <w:rFonts w:ascii="Times New Roman" w:hAnsi="Times New Roman" w:eastAsia="Times New Roman" w:cs="Times New Roman"/>
          <w:spacing w:val="-3"/>
          <w:position w:val="7"/>
          <w:sz w:val="15"/>
          <w:szCs w:val="15"/>
        </w:rPr>
        <w:t>2</w:t>
      </w:r>
      <w:r>
        <w:rPr>
          <w:rFonts w:ascii="Times New Roman" w:hAnsi="Times New Roman" w:eastAsia="Times New Roman" w:cs="Times New Roman"/>
          <w:spacing w:val="31"/>
          <w:w w:val="102"/>
          <w:position w:val="7"/>
          <w:sz w:val="15"/>
          <w:szCs w:val="15"/>
        </w:rPr>
        <w:t xml:space="preserve"> </w:t>
      </w:r>
      <w:r>
        <w:rPr>
          <w:spacing w:val="-3"/>
        </w:rPr>
        <w:t>的油泥池和占地面积</w:t>
      </w:r>
      <w:r>
        <w:rPr>
          <w:spacing w:val="-32"/>
        </w:rPr>
        <w:t xml:space="preserve"> </w:t>
      </w:r>
      <w:r>
        <w:rPr>
          <w:rFonts w:ascii="Times New Roman" w:hAnsi="Times New Roman" w:eastAsia="Times New Roman" w:cs="Times New Roman"/>
          <w:spacing w:val="-3"/>
        </w:rPr>
        <w:t>140m</w:t>
      </w:r>
      <w:r>
        <w:rPr>
          <w:rFonts w:ascii="Times New Roman" w:hAnsi="Times New Roman" w:eastAsia="Times New Roman" w:cs="Times New Roman"/>
          <w:spacing w:val="-3"/>
          <w:position w:val="7"/>
          <w:sz w:val="15"/>
          <w:szCs w:val="15"/>
        </w:rPr>
        <w:t>2</w:t>
      </w:r>
      <w:r>
        <w:rPr>
          <w:rFonts w:ascii="Times New Roman" w:hAnsi="Times New Roman" w:eastAsia="Times New Roman" w:cs="Times New Roman"/>
          <w:spacing w:val="28"/>
          <w:w w:val="102"/>
          <w:position w:val="7"/>
          <w:sz w:val="15"/>
          <w:szCs w:val="15"/>
        </w:rPr>
        <w:t xml:space="preserve"> </w:t>
      </w:r>
      <w:r>
        <w:rPr>
          <w:spacing w:val="-3"/>
        </w:rPr>
        <w:t>的生物油泥池</w:t>
      </w:r>
      <w:r>
        <w:rPr>
          <w:spacing w:val="-4"/>
        </w:rPr>
        <w:t>，油泥池和生物油泥池之间由隔</w:t>
      </w:r>
      <w:r>
        <w:rPr>
          <w:spacing w:val="-3"/>
        </w:rPr>
        <w:t>板隔开，油泥池来液主要是调储罐、注水罐的溢流及排污、微滤膜过滤反冲洗水和落地油，油泥池中上层污水通过回收泵泵入调储罐进行处理，油泥池中污泥定期交内蒙古新蒙西环境资源发展有限公司进行处理。生物油泥池来液主要是微生物反应罐的溢流，生物油泥池中上层污水通过回收泵泵入调储罐进行处理，生物</w:t>
      </w:r>
      <w:r>
        <w:t>油泥池中污泥定期交内蒙古新蒙西环境资源</w:t>
      </w:r>
      <w:r>
        <w:rPr>
          <w:spacing w:val="-1"/>
        </w:rPr>
        <w:t>发展有限公司进行处理。</w:t>
      </w:r>
    </w:p>
    <w:p w14:paraId="45676FAF">
      <w:pPr>
        <w:pStyle w:val="2"/>
        <w:spacing w:before="7" w:line="361" w:lineRule="auto"/>
        <w:ind w:left="23" w:right="120" w:firstLine="483"/>
        <w:jc w:val="both"/>
      </w:pPr>
      <w:r>
        <w:rPr>
          <w:spacing w:val="-3"/>
        </w:rPr>
        <w:t>油泥池和生物油泥池设置了固定顶棚，固定顶棚封闭建</w:t>
      </w:r>
      <w:r>
        <w:rPr>
          <w:spacing w:val="-4"/>
        </w:rPr>
        <w:t>设，并配套废气收集</w:t>
      </w:r>
      <w:r>
        <w:rPr>
          <w:spacing w:val="-3"/>
        </w:rPr>
        <w:t>处理装置，废气收集装置包括生物洗涤塔、除雾过滤器以及活性炭吸附箱，废气</w:t>
      </w:r>
      <w:r>
        <w:rPr>
          <w:spacing w:val="-7"/>
        </w:rPr>
        <w:t>通过管道收集，由废气收集处理装置风机将废气鼓入洗</w:t>
      </w:r>
      <w:r>
        <w:rPr>
          <w:spacing w:val="-8"/>
        </w:rPr>
        <w:t>涤塔，再通过除雾过滤器、</w:t>
      </w:r>
    </w:p>
    <w:p w14:paraId="21D2BB1D">
      <w:pPr>
        <w:spacing w:line="361" w:lineRule="auto"/>
        <w:sectPr>
          <w:footerReference r:id="rId166" w:type="default"/>
          <w:pgSz w:w="11906" w:h="16839"/>
          <w:pgMar w:top="400" w:right="1598" w:bottom="1253" w:left="1785" w:header="0" w:footer="940" w:gutter="0"/>
          <w:cols w:space="720" w:num="1"/>
        </w:sectPr>
      </w:pPr>
    </w:p>
    <w:p w14:paraId="4A0E29D7">
      <w:pPr>
        <w:spacing w:line="258" w:lineRule="auto"/>
        <w:rPr>
          <w:rFonts w:ascii="Arial"/>
          <w:sz w:val="21"/>
        </w:rPr>
      </w:pPr>
    </w:p>
    <w:p w14:paraId="11AA5A7C">
      <w:pPr>
        <w:spacing w:line="258" w:lineRule="auto"/>
        <w:rPr>
          <w:rFonts w:ascii="Arial"/>
          <w:sz w:val="21"/>
        </w:rPr>
      </w:pPr>
    </w:p>
    <w:p w14:paraId="543FB312">
      <w:pPr>
        <w:spacing w:line="258" w:lineRule="auto"/>
        <w:rPr>
          <w:rFonts w:ascii="Arial"/>
          <w:sz w:val="21"/>
        </w:rPr>
      </w:pPr>
    </w:p>
    <w:p w14:paraId="323EA26B">
      <w:pPr>
        <w:spacing w:line="259" w:lineRule="auto"/>
        <w:rPr>
          <w:rFonts w:ascii="Arial"/>
          <w:sz w:val="21"/>
        </w:rPr>
      </w:pPr>
    </w:p>
    <w:p w14:paraId="7437C8A4">
      <w:pPr>
        <w:pStyle w:val="2"/>
        <w:spacing w:before="78" w:line="353" w:lineRule="auto"/>
        <w:ind w:left="27" w:right="53"/>
      </w:pPr>
      <w:r>
        <w:t>活性炭吸附箱处理后经</w:t>
      </w:r>
      <w:r>
        <w:rPr>
          <w:spacing w:val="-14"/>
        </w:rPr>
        <w:t xml:space="preserve"> </w:t>
      </w:r>
      <w:r>
        <w:rPr>
          <w:rFonts w:ascii="Times New Roman" w:hAnsi="Times New Roman" w:eastAsia="Times New Roman" w:cs="Times New Roman"/>
        </w:rPr>
        <w:t>17m</w:t>
      </w:r>
      <w:r>
        <w:rPr>
          <w:rFonts w:ascii="Times New Roman" w:hAnsi="Times New Roman" w:eastAsia="Times New Roman" w:cs="Times New Roman"/>
          <w:spacing w:val="19"/>
        </w:rPr>
        <w:t xml:space="preserve"> </w:t>
      </w:r>
      <w:r>
        <w:t>高排气筒排放，排放形式由无组织排放变更为有组</w:t>
      </w:r>
      <w:r>
        <w:rPr>
          <w:spacing w:val="-4"/>
        </w:rPr>
        <w:t>织排放。</w:t>
      </w:r>
    </w:p>
    <w:p w14:paraId="303C359B">
      <w:pPr>
        <w:pStyle w:val="2"/>
        <w:spacing w:before="19" w:line="360" w:lineRule="auto"/>
        <w:ind w:left="23" w:right="53" w:firstLine="484"/>
      </w:pPr>
      <w:r>
        <w:rPr>
          <w:rFonts w:ascii="Times New Roman" w:hAnsi="Times New Roman" w:eastAsia="Times New Roman" w:cs="Times New Roman"/>
          <w:spacing w:val="-1"/>
        </w:rPr>
        <w:t>8</w:t>
      </w:r>
      <w:r>
        <w:rPr>
          <w:rFonts w:ascii="Times New Roman" w:hAnsi="Times New Roman" w:eastAsia="Times New Roman" w:cs="Times New Roman"/>
          <w:spacing w:val="-17"/>
        </w:rPr>
        <w:t xml:space="preserve"> </w:t>
      </w:r>
      <w:r>
        <w:rPr>
          <w:spacing w:val="-1"/>
        </w:rPr>
        <w:t>、环评及批复中，联合站内生活污水经化粪池后运至东城区污水处理厂，</w:t>
      </w:r>
      <w:r>
        <w:rPr>
          <w:spacing w:val="4"/>
        </w:rPr>
        <w:t>实际建设过程中，联合站内生活污水经化粪池后运至巴彦淖尔市市政环境发展</w:t>
      </w:r>
      <w:r>
        <w:rPr>
          <w:rFonts w:ascii="Times New Roman" w:hAnsi="Times New Roman" w:eastAsia="Times New Roman" w:cs="Times New Roman"/>
          <w:spacing w:val="-2"/>
        </w:rPr>
        <w:t>(</w:t>
      </w:r>
      <w:r>
        <w:rPr>
          <w:spacing w:val="-2"/>
        </w:rPr>
        <w:t>集团</w:t>
      </w:r>
      <w:r>
        <w:rPr>
          <w:rFonts w:ascii="Times New Roman" w:hAnsi="Times New Roman" w:eastAsia="Times New Roman" w:cs="Times New Roman"/>
          <w:spacing w:val="-2"/>
        </w:rPr>
        <w:t>)</w:t>
      </w:r>
      <w:r>
        <w:rPr>
          <w:spacing w:val="-2"/>
        </w:rPr>
        <w:t>有限公司处理。</w:t>
      </w:r>
    </w:p>
    <w:p w14:paraId="18A1B8B0">
      <w:pPr>
        <w:pStyle w:val="2"/>
        <w:spacing w:before="1" w:line="358" w:lineRule="auto"/>
        <w:ind w:left="25" w:right="53" w:firstLine="478"/>
      </w:pPr>
      <w:r>
        <w:rPr>
          <w:rFonts w:ascii="Times New Roman" w:hAnsi="Times New Roman" w:eastAsia="Times New Roman" w:cs="Times New Roman"/>
          <w:spacing w:val="-2"/>
        </w:rPr>
        <w:t>9</w:t>
      </w:r>
      <w:r>
        <w:rPr>
          <w:spacing w:val="-2"/>
        </w:rPr>
        <w:t>、环评及批复中总投资为</w:t>
      </w:r>
      <w:r>
        <w:rPr>
          <w:spacing w:val="-49"/>
        </w:rPr>
        <w:t xml:space="preserve"> </w:t>
      </w:r>
      <w:r>
        <w:rPr>
          <w:rFonts w:ascii="Times New Roman" w:hAnsi="Times New Roman" w:eastAsia="Times New Roman" w:cs="Times New Roman"/>
          <w:spacing w:val="-2"/>
        </w:rPr>
        <w:t>555417</w:t>
      </w:r>
      <w:r>
        <w:rPr>
          <w:rFonts w:ascii="Times New Roman" w:hAnsi="Times New Roman" w:eastAsia="Times New Roman" w:cs="Times New Roman"/>
          <w:spacing w:val="15"/>
          <w:w w:val="101"/>
        </w:rPr>
        <w:t xml:space="preserve"> </w:t>
      </w:r>
      <w:r>
        <w:rPr>
          <w:spacing w:val="-2"/>
        </w:rPr>
        <w:t>万元，其中环保投资</w:t>
      </w:r>
      <w:r>
        <w:rPr>
          <w:rFonts w:ascii="Times New Roman" w:hAnsi="Times New Roman" w:eastAsia="Times New Roman" w:cs="Times New Roman"/>
          <w:spacing w:val="-2"/>
        </w:rPr>
        <w:t>4</w:t>
      </w:r>
      <w:r>
        <w:rPr>
          <w:rFonts w:ascii="Times New Roman" w:hAnsi="Times New Roman" w:eastAsia="Times New Roman" w:cs="Times New Roman"/>
          <w:spacing w:val="-3"/>
        </w:rPr>
        <w:t>6780</w:t>
      </w:r>
      <w:r>
        <w:rPr>
          <w:rFonts w:ascii="Times New Roman" w:hAnsi="Times New Roman" w:eastAsia="Times New Roman" w:cs="Times New Roman"/>
          <w:spacing w:val="15"/>
        </w:rPr>
        <w:t xml:space="preserve"> </w:t>
      </w:r>
      <w:r>
        <w:rPr>
          <w:spacing w:val="-3"/>
        </w:rPr>
        <w:t>万元，占项目</w:t>
      </w:r>
      <w:r>
        <w:rPr>
          <w:spacing w:val="-2"/>
        </w:rPr>
        <w:t>总投资的</w:t>
      </w:r>
      <w:r>
        <w:rPr>
          <w:spacing w:val="-46"/>
        </w:rPr>
        <w:t xml:space="preserve"> </w:t>
      </w:r>
      <w:r>
        <w:rPr>
          <w:rFonts w:ascii="Times New Roman" w:hAnsi="Times New Roman" w:eastAsia="Times New Roman" w:cs="Times New Roman"/>
          <w:spacing w:val="-2"/>
        </w:rPr>
        <w:t>8.42%</w:t>
      </w:r>
      <w:r>
        <w:rPr>
          <w:spacing w:val="-2"/>
        </w:rPr>
        <w:t>；因项目未涉及封井期，且施工期未产生落地油</w:t>
      </w:r>
      <w:r>
        <w:rPr>
          <w:spacing w:val="-3"/>
        </w:rPr>
        <w:t>，实际总投资为</w:t>
      </w:r>
      <w:r>
        <w:rPr>
          <w:rFonts w:ascii="Times New Roman" w:hAnsi="Times New Roman" w:eastAsia="Times New Roman" w:cs="Times New Roman"/>
          <w:spacing w:val="-2"/>
        </w:rPr>
        <w:t>548287</w:t>
      </w:r>
      <w:r>
        <w:rPr>
          <w:rFonts w:ascii="Times New Roman" w:hAnsi="Times New Roman" w:eastAsia="Times New Roman" w:cs="Times New Roman"/>
          <w:spacing w:val="31"/>
          <w:w w:val="101"/>
        </w:rPr>
        <w:t xml:space="preserve"> </w:t>
      </w:r>
      <w:r>
        <w:rPr>
          <w:spacing w:val="-2"/>
        </w:rPr>
        <w:t>万元，其中环保投资</w:t>
      </w:r>
      <w:r>
        <w:rPr>
          <w:spacing w:val="-57"/>
        </w:rPr>
        <w:t xml:space="preserve"> </w:t>
      </w:r>
      <w:r>
        <w:rPr>
          <w:rFonts w:ascii="Times New Roman" w:hAnsi="Times New Roman" w:eastAsia="Times New Roman" w:cs="Times New Roman"/>
          <w:spacing w:val="-2"/>
        </w:rPr>
        <w:t>41450</w:t>
      </w:r>
      <w:r>
        <w:rPr>
          <w:rFonts w:ascii="Times New Roman" w:hAnsi="Times New Roman" w:eastAsia="Times New Roman" w:cs="Times New Roman"/>
          <w:spacing w:val="15"/>
          <w:w w:val="101"/>
        </w:rPr>
        <w:t xml:space="preserve"> </w:t>
      </w:r>
      <w:r>
        <w:rPr>
          <w:spacing w:val="-2"/>
        </w:rPr>
        <w:t>万元，占项目总投资的</w:t>
      </w:r>
      <w:r>
        <w:rPr>
          <w:spacing w:val="-51"/>
        </w:rPr>
        <w:t xml:space="preserve"> </w:t>
      </w:r>
      <w:r>
        <w:rPr>
          <w:rFonts w:ascii="Times New Roman" w:hAnsi="Times New Roman" w:eastAsia="Times New Roman" w:cs="Times New Roman"/>
          <w:spacing w:val="-2"/>
        </w:rPr>
        <w:t>7.56%</w:t>
      </w:r>
      <w:r>
        <w:rPr>
          <w:spacing w:val="-2"/>
        </w:rPr>
        <w:t>。</w:t>
      </w:r>
    </w:p>
    <w:p w14:paraId="16FFE0A9">
      <w:pPr>
        <w:pStyle w:val="2"/>
        <w:spacing w:before="41" w:line="221" w:lineRule="auto"/>
        <w:ind w:left="530"/>
      </w:pPr>
      <w:r>
        <w:rPr>
          <w:spacing w:val="-2"/>
        </w:rPr>
        <w:t>以上变化均没有导致不利环境影响加强，不属于重大变更。</w:t>
      </w:r>
    </w:p>
    <w:p w14:paraId="604F3DBA">
      <w:pPr>
        <w:pStyle w:val="2"/>
        <w:spacing w:before="180" w:line="221" w:lineRule="auto"/>
        <w:ind w:left="526"/>
      </w:pPr>
      <w:r>
        <w:rPr>
          <w:b/>
          <w:bCs/>
          <w:spacing w:val="-5"/>
        </w:rPr>
        <w:t>四、环境保护设施落实情况</w:t>
      </w:r>
    </w:p>
    <w:p w14:paraId="3D15A2B5">
      <w:pPr>
        <w:pStyle w:val="2"/>
        <w:spacing w:before="145" w:line="361" w:lineRule="exact"/>
        <w:ind w:left="522"/>
      </w:pPr>
      <w:r>
        <w:rPr>
          <w:rFonts w:ascii="Times New Roman" w:hAnsi="Times New Roman" w:eastAsia="Times New Roman" w:cs="Times New Roman"/>
          <w:spacing w:val="-4"/>
          <w:position w:val="2"/>
        </w:rPr>
        <w:t>1</w:t>
      </w:r>
      <w:r>
        <w:rPr>
          <w:rFonts w:ascii="Times New Roman" w:hAnsi="Times New Roman" w:eastAsia="Times New Roman" w:cs="Times New Roman"/>
          <w:spacing w:val="-30"/>
          <w:position w:val="2"/>
        </w:rPr>
        <w:t xml:space="preserve"> </w:t>
      </w:r>
      <w:r>
        <w:rPr>
          <w:spacing w:val="-4"/>
          <w:position w:val="2"/>
        </w:rPr>
        <w:t>、生态保护工程和设施建设情况</w:t>
      </w:r>
    </w:p>
    <w:p w14:paraId="23C429EB">
      <w:pPr>
        <w:pStyle w:val="2"/>
        <w:spacing w:before="140" w:line="355" w:lineRule="auto"/>
        <w:ind w:left="23" w:right="53" w:firstLine="479"/>
      </w:pPr>
      <w:r>
        <w:rPr>
          <w:spacing w:val="-3"/>
        </w:rPr>
        <w:t>探井期结束后拆除所有设备和临时建筑物，对产能井以外的临时</w:t>
      </w:r>
      <w:r>
        <w:rPr>
          <w:spacing w:val="-4"/>
        </w:rPr>
        <w:t>占地进行生</w:t>
      </w:r>
      <w:r>
        <w:rPr>
          <w:spacing w:val="-3"/>
        </w:rPr>
        <w:t>态恢复，</w:t>
      </w:r>
      <w:r>
        <w:rPr>
          <w:rFonts w:ascii="Times New Roman" w:hAnsi="Times New Roman" w:eastAsia="Times New Roman" w:cs="Times New Roman"/>
          <w:spacing w:val="-3"/>
        </w:rPr>
        <w:t xml:space="preserve">2024 </w:t>
      </w:r>
      <w:r>
        <w:rPr>
          <w:spacing w:val="-3"/>
        </w:rPr>
        <w:t>年</w:t>
      </w:r>
      <w:r>
        <w:rPr>
          <w:spacing w:val="-32"/>
        </w:rPr>
        <w:t xml:space="preserve"> </w:t>
      </w:r>
      <w:r>
        <w:rPr>
          <w:rFonts w:ascii="Times New Roman" w:hAnsi="Times New Roman" w:eastAsia="Times New Roman" w:cs="Times New Roman"/>
          <w:spacing w:val="-3"/>
        </w:rPr>
        <w:t>10</w:t>
      </w:r>
      <w:r>
        <w:rPr>
          <w:rFonts w:ascii="Times New Roman" w:hAnsi="Times New Roman" w:eastAsia="Times New Roman" w:cs="Times New Roman"/>
          <w:spacing w:val="15"/>
        </w:rPr>
        <w:t xml:space="preserve"> </w:t>
      </w:r>
      <w:r>
        <w:rPr>
          <w:spacing w:val="-3"/>
        </w:rPr>
        <w:t>月份进行场地平整，</w:t>
      </w:r>
      <w:r>
        <w:rPr>
          <w:rFonts w:ascii="Times New Roman" w:hAnsi="Times New Roman" w:eastAsia="Times New Roman" w:cs="Times New Roman"/>
          <w:spacing w:val="-3"/>
        </w:rPr>
        <w:t xml:space="preserve">2025 </w:t>
      </w:r>
      <w:r>
        <w:rPr>
          <w:spacing w:val="-3"/>
        </w:rPr>
        <w:t>年</w:t>
      </w:r>
      <w:r>
        <w:rPr>
          <w:rFonts w:ascii="Times New Roman" w:hAnsi="Times New Roman" w:eastAsia="Times New Roman" w:cs="Times New Roman"/>
          <w:spacing w:val="-3"/>
        </w:rPr>
        <w:t>6</w:t>
      </w:r>
      <w:r>
        <w:rPr>
          <w:rFonts w:ascii="Times New Roman" w:hAnsi="Times New Roman" w:eastAsia="Times New Roman" w:cs="Times New Roman"/>
          <w:spacing w:val="15"/>
        </w:rPr>
        <w:t xml:space="preserve"> </w:t>
      </w:r>
      <w:r>
        <w:rPr>
          <w:spacing w:val="-4"/>
        </w:rPr>
        <w:t>月</w:t>
      </w:r>
      <w:r>
        <w:rPr>
          <w:rFonts w:ascii="Times New Roman" w:hAnsi="Times New Roman" w:eastAsia="Times New Roman" w:cs="Times New Roman"/>
          <w:spacing w:val="-4"/>
        </w:rPr>
        <w:t>-7</w:t>
      </w:r>
      <w:r>
        <w:rPr>
          <w:rFonts w:ascii="Times New Roman" w:hAnsi="Times New Roman" w:eastAsia="Times New Roman" w:cs="Times New Roman"/>
          <w:spacing w:val="18"/>
        </w:rPr>
        <w:t xml:space="preserve"> </w:t>
      </w:r>
      <w:r>
        <w:rPr>
          <w:spacing w:val="-4"/>
        </w:rPr>
        <w:t>月采取播撒草籽进行植被</w:t>
      </w:r>
      <w:r>
        <w:rPr>
          <w:spacing w:val="-2"/>
        </w:rPr>
        <w:t>恢复，在</w:t>
      </w:r>
      <w:r>
        <w:rPr>
          <w:spacing w:val="-38"/>
        </w:rPr>
        <w:t xml:space="preserve"> </w:t>
      </w:r>
      <w:r>
        <w:rPr>
          <w:rFonts w:ascii="Times New Roman" w:hAnsi="Times New Roman" w:eastAsia="Times New Roman" w:cs="Times New Roman"/>
          <w:spacing w:val="-2"/>
        </w:rPr>
        <w:t>7</w:t>
      </w:r>
      <w:r>
        <w:rPr>
          <w:rFonts w:ascii="Times New Roman" w:hAnsi="Times New Roman" w:eastAsia="Times New Roman" w:cs="Times New Roman"/>
          <w:spacing w:val="15"/>
          <w:w w:val="101"/>
        </w:rPr>
        <w:t xml:space="preserve"> </w:t>
      </w:r>
      <w:r>
        <w:rPr>
          <w:spacing w:val="-2"/>
        </w:rPr>
        <w:t>月到</w:t>
      </w:r>
      <w:r>
        <w:rPr>
          <w:spacing w:val="-30"/>
        </w:rPr>
        <w:t xml:space="preserve"> </w:t>
      </w:r>
      <w:r>
        <w:rPr>
          <w:rFonts w:ascii="Times New Roman" w:hAnsi="Times New Roman" w:eastAsia="Times New Roman" w:cs="Times New Roman"/>
          <w:spacing w:val="-2"/>
        </w:rPr>
        <w:t>10</w:t>
      </w:r>
      <w:r>
        <w:rPr>
          <w:rFonts w:ascii="Times New Roman" w:hAnsi="Times New Roman" w:eastAsia="Times New Roman" w:cs="Times New Roman"/>
          <w:spacing w:val="15"/>
          <w:w w:val="101"/>
        </w:rPr>
        <w:t xml:space="preserve"> </w:t>
      </w:r>
      <w:r>
        <w:rPr>
          <w:spacing w:val="-2"/>
        </w:rPr>
        <w:t>月间进行养护，养护期间继续在稀疏地块撒播草籽及浇水养</w:t>
      </w:r>
      <w:r>
        <w:rPr>
          <w:spacing w:val="-3"/>
        </w:rPr>
        <w:t>护。</w:t>
      </w:r>
      <w:r>
        <w:rPr>
          <w:rFonts w:ascii="Times New Roman" w:hAnsi="Times New Roman" w:eastAsia="Times New Roman" w:cs="Times New Roman"/>
          <w:spacing w:val="-3"/>
        </w:rPr>
        <w:t xml:space="preserve">2024 </w:t>
      </w:r>
      <w:r>
        <w:rPr>
          <w:spacing w:val="-3"/>
        </w:rPr>
        <w:t>年</w:t>
      </w:r>
      <w:r>
        <w:rPr>
          <w:spacing w:val="-42"/>
        </w:rPr>
        <w:t xml:space="preserve"> </w:t>
      </w:r>
      <w:r>
        <w:rPr>
          <w:rFonts w:ascii="Times New Roman" w:hAnsi="Times New Roman" w:eastAsia="Times New Roman" w:cs="Times New Roman"/>
          <w:spacing w:val="-3"/>
        </w:rPr>
        <w:t>6</w:t>
      </w:r>
      <w:r>
        <w:rPr>
          <w:rFonts w:ascii="Times New Roman" w:hAnsi="Times New Roman" w:eastAsia="Times New Roman" w:cs="Times New Roman"/>
          <w:spacing w:val="15"/>
          <w:w w:val="101"/>
        </w:rPr>
        <w:t xml:space="preserve"> </w:t>
      </w:r>
      <w:r>
        <w:rPr>
          <w:spacing w:val="-3"/>
        </w:rPr>
        <w:t>月</w:t>
      </w:r>
      <w:r>
        <w:rPr>
          <w:rFonts w:ascii="Times New Roman" w:hAnsi="Times New Roman" w:eastAsia="Times New Roman" w:cs="Times New Roman"/>
          <w:spacing w:val="-3"/>
        </w:rPr>
        <w:t xml:space="preserve">-2030 </w:t>
      </w:r>
      <w:r>
        <w:rPr>
          <w:spacing w:val="-3"/>
        </w:rPr>
        <w:t>年</w:t>
      </w:r>
      <w:r>
        <w:rPr>
          <w:spacing w:val="-50"/>
        </w:rPr>
        <w:t xml:space="preserve"> </w:t>
      </w:r>
      <w:r>
        <w:rPr>
          <w:rFonts w:ascii="Times New Roman" w:hAnsi="Times New Roman" w:eastAsia="Times New Roman" w:cs="Times New Roman"/>
          <w:spacing w:val="-3"/>
        </w:rPr>
        <w:t>6</w:t>
      </w:r>
      <w:r>
        <w:rPr>
          <w:rFonts w:ascii="Times New Roman" w:hAnsi="Times New Roman" w:eastAsia="Times New Roman" w:cs="Times New Roman"/>
          <w:spacing w:val="15"/>
        </w:rPr>
        <w:t xml:space="preserve"> </w:t>
      </w:r>
      <w:r>
        <w:rPr>
          <w:spacing w:val="-3"/>
        </w:rPr>
        <w:t>月对土壤复垦效果进行管护，确保复垦植被恢复效果于</w:t>
      </w:r>
      <w:r>
        <w:rPr>
          <w:spacing w:val="-54"/>
        </w:rPr>
        <w:t xml:space="preserve"> </w:t>
      </w:r>
      <w:r>
        <w:rPr>
          <w:rFonts w:ascii="Times New Roman" w:hAnsi="Times New Roman" w:eastAsia="Times New Roman" w:cs="Times New Roman"/>
          <w:spacing w:val="-3"/>
        </w:rPr>
        <w:t xml:space="preserve">2030 </w:t>
      </w:r>
      <w:r>
        <w:rPr>
          <w:spacing w:val="-3"/>
        </w:rPr>
        <w:t>年</w:t>
      </w:r>
      <w:r>
        <w:rPr>
          <w:spacing w:val="-50"/>
        </w:rPr>
        <w:t xml:space="preserve"> </w:t>
      </w:r>
      <w:r>
        <w:rPr>
          <w:rFonts w:ascii="Times New Roman" w:hAnsi="Times New Roman" w:eastAsia="Times New Roman" w:cs="Times New Roman"/>
          <w:spacing w:val="-3"/>
        </w:rPr>
        <w:t>6</w:t>
      </w:r>
      <w:r>
        <w:rPr>
          <w:rFonts w:ascii="Times New Roman" w:hAnsi="Times New Roman" w:eastAsia="Times New Roman" w:cs="Times New Roman"/>
          <w:spacing w:val="15"/>
          <w:w w:val="101"/>
        </w:rPr>
        <w:t xml:space="preserve"> </w:t>
      </w:r>
      <w:r>
        <w:rPr>
          <w:spacing w:val="-3"/>
        </w:rPr>
        <w:t>月恢复原貌。</w:t>
      </w:r>
    </w:p>
    <w:p w14:paraId="7F1CE106">
      <w:pPr>
        <w:pStyle w:val="2"/>
        <w:spacing w:line="361" w:lineRule="exact"/>
        <w:ind w:left="522"/>
      </w:pPr>
      <w:r>
        <w:rPr>
          <w:rFonts w:ascii="Times New Roman" w:hAnsi="Times New Roman" w:eastAsia="Times New Roman" w:cs="Times New Roman"/>
          <w:spacing w:val="-4"/>
          <w:position w:val="2"/>
        </w:rPr>
        <w:t>1</w:t>
      </w:r>
      <w:r>
        <w:rPr>
          <w:rFonts w:ascii="Times New Roman" w:hAnsi="Times New Roman" w:eastAsia="Times New Roman" w:cs="Times New Roman"/>
          <w:spacing w:val="-30"/>
          <w:position w:val="2"/>
        </w:rPr>
        <w:t xml:space="preserve"> </w:t>
      </w:r>
      <w:r>
        <w:rPr>
          <w:spacing w:val="-4"/>
          <w:position w:val="2"/>
        </w:rPr>
        <w:t>、污染防治和处置设施建设情况</w:t>
      </w:r>
    </w:p>
    <w:p w14:paraId="1604FF26">
      <w:pPr>
        <w:pStyle w:val="2"/>
        <w:spacing w:before="142" w:line="221" w:lineRule="auto"/>
        <w:ind w:left="442"/>
      </w:pPr>
      <w:r>
        <w:rPr>
          <w:spacing w:val="-3"/>
        </w:rPr>
        <w:t>施工期</w:t>
      </w:r>
    </w:p>
    <w:p w14:paraId="64B612B9">
      <w:pPr>
        <w:pStyle w:val="2"/>
        <w:spacing w:before="145" w:line="362" w:lineRule="exact"/>
        <w:ind w:left="514"/>
      </w:pPr>
      <w:r>
        <w:rPr>
          <w:spacing w:val="-5"/>
          <w:position w:val="2"/>
        </w:rPr>
        <w:t>（</w:t>
      </w:r>
      <w:r>
        <w:rPr>
          <w:rFonts w:ascii="Times New Roman" w:hAnsi="Times New Roman" w:eastAsia="Times New Roman" w:cs="Times New Roman"/>
          <w:spacing w:val="-5"/>
          <w:position w:val="2"/>
        </w:rPr>
        <w:t>1</w:t>
      </w:r>
      <w:r>
        <w:rPr>
          <w:spacing w:val="-5"/>
          <w:position w:val="2"/>
        </w:rPr>
        <w:t>）大气</w:t>
      </w:r>
    </w:p>
    <w:p w14:paraId="7BAACA58">
      <w:pPr>
        <w:pStyle w:val="2"/>
        <w:spacing w:before="142" w:line="220" w:lineRule="auto"/>
        <w:ind w:left="490"/>
      </w:pPr>
      <w:r>
        <w:rPr>
          <w:spacing w:val="-6"/>
        </w:rPr>
        <w:t>施工期废气污染源主要包括运输车辆废气、施工扬尘和钻井作业废气。</w:t>
      </w:r>
    </w:p>
    <w:p w14:paraId="22A7D0DA">
      <w:pPr>
        <w:pStyle w:val="2"/>
        <w:spacing w:before="182" w:line="218" w:lineRule="auto"/>
        <w:ind w:left="502"/>
      </w:pPr>
      <w:r>
        <w:rPr>
          <w:spacing w:val="-2"/>
        </w:rPr>
        <w:t>①运输车辆废气</w:t>
      </w:r>
    </w:p>
    <w:p w14:paraId="246ECC57">
      <w:pPr>
        <w:pStyle w:val="2"/>
        <w:spacing w:before="184" w:line="360" w:lineRule="auto"/>
        <w:ind w:left="22" w:firstLine="480"/>
      </w:pPr>
      <w:r>
        <w:rPr>
          <w:spacing w:val="-2"/>
        </w:rPr>
        <w:t>施工期运输车辆全部选用低能耗、低污染排放的运输车辆，并选用质量高、</w:t>
      </w:r>
      <w:r>
        <w:t>对大气环境影响小的燃料。定期对机械、车</w:t>
      </w:r>
      <w:r>
        <w:rPr>
          <w:spacing w:val="-1"/>
        </w:rPr>
        <w:t>辆进行了检查和维修。</w:t>
      </w:r>
    </w:p>
    <w:p w14:paraId="6A46FC5A">
      <w:pPr>
        <w:pStyle w:val="2"/>
        <w:spacing w:before="2" w:line="217" w:lineRule="auto"/>
        <w:ind w:left="501"/>
      </w:pPr>
      <w:r>
        <w:rPr>
          <w:spacing w:val="-2"/>
        </w:rPr>
        <w:t>②施工扬尘</w:t>
      </w:r>
    </w:p>
    <w:p w14:paraId="2F44EEBB">
      <w:pPr>
        <w:pStyle w:val="2"/>
        <w:spacing w:before="184" w:line="360" w:lineRule="auto"/>
        <w:ind w:left="22" w:right="53" w:firstLine="480"/>
      </w:pPr>
      <w:r>
        <w:rPr>
          <w:spacing w:val="-3"/>
        </w:rPr>
        <w:t>施工扬尘污染主要发生在管沟、基坑开挖及基础处理、材料运输</w:t>
      </w:r>
      <w:r>
        <w:rPr>
          <w:spacing w:val="-4"/>
        </w:rPr>
        <w:t>和土方回填</w:t>
      </w:r>
      <w:r>
        <w:rPr>
          <w:spacing w:val="-3"/>
        </w:rPr>
        <w:t>以及开辟施工场地与便道环节中。施工期间采取了施工场地设置围挡、场地洒水抑尘、控制作业面积、土堆适当洒水抑尘、土建材料遮盖、大风天停止作业等措</w:t>
      </w:r>
      <w:r>
        <w:rPr>
          <w:spacing w:val="-1"/>
        </w:rPr>
        <w:t>施，有效降低了施工扬尘。</w:t>
      </w:r>
    </w:p>
    <w:p w14:paraId="1CF449C1">
      <w:pPr>
        <w:pStyle w:val="2"/>
        <w:spacing w:before="1" w:line="217" w:lineRule="auto"/>
        <w:ind w:left="501"/>
      </w:pPr>
      <w:r>
        <w:rPr>
          <w:spacing w:val="-2"/>
        </w:rPr>
        <w:t>③钻井作业废气</w:t>
      </w:r>
    </w:p>
    <w:p w14:paraId="70AC963E">
      <w:pPr>
        <w:spacing w:line="217" w:lineRule="auto"/>
        <w:sectPr>
          <w:footerReference r:id="rId167" w:type="default"/>
          <w:pgSz w:w="11906" w:h="16839"/>
          <w:pgMar w:top="400" w:right="1745" w:bottom="1253" w:left="1785" w:header="0" w:footer="937" w:gutter="0"/>
          <w:cols w:space="720" w:num="1"/>
        </w:sectPr>
      </w:pPr>
    </w:p>
    <w:p w14:paraId="3596C1F5">
      <w:pPr>
        <w:spacing w:line="267" w:lineRule="auto"/>
        <w:rPr>
          <w:rFonts w:ascii="Arial"/>
          <w:sz w:val="21"/>
        </w:rPr>
      </w:pPr>
    </w:p>
    <w:p w14:paraId="37E99BD3">
      <w:pPr>
        <w:spacing w:line="267" w:lineRule="auto"/>
        <w:rPr>
          <w:rFonts w:ascii="Arial"/>
          <w:sz w:val="21"/>
        </w:rPr>
      </w:pPr>
    </w:p>
    <w:p w14:paraId="5A6D0454">
      <w:pPr>
        <w:spacing w:line="267" w:lineRule="auto"/>
        <w:rPr>
          <w:rFonts w:ascii="Arial"/>
          <w:sz w:val="21"/>
        </w:rPr>
      </w:pPr>
    </w:p>
    <w:p w14:paraId="4BA4D485">
      <w:pPr>
        <w:spacing w:line="268" w:lineRule="auto"/>
        <w:rPr>
          <w:rFonts w:ascii="Arial"/>
          <w:sz w:val="21"/>
        </w:rPr>
      </w:pPr>
    </w:p>
    <w:p w14:paraId="799B4659">
      <w:pPr>
        <w:pStyle w:val="2"/>
        <w:spacing w:before="78" w:line="360" w:lineRule="auto"/>
        <w:ind w:left="22" w:firstLine="480"/>
      </w:pPr>
      <w:r>
        <w:rPr>
          <w:spacing w:val="-4"/>
        </w:rPr>
        <w:t>钻井作业废气主要来自于柴油机燃料燃烧产生的烟气。施工</w:t>
      </w:r>
      <w:r>
        <w:rPr>
          <w:spacing w:val="-5"/>
        </w:rPr>
        <w:t>期间选用低能耗、</w:t>
      </w:r>
      <w:r>
        <w:rPr>
          <w:spacing w:val="-1"/>
        </w:rPr>
        <w:t>低污染排放柴油机，并定期对柴油机进行了检查和维修。</w:t>
      </w:r>
    </w:p>
    <w:p w14:paraId="53CD2E46">
      <w:pPr>
        <w:pStyle w:val="2"/>
        <w:spacing w:line="220" w:lineRule="auto"/>
        <w:ind w:left="490"/>
      </w:pPr>
      <w:r>
        <w:rPr>
          <w:spacing w:val="-6"/>
        </w:rPr>
        <w:t>施工期间未发生大气环境污染投诉事件。</w:t>
      </w:r>
    </w:p>
    <w:p w14:paraId="02C51DF6">
      <w:pPr>
        <w:pStyle w:val="2"/>
        <w:spacing w:before="146" w:line="360" w:lineRule="exact"/>
        <w:ind w:left="514"/>
      </w:pPr>
      <w:r>
        <w:rPr>
          <w:spacing w:val="-5"/>
          <w:position w:val="2"/>
        </w:rPr>
        <w:t>（</w:t>
      </w:r>
      <w:r>
        <w:rPr>
          <w:rFonts w:ascii="Times New Roman" w:hAnsi="Times New Roman" w:eastAsia="Times New Roman" w:cs="Times New Roman"/>
          <w:spacing w:val="-5"/>
          <w:position w:val="2"/>
        </w:rPr>
        <w:t>2</w:t>
      </w:r>
      <w:r>
        <w:rPr>
          <w:spacing w:val="-5"/>
          <w:position w:val="2"/>
        </w:rPr>
        <w:t>）废水</w:t>
      </w:r>
    </w:p>
    <w:p w14:paraId="3081AA1E">
      <w:pPr>
        <w:pStyle w:val="2"/>
        <w:spacing w:before="143" w:line="360" w:lineRule="auto"/>
        <w:ind w:left="22" w:right="163" w:firstLine="481"/>
      </w:pPr>
      <w:r>
        <w:rPr>
          <w:spacing w:val="-2"/>
        </w:rPr>
        <w:t>本项目用泥浆随钻不落地工艺，经螺旋输送机输送至双联振动筛进行筛</w:t>
      </w:r>
      <w:r>
        <w:rPr>
          <w:spacing w:val="-3"/>
        </w:rPr>
        <w:t>分，筛下的废液装入废液储存罐，经破胶脱稳装置后，再进行固液分离后，分离后的钻井废水循环使用，用于钻井液的配置，最后不能回用的钻井废水拉运至联合站</w:t>
      </w:r>
      <w:r>
        <w:rPr>
          <w:spacing w:val="-1"/>
        </w:rPr>
        <w:t>采出水处理系统处理合格后回注，不外排。</w:t>
      </w:r>
    </w:p>
    <w:p w14:paraId="2F247313">
      <w:pPr>
        <w:pStyle w:val="2"/>
        <w:spacing w:before="1" w:line="346" w:lineRule="auto"/>
        <w:ind w:left="32" w:right="193" w:firstLine="453"/>
      </w:pPr>
      <w:r>
        <w:rPr>
          <w:spacing w:val="-9"/>
        </w:rPr>
        <w:t>试油废水、清管、试压废水由罐车拉运至联合</w:t>
      </w:r>
      <w:r>
        <w:rPr>
          <w:spacing w:val="-10"/>
        </w:rPr>
        <w:t>站采出水处理系统处理。施工人</w:t>
      </w:r>
      <w:r>
        <w:rPr>
          <w:spacing w:val="-6"/>
        </w:rPr>
        <w:t>员生活污水全部排入防渗环保厕所，及时清掏。本项目施工期废水不外排。</w:t>
      </w:r>
    </w:p>
    <w:p w14:paraId="40C92CB4">
      <w:pPr>
        <w:pStyle w:val="2"/>
        <w:spacing w:line="361" w:lineRule="exact"/>
        <w:ind w:left="514"/>
      </w:pPr>
      <w:r>
        <w:rPr>
          <w:spacing w:val="-5"/>
          <w:position w:val="2"/>
        </w:rPr>
        <w:t>（</w:t>
      </w:r>
      <w:r>
        <w:rPr>
          <w:rFonts w:ascii="Times New Roman" w:hAnsi="Times New Roman" w:eastAsia="Times New Roman" w:cs="Times New Roman"/>
          <w:spacing w:val="-5"/>
          <w:position w:val="2"/>
        </w:rPr>
        <w:t>3</w:t>
      </w:r>
      <w:r>
        <w:rPr>
          <w:spacing w:val="-5"/>
          <w:position w:val="2"/>
        </w:rPr>
        <w:t>）噪声</w:t>
      </w:r>
    </w:p>
    <w:p w14:paraId="4C46F9C4">
      <w:pPr>
        <w:pStyle w:val="2"/>
        <w:spacing w:before="141" w:line="351" w:lineRule="auto"/>
        <w:ind w:left="22" w:right="200" w:firstLine="480"/>
      </w:pPr>
      <w:r>
        <w:rPr>
          <w:spacing w:val="-3"/>
        </w:rPr>
        <w:t>施工单位选用了符合国家标准的施工机具和运输车辆，选用了低噪</w:t>
      </w:r>
      <w:r>
        <w:rPr>
          <w:spacing w:val="-4"/>
        </w:rPr>
        <w:t>声的施工</w:t>
      </w:r>
      <w:r>
        <w:rPr>
          <w:spacing w:val="-3"/>
        </w:rPr>
        <w:t>机械和工艺，加强了各类施工设备的维护和保养，保持其良好的工况。对设备加</w:t>
      </w:r>
      <w:r>
        <w:rPr>
          <w:spacing w:val="-2"/>
        </w:rPr>
        <w:t>装基座减振。</w:t>
      </w:r>
    </w:p>
    <w:p w14:paraId="3D3B8364">
      <w:pPr>
        <w:pStyle w:val="2"/>
        <w:spacing w:line="361" w:lineRule="exact"/>
        <w:ind w:left="514"/>
      </w:pPr>
      <w:r>
        <w:rPr>
          <w:spacing w:val="-5"/>
          <w:position w:val="2"/>
        </w:rPr>
        <w:t>（</w:t>
      </w:r>
      <w:r>
        <w:rPr>
          <w:rFonts w:ascii="Times New Roman" w:hAnsi="Times New Roman" w:eastAsia="Times New Roman" w:cs="Times New Roman"/>
          <w:spacing w:val="-5"/>
          <w:position w:val="2"/>
        </w:rPr>
        <w:t>4</w:t>
      </w:r>
      <w:r>
        <w:rPr>
          <w:spacing w:val="-5"/>
          <w:position w:val="2"/>
        </w:rPr>
        <w:t>）固废</w:t>
      </w:r>
    </w:p>
    <w:p w14:paraId="598AD6B6">
      <w:pPr>
        <w:pStyle w:val="2"/>
        <w:spacing w:before="142" w:line="218" w:lineRule="auto"/>
        <w:ind w:left="442"/>
      </w:pPr>
      <w:r>
        <w:rPr>
          <w:spacing w:val="-1"/>
        </w:rPr>
        <w:t>①钻井泥浆、钻井岩屑</w:t>
      </w:r>
    </w:p>
    <w:p w14:paraId="4CBDA2B8">
      <w:pPr>
        <w:pStyle w:val="2"/>
        <w:spacing w:before="185" w:line="360" w:lineRule="auto"/>
        <w:ind w:left="21" w:right="163" w:firstLine="482"/>
        <w:jc w:val="both"/>
      </w:pPr>
      <w:r>
        <w:rPr>
          <w:spacing w:val="-2"/>
        </w:rPr>
        <w:t>本项目采用钻井泥浆、钻井岩屑进行泥浆不落地处理，经破胶脱稳装置</w:t>
      </w:r>
      <w:r>
        <w:rPr>
          <w:spacing w:val="-3"/>
        </w:rPr>
        <w:t>后，进行固液分离，分离成固相和液相两部分，固相为钻井泥浆、钻井岩屑，属于Ⅱ</w:t>
      </w:r>
      <w:r>
        <w:t>类一般工业固体废物，运至海南工业园垃圾处</w:t>
      </w:r>
      <w:r>
        <w:rPr>
          <w:spacing w:val="-1"/>
        </w:rPr>
        <w:t>理场填埋进行填埋。</w:t>
      </w:r>
    </w:p>
    <w:p w14:paraId="190CAA14">
      <w:pPr>
        <w:pStyle w:val="2"/>
        <w:spacing w:before="1" w:line="217" w:lineRule="auto"/>
        <w:ind w:left="501"/>
      </w:pPr>
      <w:r>
        <w:rPr>
          <w:spacing w:val="-1"/>
        </w:rPr>
        <w:t>②落地油（事故状态下）</w:t>
      </w:r>
    </w:p>
    <w:p w14:paraId="23A62C46">
      <w:pPr>
        <w:pStyle w:val="2"/>
        <w:spacing w:before="185" w:line="220" w:lineRule="auto"/>
        <w:ind w:left="447"/>
      </w:pPr>
      <w:r>
        <w:rPr>
          <w:spacing w:val="-1"/>
        </w:rPr>
        <w:t>项目施工过程未发生事故，未产生落地油。</w:t>
      </w:r>
    </w:p>
    <w:p w14:paraId="7D0808E9">
      <w:pPr>
        <w:pStyle w:val="2"/>
        <w:spacing w:before="182" w:line="218" w:lineRule="auto"/>
        <w:ind w:left="501"/>
      </w:pPr>
      <w:r>
        <w:rPr>
          <w:spacing w:val="-2"/>
        </w:rPr>
        <w:t>④生活垃圾</w:t>
      </w:r>
    </w:p>
    <w:p w14:paraId="7DC90836">
      <w:pPr>
        <w:pStyle w:val="2"/>
        <w:spacing w:before="185" w:line="220" w:lineRule="auto"/>
        <w:ind w:left="490"/>
      </w:pPr>
      <w:r>
        <w:rPr>
          <w:spacing w:val="-2"/>
        </w:rPr>
        <w:t>施工期的生活垃圾集中收集后定期交由环卫部</w:t>
      </w:r>
      <w:r>
        <w:rPr>
          <w:spacing w:val="-3"/>
        </w:rPr>
        <w:t>门进行处理。</w:t>
      </w:r>
    </w:p>
    <w:p w14:paraId="58D49651">
      <w:pPr>
        <w:pStyle w:val="2"/>
        <w:spacing w:before="182" w:line="220" w:lineRule="auto"/>
        <w:ind w:left="514"/>
      </w:pPr>
      <w:r>
        <w:rPr>
          <w:spacing w:val="-4"/>
        </w:rPr>
        <w:t>（</w:t>
      </w:r>
      <w:r>
        <w:rPr>
          <w:rFonts w:ascii="Times New Roman" w:hAnsi="Times New Roman" w:eastAsia="Times New Roman" w:cs="Times New Roman"/>
          <w:spacing w:val="-4"/>
        </w:rPr>
        <w:t>5</w:t>
      </w:r>
      <w:r>
        <w:rPr>
          <w:spacing w:val="-4"/>
        </w:rPr>
        <w:t>）地下水</w:t>
      </w:r>
    </w:p>
    <w:p w14:paraId="5CD621EF">
      <w:pPr>
        <w:pStyle w:val="2"/>
        <w:spacing w:before="144" w:line="358" w:lineRule="auto"/>
        <w:ind w:left="23" w:right="195" w:firstLine="479"/>
      </w:pPr>
      <w:r>
        <w:t>①钻井作业时，从钻开表面土层起，直到钻开基岩</w:t>
      </w:r>
      <w:r>
        <w:rPr>
          <w:spacing w:val="-30"/>
        </w:rPr>
        <w:t xml:space="preserve"> </w:t>
      </w:r>
      <w:r>
        <w:rPr>
          <w:rFonts w:ascii="Times New Roman" w:hAnsi="Times New Roman" w:eastAsia="Times New Roman" w:cs="Times New Roman"/>
        </w:rPr>
        <w:t>30m</w:t>
      </w:r>
      <w:r>
        <w:rPr>
          <w:rFonts w:ascii="Times New Roman" w:hAnsi="Times New Roman" w:eastAsia="Times New Roman" w:cs="Times New Roman"/>
          <w:spacing w:val="40"/>
        </w:rPr>
        <w:t xml:space="preserve"> </w:t>
      </w:r>
      <w:r>
        <w:t>以上，采用无毒无</w:t>
      </w:r>
      <w:r>
        <w:rPr>
          <w:spacing w:val="-3"/>
        </w:rPr>
        <w:t>害的清水泥浆，避免钻井液对第四系地下水的污染；固井作业时，表层套管进入</w:t>
      </w:r>
      <w:r>
        <w:rPr>
          <w:spacing w:val="-9"/>
        </w:rPr>
        <w:t>岩石层</w:t>
      </w:r>
      <w:r>
        <w:rPr>
          <w:rFonts w:ascii="Times New Roman" w:hAnsi="Times New Roman" w:eastAsia="Times New Roman" w:cs="Times New Roman"/>
          <w:spacing w:val="-9"/>
        </w:rPr>
        <w:t>30m</w:t>
      </w:r>
      <w:r>
        <w:rPr>
          <w:rFonts w:ascii="Times New Roman" w:hAnsi="Times New Roman" w:eastAsia="Times New Roman" w:cs="Times New Roman"/>
          <w:spacing w:val="55"/>
          <w:w w:val="101"/>
        </w:rPr>
        <w:t xml:space="preserve"> </w:t>
      </w:r>
      <w:r>
        <w:rPr>
          <w:spacing w:val="-9"/>
        </w:rPr>
        <w:t>以上，表层使用壁厚</w:t>
      </w:r>
      <w:r>
        <w:rPr>
          <w:spacing w:val="-58"/>
        </w:rPr>
        <w:t xml:space="preserve"> </w:t>
      </w:r>
      <w:r>
        <w:rPr>
          <w:rFonts w:ascii="Times New Roman" w:hAnsi="Times New Roman" w:eastAsia="Times New Roman" w:cs="Times New Roman"/>
          <w:spacing w:val="-9"/>
        </w:rPr>
        <w:t xml:space="preserve">8.94mm </w:t>
      </w:r>
      <w:r>
        <w:rPr>
          <w:spacing w:val="-9"/>
        </w:rPr>
        <w:t>标准的套管，井口打水泥帽，二开井口不</w:t>
      </w:r>
      <w:r>
        <w:rPr>
          <w:spacing w:val="-1"/>
        </w:rPr>
        <w:t>晃动，出口导管不外溢泥浆，有效防止泥浆顺表套渗入土层。</w:t>
      </w:r>
    </w:p>
    <w:p w14:paraId="7C58B2C3">
      <w:pPr>
        <w:spacing w:line="358" w:lineRule="auto"/>
        <w:sectPr>
          <w:footerReference r:id="rId168" w:type="default"/>
          <w:pgSz w:w="11906" w:h="16839"/>
          <w:pgMar w:top="400" w:right="1599" w:bottom="1253" w:left="1785" w:header="0" w:footer="940" w:gutter="0"/>
          <w:cols w:space="720" w:num="1"/>
        </w:sectPr>
      </w:pPr>
    </w:p>
    <w:p w14:paraId="2C5AA303">
      <w:pPr>
        <w:spacing w:line="283" w:lineRule="auto"/>
        <w:rPr>
          <w:rFonts w:ascii="Arial"/>
          <w:sz w:val="21"/>
        </w:rPr>
      </w:pPr>
    </w:p>
    <w:p w14:paraId="41CFB9A9">
      <w:pPr>
        <w:spacing w:line="283" w:lineRule="auto"/>
        <w:rPr>
          <w:rFonts w:ascii="Arial"/>
          <w:sz w:val="21"/>
        </w:rPr>
      </w:pPr>
    </w:p>
    <w:p w14:paraId="62C94578">
      <w:pPr>
        <w:spacing w:line="283" w:lineRule="auto"/>
        <w:rPr>
          <w:rFonts w:ascii="Arial"/>
          <w:sz w:val="21"/>
        </w:rPr>
      </w:pPr>
    </w:p>
    <w:p w14:paraId="05D77083">
      <w:pPr>
        <w:spacing w:line="283" w:lineRule="auto"/>
        <w:rPr>
          <w:rFonts w:ascii="Arial"/>
          <w:sz w:val="21"/>
        </w:rPr>
      </w:pPr>
    </w:p>
    <w:p w14:paraId="4A8C94D1">
      <w:pPr>
        <w:pStyle w:val="2"/>
        <w:spacing w:before="103" w:line="321" w:lineRule="auto"/>
        <w:ind w:left="25" w:right="196" w:firstLine="464"/>
      </w:pPr>
      <w:r>
        <w:rPr>
          <w:spacing w:val="-3"/>
        </w:rPr>
        <w:t>②钻井过程中采用</w:t>
      </w:r>
      <w:r>
        <w:rPr>
          <w:rFonts w:ascii="微软雅黑" w:hAnsi="微软雅黑" w:eastAsia="微软雅黑" w:cs="微软雅黑"/>
          <w:spacing w:val="-3"/>
        </w:rPr>
        <w:t>“</w:t>
      </w:r>
      <w:r>
        <w:rPr>
          <w:spacing w:val="-3"/>
        </w:rPr>
        <w:t>泥浆不落地</w:t>
      </w:r>
      <w:r>
        <w:rPr>
          <w:rFonts w:ascii="微软雅黑" w:hAnsi="微软雅黑" w:eastAsia="微软雅黑" w:cs="微软雅黑"/>
          <w:spacing w:val="-3"/>
        </w:rPr>
        <w:t>”</w:t>
      </w:r>
      <w:r>
        <w:rPr>
          <w:spacing w:val="-3"/>
        </w:rPr>
        <w:t>工艺钻井；同时严格操作程序，减少钻井</w:t>
      </w:r>
      <w:r>
        <w:rPr>
          <w:spacing w:val="-1"/>
        </w:rPr>
        <w:t>液的跑冒滴漏，原探井钻井液用于新井钻井，减少废钻井液产生量；</w:t>
      </w:r>
    </w:p>
    <w:p w14:paraId="75196E3C">
      <w:pPr>
        <w:pStyle w:val="2"/>
        <w:spacing w:before="1" w:line="356" w:lineRule="auto"/>
        <w:ind w:left="34" w:right="198" w:firstLine="466"/>
      </w:pPr>
      <w:r>
        <w:t>③试油时在井场铺设高密度聚乙烯防渗膜，渗透系数</w:t>
      </w:r>
      <w:r>
        <w:rPr>
          <w:rFonts w:ascii="Times New Roman" w:hAnsi="Times New Roman" w:eastAsia="Times New Roman" w:cs="Times New Roman"/>
        </w:rPr>
        <w:t>≤</w:t>
      </w:r>
      <w:r>
        <w:rPr>
          <w:rFonts w:ascii="Times New Roman" w:hAnsi="Times New Roman" w:eastAsia="Times New Roman" w:cs="Times New Roman"/>
          <w:position w:val="2"/>
        </w:rPr>
        <w:t>10</w:t>
      </w:r>
      <w:r>
        <w:rPr>
          <w:rFonts w:ascii="Times New Roman" w:hAnsi="Times New Roman" w:eastAsia="Times New Roman" w:cs="Times New Roman"/>
          <w:position w:val="2"/>
          <w:sz w:val="15"/>
          <w:szCs w:val="15"/>
        </w:rPr>
        <w:t>-1</w:t>
      </w:r>
      <w:r>
        <w:rPr>
          <w:rFonts w:ascii="Times New Roman" w:hAnsi="Times New Roman" w:eastAsia="Times New Roman" w:cs="Times New Roman"/>
          <w:spacing w:val="-1"/>
          <w:position w:val="2"/>
          <w:sz w:val="15"/>
          <w:szCs w:val="15"/>
        </w:rPr>
        <w:t>0</w:t>
      </w:r>
      <w:r>
        <w:rPr>
          <w:rFonts w:ascii="Times New Roman" w:hAnsi="Times New Roman" w:eastAsia="Times New Roman" w:cs="Times New Roman"/>
          <w:spacing w:val="-1"/>
        </w:rPr>
        <w:t>cm/s</w:t>
      </w:r>
      <w:r>
        <w:rPr>
          <w:rFonts w:ascii="Times New Roman" w:hAnsi="Times New Roman" w:eastAsia="Times New Roman" w:cs="Times New Roman"/>
          <w:spacing w:val="25"/>
        </w:rPr>
        <w:t xml:space="preserve"> </w:t>
      </w:r>
      <w:r>
        <w:rPr>
          <w:spacing w:val="-1"/>
        </w:rPr>
        <w:t>防渗布，及</w:t>
      </w:r>
      <w:r>
        <w:rPr>
          <w:spacing w:val="-3"/>
        </w:rPr>
        <w:t>时回收含油污泥，油泥</w:t>
      </w:r>
      <w:r>
        <w:rPr>
          <w:spacing w:val="-32"/>
        </w:rPr>
        <w:t xml:space="preserve"> </w:t>
      </w:r>
      <w:r>
        <w:rPr>
          <w:rFonts w:ascii="Times New Roman" w:hAnsi="Times New Roman" w:eastAsia="Times New Roman" w:cs="Times New Roman"/>
          <w:spacing w:val="-3"/>
        </w:rPr>
        <w:t>100%</w:t>
      </w:r>
      <w:r>
        <w:rPr>
          <w:spacing w:val="-3"/>
        </w:rPr>
        <w:t>回收。</w:t>
      </w:r>
    </w:p>
    <w:p w14:paraId="20ADBF25">
      <w:pPr>
        <w:pStyle w:val="2"/>
        <w:spacing w:before="42" w:line="221" w:lineRule="auto"/>
        <w:ind w:left="503"/>
      </w:pPr>
      <w:r>
        <w:rPr>
          <w:spacing w:val="-4"/>
        </w:rPr>
        <w:t>运营期</w:t>
      </w:r>
    </w:p>
    <w:p w14:paraId="040C9C92">
      <w:pPr>
        <w:pStyle w:val="2"/>
        <w:spacing w:before="145" w:line="361" w:lineRule="exact"/>
        <w:ind w:left="514"/>
      </w:pPr>
      <w:r>
        <w:rPr>
          <w:spacing w:val="-5"/>
          <w:position w:val="2"/>
        </w:rPr>
        <w:t>（</w:t>
      </w:r>
      <w:r>
        <w:rPr>
          <w:rFonts w:ascii="Times New Roman" w:hAnsi="Times New Roman" w:eastAsia="Times New Roman" w:cs="Times New Roman"/>
          <w:spacing w:val="-5"/>
          <w:position w:val="2"/>
        </w:rPr>
        <w:t>1</w:t>
      </w:r>
      <w:r>
        <w:rPr>
          <w:spacing w:val="-5"/>
          <w:position w:val="2"/>
        </w:rPr>
        <w:t>）废气</w:t>
      </w:r>
    </w:p>
    <w:p w14:paraId="14BE5B49">
      <w:pPr>
        <w:pStyle w:val="2"/>
        <w:spacing w:before="62" w:line="218" w:lineRule="auto"/>
        <w:ind w:left="502"/>
      </w:pPr>
      <w:r>
        <w:rPr>
          <w:spacing w:val="-1"/>
        </w:rPr>
        <w:t>①油气集输无组织挥发烃类气体</w:t>
      </w:r>
    </w:p>
    <w:p w14:paraId="57EAD42D">
      <w:pPr>
        <w:pStyle w:val="2"/>
        <w:spacing w:before="185" w:line="359" w:lineRule="auto"/>
        <w:ind w:left="26" w:firstLine="477"/>
      </w:pPr>
      <w:r>
        <w:rPr>
          <w:spacing w:val="-4"/>
        </w:rPr>
        <w:t>运营期排放的大气污染物为油气采集、集输过程中无组织排放</w:t>
      </w:r>
      <w:r>
        <w:rPr>
          <w:spacing w:val="-5"/>
        </w:rPr>
        <w:t>的非甲烷总烃。</w:t>
      </w:r>
      <w:r>
        <w:rPr>
          <w:spacing w:val="-1"/>
        </w:rPr>
        <w:t>为防止烃类气体的无组织挥发，本项目采取以下措施：</w:t>
      </w:r>
    </w:p>
    <w:p w14:paraId="59588725">
      <w:pPr>
        <w:pStyle w:val="2"/>
        <w:spacing w:before="1" w:line="359" w:lineRule="auto"/>
        <w:ind w:left="29" w:right="137" w:firstLine="466"/>
      </w:pPr>
      <w:r>
        <w:rPr>
          <w:rFonts w:ascii="Times New Roman" w:hAnsi="Times New Roman" w:eastAsia="Times New Roman" w:cs="Times New Roman"/>
          <w:spacing w:val="-6"/>
        </w:rPr>
        <w:t>A</w:t>
      </w:r>
      <w:r>
        <w:rPr>
          <w:spacing w:val="-6"/>
        </w:rPr>
        <w:t>、油田开发采用密闭集输流程；井口设切断阀，集输过程，一旦发生</w:t>
      </w:r>
      <w:r>
        <w:rPr>
          <w:spacing w:val="-7"/>
        </w:rPr>
        <w:t>事故，</w:t>
      </w:r>
      <w:r>
        <w:rPr>
          <w:spacing w:val="-3"/>
        </w:rPr>
        <w:t>紧急切断油源。</w:t>
      </w:r>
    </w:p>
    <w:p w14:paraId="6D0F2DC0">
      <w:pPr>
        <w:pStyle w:val="2"/>
        <w:spacing w:line="359" w:lineRule="auto"/>
        <w:ind w:left="25" w:right="198" w:firstLine="472"/>
      </w:pPr>
      <w:r>
        <w:rPr>
          <w:rFonts w:ascii="Times New Roman" w:hAnsi="Times New Roman" w:eastAsia="Times New Roman" w:cs="Times New Roman"/>
          <w:spacing w:val="-1"/>
        </w:rPr>
        <w:t>B</w:t>
      </w:r>
      <w:r>
        <w:rPr>
          <w:rFonts w:ascii="Times New Roman" w:hAnsi="Times New Roman" w:eastAsia="Times New Roman" w:cs="Times New Roman"/>
          <w:spacing w:val="-33"/>
        </w:rPr>
        <w:t xml:space="preserve"> </w:t>
      </w:r>
      <w:r>
        <w:rPr>
          <w:spacing w:val="-1"/>
        </w:rPr>
        <w:t>、加强井下作业和油井生产管理；修井作业前，</w:t>
      </w:r>
      <w:r>
        <w:rPr>
          <w:spacing w:val="-2"/>
        </w:rPr>
        <w:t>做好油井的压力监测，并准备应急措施。</w:t>
      </w:r>
    </w:p>
    <w:p w14:paraId="48E8A732">
      <w:pPr>
        <w:pStyle w:val="2"/>
        <w:spacing w:before="3" w:line="358" w:lineRule="auto"/>
        <w:ind w:left="25" w:right="118" w:firstLine="477"/>
      </w:pPr>
      <w:r>
        <w:rPr>
          <w:rFonts w:ascii="Times New Roman" w:hAnsi="Times New Roman" w:eastAsia="Times New Roman" w:cs="Times New Roman"/>
          <w:spacing w:val="-5"/>
        </w:rPr>
        <w:t>C</w:t>
      </w:r>
      <w:r>
        <w:rPr>
          <w:spacing w:val="-5"/>
        </w:rPr>
        <w:t>、对各井场的设备、管线、阀门等进行定期的检查</w:t>
      </w:r>
      <w:r>
        <w:rPr>
          <w:spacing w:val="-6"/>
        </w:rPr>
        <w:t>、检修，以防止跑、冒、</w:t>
      </w:r>
      <w:r>
        <w:rPr>
          <w:spacing w:val="-3"/>
        </w:rPr>
        <w:t>滴、漏的发生；定期对原油集输管线进行巡检，以便及时发现问题，消除事故隐</w:t>
      </w:r>
      <w:r>
        <w:rPr>
          <w:spacing w:val="-6"/>
        </w:rPr>
        <w:t>患。</w:t>
      </w:r>
    </w:p>
    <w:p w14:paraId="304CC81D">
      <w:pPr>
        <w:pStyle w:val="2"/>
        <w:spacing w:before="1" w:line="220" w:lineRule="auto"/>
        <w:ind w:left="498"/>
      </w:pPr>
      <w:r>
        <w:rPr>
          <w:rFonts w:ascii="Times New Roman" w:hAnsi="Times New Roman" w:eastAsia="Times New Roman" w:cs="Times New Roman"/>
          <w:spacing w:val="-4"/>
        </w:rPr>
        <w:t>D</w:t>
      </w:r>
      <w:r>
        <w:rPr>
          <w:rFonts w:ascii="Times New Roman" w:hAnsi="Times New Roman" w:eastAsia="Times New Roman" w:cs="Times New Roman"/>
          <w:spacing w:val="-34"/>
        </w:rPr>
        <w:t xml:space="preserve"> </w:t>
      </w:r>
      <w:r>
        <w:rPr>
          <w:spacing w:val="-4"/>
        </w:rPr>
        <w:t>、油气井密封性</w:t>
      </w:r>
    </w:p>
    <w:p w14:paraId="2B9EACF3">
      <w:pPr>
        <w:pStyle w:val="2"/>
        <w:spacing w:before="182" w:line="359" w:lineRule="auto"/>
        <w:ind w:left="27" w:right="201" w:firstLine="476"/>
        <w:jc w:val="both"/>
      </w:pPr>
      <w:r>
        <w:rPr>
          <w:spacing w:val="4"/>
        </w:rPr>
        <w:t>通过采取油层套管外固井水泥全部返到地面来防止储层气沿水泥环发生气</w:t>
      </w:r>
      <w:r>
        <w:rPr>
          <w:spacing w:val="-3"/>
        </w:rPr>
        <w:t>窜，井中涉及的工具及设备的橡胶件满足温度、压力及防腐的要求等措施</w:t>
      </w:r>
      <w:r>
        <w:rPr>
          <w:spacing w:val="-4"/>
        </w:rPr>
        <w:t>来确保</w:t>
      </w:r>
      <w:r>
        <w:rPr>
          <w:spacing w:val="-3"/>
        </w:rPr>
        <w:t>油气密封性。</w:t>
      </w:r>
    </w:p>
    <w:p w14:paraId="7193FA82">
      <w:pPr>
        <w:pStyle w:val="2"/>
        <w:spacing w:before="1" w:line="217" w:lineRule="auto"/>
        <w:ind w:left="501"/>
      </w:pPr>
      <w:r>
        <w:rPr>
          <w:spacing w:val="-1"/>
        </w:rPr>
        <w:t>②联合站罐区无组织挥发烃类废气</w:t>
      </w:r>
    </w:p>
    <w:p w14:paraId="519BFAAE">
      <w:pPr>
        <w:pStyle w:val="2"/>
        <w:spacing w:before="183" w:line="219" w:lineRule="auto"/>
        <w:ind w:left="506"/>
      </w:pPr>
      <w:r>
        <w:rPr>
          <w:spacing w:val="-1"/>
        </w:rPr>
        <w:t>为了降低联合站的无组织挥发烃类废气，本项目采取如下措施：</w:t>
      </w:r>
    </w:p>
    <w:p w14:paraId="22CBE6B7">
      <w:pPr>
        <w:pStyle w:val="2"/>
        <w:spacing w:before="184" w:line="219" w:lineRule="auto"/>
        <w:ind w:left="496"/>
      </w:pPr>
      <w:r>
        <w:rPr>
          <w:rFonts w:ascii="Times New Roman" w:hAnsi="Times New Roman" w:eastAsia="Times New Roman" w:cs="Times New Roman"/>
          <w:spacing w:val="-2"/>
        </w:rPr>
        <w:t>A</w:t>
      </w:r>
      <w:r>
        <w:rPr>
          <w:rFonts w:ascii="Times New Roman" w:hAnsi="Times New Roman" w:eastAsia="Times New Roman" w:cs="Times New Roman"/>
          <w:spacing w:val="-22"/>
        </w:rPr>
        <w:t xml:space="preserve"> </w:t>
      </w:r>
      <w:r>
        <w:rPr>
          <w:spacing w:val="-2"/>
        </w:rPr>
        <w:t>、储油罐采用拱顶罐，并加装油气回收装置；</w:t>
      </w:r>
    </w:p>
    <w:p w14:paraId="3DF0F580">
      <w:pPr>
        <w:pStyle w:val="2"/>
        <w:spacing w:before="180" w:line="359" w:lineRule="auto"/>
        <w:ind w:left="28" w:right="201" w:firstLine="469"/>
      </w:pPr>
      <w:r>
        <w:rPr>
          <w:rFonts w:ascii="Times New Roman" w:hAnsi="Times New Roman" w:eastAsia="Times New Roman" w:cs="Times New Roman"/>
          <w:spacing w:val="-1"/>
        </w:rPr>
        <w:t>B</w:t>
      </w:r>
      <w:r>
        <w:rPr>
          <w:rFonts w:ascii="Times New Roman" w:hAnsi="Times New Roman" w:eastAsia="Times New Roman" w:cs="Times New Roman"/>
          <w:spacing w:val="-33"/>
        </w:rPr>
        <w:t xml:space="preserve"> </w:t>
      </w:r>
      <w:r>
        <w:rPr>
          <w:spacing w:val="-1"/>
        </w:rPr>
        <w:t>、防止空气进入油罐中，油罐内始终保持微</w:t>
      </w:r>
      <w:r>
        <w:rPr>
          <w:spacing w:val="-2"/>
        </w:rPr>
        <w:t>正压，在储罐压力低时自动开启补气阀门对储罐进行补气。</w:t>
      </w:r>
    </w:p>
    <w:p w14:paraId="7282A0D6">
      <w:pPr>
        <w:pStyle w:val="2"/>
        <w:spacing w:before="2" w:line="359" w:lineRule="auto"/>
        <w:ind w:left="24" w:right="201" w:firstLine="478"/>
      </w:pPr>
      <w:r>
        <w:rPr>
          <w:rFonts w:ascii="Times New Roman" w:hAnsi="Times New Roman" w:eastAsia="Times New Roman" w:cs="Times New Roman"/>
          <w:spacing w:val="-2"/>
        </w:rPr>
        <w:t>C</w:t>
      </w:r>
      <w:r>
        <w:rPr>
          <w:rFonts w:ascii="Times New Roman" w:hAnsi="Times New Roman" w:eastAsia="Times New Roman" w:cs="Times New Roman"/>
          <w:spacing w:val="-18"/>
        </w:rPr>
        <w:t xml:space="preserve"> </w:t>
      </w:r>
      <w:r>
        <w:rPr>
          <w:spacing w:val="-2"/>
        </w:rPr>
        <w:t>、加强原油装车过程管理，在储油罐上安装简易装车流程。装车过程中，</w:t>
      </w:r>
      <w:r>
        <w:rPr>
          <w:spacing w:val="-3"/>
        </w:rPr>
        <w:t>单井储油罐中的油水混合物通过储油罐上端的拉油鹤管输送到拉油罐车里，且确</w:t>
      </w:r>
      <w:r>
        <w:rPr>
          <w:spacing w:val="-1"/>
        </w:rPr>
        <w:t>保拉油鹤管出口一直延伸至罐车底部，有效地降低烃类气体的挥发。</w:t>
      </w:r>
    </w:p>
    <w:p w14:paraId="1CD119AB">
      <w:pPr>
        <w:pStyle w:val="2"/>
        <w:spacing w:line="220" w:lineRule="auto"/>
        <w:ind w:left="498"/>
      </w:pPr>
      <w:r>
        <w:rPr>
          <w:rFonts w:ascii="Times New Roman" w:hAnsi="Times New Roman" w:eastAsia="Times New Roman" w:cs="Times New Roman"/>
          <w:spacing w:val="-2"/>
        </w:rPr>
        <w:t>D</w:t>
      </w:r>
      <w:r>
        <w:rPr>
          <w:rFonts w:ascii="Times New Roman" w:hAnsi="Times New Roman" w:eastAsia="Times New Roman" w:cs="Times New Roman"/>
          <w:spacing w:val="-28"/>
        </w:rPr>
        <w:t xml:space="preserve"> </w:t>
      </w:r>
      <w:r>
        <w:rPr>
          <w:spacing w:val="-2"/>
        </w:rPr>
        <w:t>、油罐车运输过程中确保油罐全程密闭。</w:t>
      </w:r>
    </w:p>
    <w:p w14:paraId="7ACACFEE">
      <w:pPr>
        <w:spacing w:line="220" w:lineRule="auto"/>
        <w:sectPr>
          <w:footerReference r:id="rId169" w:type="default"/>
          <w:pgSz w:w="11906" w:h="16839"/>
          <w:pgMar w:top="400" w:right="1598" w:bottom="1253" w:left="1785" w:header="0" w:footer="940" w:gutter="0"/>
          <w:cols w:space="720" w:num="1"/>
        </w:sectPr>
      </w:pPr>
    </w:p>
    <w:p w14:paraId="5111843E">
      <w:pPr>
        <w:spacing w:line="247" w:lineRule="auto"/>
        <w:rPr>
          <w:rFonts w:ascii="Arial"/>
          <w:sz w:val="21"/>
        </w:rPr>
      </w:pPr>
    </w:p>
    <w:p w14:paraId="73AF1508">
      <w:pPr>
        <w:spacing w:line="247" w:lineRule="auto"/>
        <w:rPr>
          <w:rFonts w:ascii="Arial"/>
          <w:sz w:val="21"/>
        </w:rPr>
      </w:pPr>
    </w:p>
    <w:p w14:paraId="6ED0B523">
      <w:pPr>
        <w:spacing w:line="248" w:lineRule="auto"/>
        <w:rPr>
          <w:rFonts w:ascii="Arial"/>
          <w:sz w:val="21"/>
        </w:rPr>
      </w:pPr>
    </w:p>
    <w:p w14:paraId="30577EF7">
      <w:pPr>
        <w:spacing w:line="248" w:lineRule="auto"/>
        <w:rPr>
          <w:rFonts w:ascii="Arial"/>
          <w:sz w:val="21"/>
        </w:rPr>
      </w:pPr>
    </w:p>
    <w:p w14:paraId="7B99B6F2">
      <w:pPr>
        <w:pStyle w:val="2"/>
        <w:spacing w:before="78" w:line="220" w:lineRule="auto"/>
        <w:ind w:left="499"/>
      </w:pPr>
      <w:r>
        <w:rPr>
          <w:rFonts w:ascii="Times New Roman" w:hAnsi="Times New Roman" w:eastAsia="Times New Roman" w:cs="Times New Roman"/>
          <w:spacing w:val="-2"/>
        </w:rPr>
        <w:t>E</w:t>
      </w:r>
      <w:r>
        <w:rPr>
          <w:rFonts w:ascii="Times New Roman" w:hAnsi="Times New Roman" w:eastAsia="Times New Roman" w:cs="Times New Roman"/>
          <w:spacing w:val="-34"/>
        </w:rPr>
        <w:t xml:space="preserve"> </w:t>
      </w:r>
      <w:r>
        <w:rPr>
          <w:spacing w:val="-2"/>
        </w:rPr>
        <w:t>、对装车系统加装油气回收装置。</w:t>
      </w:r>
    </w:p>
    <w:p w14:paraId="415CB095">
      <w:pPr>
        <w:pStyle w:val="2"/>
        <w:spacing w:before="181" w:line="218" w:lineRule="auto"/>
        <w:ind w:left="501"/>
      </w:pPr>
      <w:r>
        <w:rPr>
          <w:spacing w:val="-1"/>
        </w:rPr>
        <w:t>③油泥池无组织排放废气</w:t>
      </w:r>
    </w:p>
    <w:p w14:paraId="0485B240">
      <w:pPr>
        <w:pStyle w:val="2"/>
        <w:spacing w:before="142" w:line="362" w:lineRule="auto"/>
        <w:ind w:left="23" w:right="78" w:firstLine="480"/>
        <w:jc w:val="both"/>
      </w:pPr>
      <w:r>
        <w:rPr>
          <w:spacing w:val="-4"/>
        </w:rPr>
        <w:t>环评阶段，项目计划在联合站内东北部设置占地面积为</w:t>
      </w:r>
      <w:r>
        <w:rPr>
          <w:spacing w:val="-52"/>
        </w:rPr>
        <w:t xml:space="preserve"> </w:t>
      </w:r>
      <w:r>
        <w:rPr>
          <w:rFonts w:ascii="Times New Roman" w:hAnsi="Times New Roman" w:eastAsia="Times New Roman" w:cs="Times New Roman"/>
          <w:spacing w:val="-4"/>
        </w:rPr>
        <w:t>280m</w:t>
      </w:r>
      <w:r>
        <w:rPr>
          <w:rFonts w:ascii="Times New Roman" w:hAnsi="Times New Roman" w:eastAsia="Times New Roman" w:cs="Times New Roman"/>
          <w:spacing w:val="-4"/>
          <w:position w:val="7"/>
          <w:sz w:val="15"/>
          <w:szCs w:val="15"/>
        </w:rPr>
        <w:t>2</w:t>
      </w:r>
      <w:r>
        <w:rPr>
          <w:rFonts w:ascii="Times New Roman" w:hAnsi="Times New Roman" w:eastAsia="Times New Roman" w:cs="Times New Roman"/>
          <w:spacing w:val="31"/>
          <w:position w:val="7"/>
          <w:sz w:val="15"/>
          <w:szCs w:val="15"/>
        </w:rPr>
        <w:t xml:space="preserve"> </w:t>
      </w:r>
      <w:r>
        <w:rPr>
          <w:spacing w:val="-4"/>
        </w:rPr>
        <w:t>的油泥池，主</w:t>
      </w:r>
      <w:r>
        <w:rPr>
          <w:spacing w:val="-3"/>
        </w:rPr>
        <w:t>要用于贮存落地油、含油污泥。含油污泥主要来自联合站内油罐清洗及采出水处</w:t>
      </w:r>
      <w:r>
        <w:rPr>
          <w:spacing w:val="4"/>
        </w:rPr>
        <w:t>理系统。实际建设过程中，为提高收集效率，在原占地上分别建设了占</w:t>
      </w:r>
      <w:r>
        <w:rPr>
          <w:spacing w:val="3"/>
        </w:rPr>
        <w:t>地面积</w:t>
      </w:r>
      <w:r>
        <w:rPr>
          <w:rFonts w:ascii="Times New Roman" w:hAnsi="Times New Roman" w:eastAsia="Times New Roman" w:cs="Times New Roman"/>
          <w:spacing w:val="-3"/>
        </w:rPr>
        <w:t>140m</w:t>
      </w:r>
      <w:r>
        <w:rPr>
          <w:rFonts w:ascii="Times New Roman" w:hAnsi="Times New Roman" w:eastAsia="Times New Roman" w:cs="Times New Roman"/>
          <w:spacing w:val="-3"/>
          <w:position w:val="7"/>
          <w:sz w:val="15"/>
          <w:szCs w:val="15"/>
        </w:rPr>
        <w:t>2</w:t>
      </w:r>
      <w:r>
        <w:rPr>
          <w:rFonts w:ascii="Times New Roman" w:hAnsi="Times New Roman" w:eastAsia="Times New Roman" w:cs="Times New Roman"/>
          <w:spacing w:val="31"/>
          <w:w w:val="102"/>
          <w:position w:val="7"/>
          <w:sz w:val="15"/>
          <w:szCs w:val="15"/>
        </w:rPr>
        <w:t xml:space="preserve"> </w:t>
      </w:r>
      <w:r>
        <w:rPr>
          <w:spacing w:val="-3"/>
        </w:rPr>
        <w:t>的油泥池和占地面积</w:t>
      </w:r>
      <w:r>
        <w:rPr>
          <w:spacing w:val="-32"/>
        </w:rPr>
        <w:t xml:space="preserve"> </w:t>
      </w:r>
      <w:r>
        <w:rPr>
          <w:rFonts w:ascii="Times New Roman" w:hAnsi="Times New Roman" w:eastAsia="Times New Roman" w:cs="Times New Roman"/>
          <w:spacing w:val="-3"/>
        </w:rPr>
        <w:t>140m</w:t>
      </w:r>
      <w:r>
        <w:rPr>
          <w:rFonts w:ascii="Times New Roman" w:hAnsi="Times New Roman" w:eastAsia="Times New Roman" w:cs="Times New Roman"/>
          <w:spacing w:val="-3"/>
          <w:position w:val="7"/>
          <w:sz w:val="15"/>
          <w:szCs w:val="15"/>
        </w:rPr>
        <w:t>2</w:t>
      </w:r>
      <w:r>
        <w:rPr>
          <w:rFonts w:ascii="Times New Roman" w:hAnsi="Times New Roman" w:eastAsia="Times New Roman" w:cs="Times New Roman"/>
          <w:spacing w:val="28"/>
          <w:w w:val="102"/>
          <w:position w:val="7"/>
          <w:sz w:val="15"/>
          <w:szCs w:val="15"/>
        </w:rPr>
        <w:t xml:space="preserve"> </w:t>
      </w:r>
      <w:r>
        <w:rPr>
          <w:spacing w:val="-3"/>
        </w:rPr>
        <w:t>的生物油泥池</w:t>
      </w:r>
      <w:r>
        <w:rPr>
          <w:spacing w:val="-4"/>
        </w:rPr>
        <w:t>，油泥池和生物油泥池之间由隔</w:t>
      </w:r>
      <w:r>
        <w:rPr>
          <w:spacing w:val="-3"/>
        </w:rPr>
        <w:t>板隔开，油泥池来液主要是调储罐、注水罐的溢流及排污、微滤膜过滤反冲洗水和落地油，油泥池中上层污水通过回收泵泵入调储罐进行处理，油泥池中污泥定期交内蒙古新蒙西环境资源发展有限公司进行处理。生物油泥池来液主要是微生物反应罐的溢流，生物油泥池中上层污水通过回收泵泵入调储罐进行处理，生物油泥池中污泥定期交内蒙古新蒙西环境资源发展有限公司进行处理。污油池分隔</w:t>
      </w:r>
      <w:r>
        <w:rPr>
          <w:spacing w:val="-1"/>
        </w:rPr>
        <w:t>建设未导致占地面积和废气量的增加。</w:t>
      </w:r>
    </w:p>
    <w:p w14:paraId="02456E95">
      <w:pPr>
        <w:pStyle w:val="2"/>
        <w:spacing w:before="4" w:line="359" w:lineRule="auto"/>
        <w:ind w:left="23" w:firstLine="483"/>
        <w:jc w:val="both"/>
      </w:pPr>
      <w:r>
        <w:rPr>
          <w:spacing w:val="-3"/>
        </w:rPr>
        <w:t>油泥池和生物油泥池设置了固定顶棚，固定顶棚封闭建</w:t>
      </w:r>
      <w:r>
        <w:rPr>
          <w:spacing w:val="-4"/>
        </w:rPr>
        <w:t>设，并配套废气收集</w:t>
      </w:r>
      <w:r>
        <w:rPr>
          <w:spacing w:val="-3"/>
        </w:rPr>
        <w:t>处理装置，废气收集装置包括生物洗涤塔、除雾过滤器以及活性炭吸附箱，废气</w:t>
      </w:r>
      <w:r>
        <w:rPr>
          <w:spacing w:val="-7"/>
        </w:rPr>
        <w:t>通过管道收集，由废气收集处理装置风机将废气鼓入洗</w:t>
      </w:r>
      <w:r>
        <w:rPr>
          <w:spacing w:val="-8"/>
        </w:rPr>
        <w:t>涤塔，再通过除雾过滤器、</w:t>
      </w:r>
      <w:r>
        <w:rPr>
          <w:spacing w:val="-2"/>
        </w:rPr>
        <w:t>活性炭吸附箱处理后经</w:t>
      </w:r>
      <w:r>
        <w:rPr>
          <w:spacing w:val="-31"/>
        </w:rPr>
        <w:t xml:space="preserve"> </w:t>
      </w:r>
      <w:r>
        <w:rPr>
          <w:rFonts w:ascii="Times New Roman" w:hAnsi="Times New Roman" w:eastAsia="Times New Roman" w:cs="Times New Roman"/>
          <w:spacing w:val="-2"/>
        </w:rPr>
        <w:t xml:space="preserve">17m </w:t>
      </w:r>
      <w:r>
        <w:rPr>
          <w:spacing w:val="-2"/>
        </w:rPr>
        <w:t>高排气筒排放。</w:t>
      </w:r>
    </w:p>
    <w:p w14:paraId="462CB31E">
      <w:pPr>
        <w:pStyle w:val="2"/>
        <w:spacing w:before="1" w:line="217" w:lineRule="auto"/>
        <w:ind w:left="501"/>
      </w:pPr>
      <w:r>
        <w:rPr>
          <w:spacing w:val="-1"/>
        </w:rPr>
        <w:t>④危废间无组织废气排放</w:t>
      </w:r>
    </w:p>
    <w:p w14:paraId="1C234777">
      <w:pPr>
        <w:pStyle w:val="2"/>
        <w:spacing w:before="183" w:line="219" w:lineRule="auto"/>
        <w:jc w:val="right"/>
      </w:pPr>
      <w:r>
        <w:rPr>
          <w:spacing w:val="-8"/>
        </w:rPr>
        <w:t>危废间封闭建设，安装风机及可燃气体报警装置，排放口处采用活性炭吸附。</w:t>
      </w:r>
    </w:p>
    <w:p w14:paraId="1D3310FD">
      <w:pPr>
        <w:pStyle w:val="2"/>
        <w:spacing w:before="183" w:line="218" w:lineRule="auto"/>
        <w:ind w:left="501"/>
      </w:pPr>
      <w:r>
        <w:rPr>
          <w:spacing w:val="-1"/>
        </w:rPr>
        <w:t>⑤联合站加热炉废气</w:t>
      </w:r>
    </w:p>
    <w:p w14:paraId="1052CBBA">
      <w:pPr>
        <w:pStyle w:val="2"/>
        <w:spacing w:before="147" w:line="359" w:lineRule="exact"/>
        <w:ind w:left="504"/>
      </w:pPr>
      <w:r>
        <w:rPr>
          <w:spacing w:val="-1"/>
          <w:position w:val="2"/>
        </w:rPr>
        <w:t>联合站备用加热炉以伴生气为燃料，燃烧产生的烟气经</w:t>
      </w:r>
      <w:r>
        <w:rPr>
          <w:spacing w:val="-32"/>
          <w:position w:val="2"/>
        </w:rPr>
        <w:t xml:space="preserve"> </w:t>
      </w:r>
      <w:r>
        <w:rPr>
          <w:rFonts w:ascii="Times New Roman" w:hAnsi="Times New Roman" w:eastAsia="Times New Roman" w:cs="Times New Roman"/>
          <w:spacing w:val="-1"/>
          <w:position w:val="2"/>
        </w:rPr>
        <w:t>18</w:t>
      </w:r>
      <w:r>
        <w:rPr>
          <w:rFonts w:ascii="Times New Roman" w:hAnsi="Times New Roman" w:eastAsia="Times New Roman" w:cs="Times New Roman"/>
          <w:spacing w:val="-2"/>
          <w:position w:val="2"/>
        </w:rPr>
        <w:t xml:space="preserve">m </w:t>
      </w:r>
      <w:r>
        <w:rPr>
          <w:spacing w:val="-2"/>
          <w:position w:val="2"/>
        </w:rPr>
        <w:t>排气筒排放。</w:t>
      </w:r>
    </w:p>
    <w:p w14:paraId="0250000C">
      <w:pPr>
        <w:pStyle w:val="2"/>
        <w:spacing w:before="144" w:line="218" w:lineRule="auto"/>
        <w:ind w:left="501"/>
      </w:pPr>
      <w:r>
        <w:rPr>
          <w:spacing w:val="-1"/>
        </w:rPr>
        <w:t>⑥伴生气处理工艺无组织挥发硫化氢</w:t>
      </w:r>
    </w:p>
    <w:p w14:paraId="7D7126CA">
      <w:pPr>
        <w:pStyle w:val="2"/>
        <w:spacing w:before="183" w:line="219" w:lineRule="auto"/>
        <w:ind w:left="507"/>
      </w:pPr>
      <w:r>
        <w:rPr>
          <w:spacing w:val="-1"/>
        </w:rPr>
        <w:t>项目油气集输、站场内处理工艺均采用管线密闭输送流程。</w:t>
      </w:r>
    </w:p>
    <w:p w14:paraId="15B41F60">
      <w:pPr>
        <w:pStyle w:val="2"/>
        <w:spacing w:before="183" w:line="218" w:lineRule="auto"/>
        <w:ind w:left="501"/>
      </w:pPr>
      <w:r>
        <w:rPr>
          <w:spacing w:val="-2"/>
        </w:rPr>
        <w:t>⑦火炬放空</w:t>
      </w:r>
    </w:p>
    <w:p w14:paraId="481A5A2C">
      <w:pPr>
        <w:pStyle w:val="2"/>
        <w:spacing w:before="184" w:line="220" w:lineRule="auto"/>
        <w:ind w:left="504"/>
      </w:pPr>
      <w:r>
        <w:rPr>
          <w:spacing w:val="-1"/>
        </w:rPr>
        <w:t>联合站放空系统设置了放空立管及点火系统。</w:t>
      </w:r>
    </w:p>
    <w:p w14:paraId="4458355B">
      <w:pPr>
        <w:pStyle w:val="2"/>
        <w:spacing w:before="145" w:line="360" w:lineRule="exact"/>
        <w:ind w:left="514"/>
      </w:pPr>
      <w:r>
        <w:rPr>
          <w:spacing w:val="-5"/>
          <w:position w:val="2"/>
        </w:rPr>
        <w:t>（</w:t>
      </w:r>
      <w:r>
        <w:rPr>
          <w:rFonts w:ascii="Times New Roman" w:hAnsi="Times New Roman" w:eastAsia="Times New Roman" w:cs="Times New Roman"/>
          <w:spacing w:val="-5"/>
          <w:position w:val="2"/>
        </w:rPr>
        <w:t>2</w:t>
      </w:r>
      <w:r>
        <w:rPr>
          <w:spacing w:val="-5"/>
          <w:position w:val="2"/>
        </w:rPr>
        <w:t>）废水</w:t>
      </w:r>
    </w:p>
    <w:p w14:paraId="4423975E">
      <w:pPr>
        <w:pStyle w:val="2"/>
        <w:spacing w:before="142" w:line="359" w:lineRule="auto"/>
        <w:ind w:left="22" w:right="81" w:firstLine="480"/>
      </w:pPr>
      <w:r>
        <w:rPr>
          <w:spacing w:val="-3"/>
        </w:rPr>
        <w:t>运营期废水主要为油田采出水、修井及洗井废水、废分子筛脱除</w:t>
      </w:r>
      <w:r>
        <w:rPr>
          <w:spacing w:val="-4"/>
        </w:rPr>
        <w:t>废水。均进</w:t>
      </w:r>
      <w:r>
        <w:rPr>
          <w:spacing w:val="-3"/>
        </w:rPr>
        <w:t>入临河联合站采出水处理系统进行处理，出水达到《碎屑岩油藏注水水质推荐指</w:t>
      </w:r>
      <w:r>
        <w:rPr>
          <w:spacing w:val="-4"/>
        </w:rPr>
        <w:t>标及分析方法》（</w:t>
      </w:r>
      <w:r>
        <w:rPr>
          <w:rFonts w:ascii="Times New Roman" w:hAnsi="Times New Roman" w:eastAsia="Times New Roman" w:cs="Times New Roman"/>
          <w:spacing w:val="-4"/>
        </w:rPr>
        <w:t>SY/T5329-2022</w:t>
      </w:r>
      <w:r>
        <w:rPr>
          <w:spacing w:val="-4"/>
        </w:rPr>
        <w:t>）标准要求后，回注于现役油层。</w:t>
      </w:r>
    </w:p>
    <w:p w14:paraId="71D68E38">
      <w:pPr>
        <w:pStyle w:val="2"/>
        <w:spacing w:before="1" w:line="362" w:lineRule="auto"/>
        <w:ind w:left="23" w:right="81" w:firstLine="480"/>
      </w:pPr>
      <w:r>
        <w:rPr>
          <w:spacing w:val="-3"/>
        </w:rPr>
        <w:t>本项目生活污水主要来源于日常办公生活，生活污水经管网收</w:t>
      </w:r>
      <w:r>
        <w:rPr>
          <w:spacing w:val="-4"/>
        </w:rPr>
        <w:t>集后排至化粪</w:t>
      </w:r>
      <w:r>
        <w:rPr>
          <w:spacing w:val="-1"/>
        </w:rPr>
        <w:t>池，委托有资质单位处置。</w:t>
      </w:r>
    </w:p>
    <w:p w14:paraId="1FAEF7DC">
      <w:pPr>
        <w:spacing w:line="362" w:lineRule="auto"/>
        <w:sectPr>
          <w:footerReference r:id="rId170" w:type="default"/>
          <w:pgSz w:w="11906" w:h="16839"/>
          <w:pgMar w:top="400" w:right="1718" w:bottom="1253" w:left="1785" w:header="0" w:footer="937" w:gutter="0"/>
          <w:cols w:space="720" w:num="1"/>
        </w:sectPr>
      </w:pPr>
    </w:p>
    <w:p w14:paraId="07F0A93D">
      <w:pPr>
        <w:spacing w:line="258" w:lineRule="auto"/>
        <w:rPr>
          <w:rFonts w:ascii="Arial"/>
          <w:sz w:val="21"/>
        </w:rPr>
      </w:pPr>
    </w:p>
    <w:p w14:paraId="6EEAB38C">
      <w:pPr>
        <w:spacing w:line="258" w:lineRule="auto"/>
        <w:rPr>
          <w:rFonts w:ascii="Arial"/>
          <w:sz w:val="21"/>
        </w:rPr>
      </w:pPr>
    </w:p>
    <w:p w14:paraId="5AA28187">
      <w:pPr>
        <w:spacing w:line="259" w:lineRule="auto"/>
        <w:rPr>
          <w:rFonts w:ascii="Arial"/>
          <w:sz w:val="21"/>
        </w:rPr>
      </w:pPr>
    </w:p>
    <w:p w14:paraId="08C9E574">
      <w:pPr>
        <w:spacing w:line="259" w:lineRule="auto"/>
        <w:rPr>
          <w:rFonts w:ascii="Arial"/>
          <w:sz w:val="21"/>
        </w:rPr>
      </w:pPr>
    </w:p>
    <w:p w14:paraId="3304457C">
      <w:pPr>
        <w:pStyle w:val="2"/>
        <w:spacing w:before="78" w:line="361" w:lineRule="exact"/>
        <w:ind w:left="514"/>
      </w:pPr>
      <w:r>
        <w:rPr>
          <w:spacing w:val="-5"/>
          <w:position w:val="2"/>
        </w:rPr>
        <w:t>（</w:t>
      </w:r>
      <w:r>
        <w:rPr>
          <w:rFonts w:ascii="Times New Roman" w:hAnsi="Times New Roman" w:eastAsia="Times New Roman" w:cs="Times New Roman"/>
          <w:spacing w:val="-5"/>
          <w:position w:val="2"/>
        </w:rPr>
        <w:t>3</w:t>
      </w:r>
      <w:r>
        <w:rPr>
          <w:spacing w:val="-5"/>
          <w:position w:val="2"/>
        </w:rPr>
        <w:t>）噪声</w:t>
      </w:r>
    </w:p>
    <w:p w14:paraId="1BBD546C">
      <w:pPr>
        <w:pStyle w:val="2"/>
        <w:spacing w:before="141" w:line="351" w:lineRule="auto"/>
        <w:ind w:left="27" w:right="81" w:firstLine="476"/>
      </w:pPr>
      <w:r>
        <w:rPr>
          <w:spacing w:val="4"/>
        </w:rPr>
        <w:t>运行期主要是联合站运行过程中的设备噪声和井场抽油机泵运转产生的噪</w:t>
      </w:r>
      <w:r>
        <w:rPr>
          <w:spacing w:val="-3"/>
        </w:rPr>
        <w:t>声。采取噪声污染防治措施为：选用低噪声设备，对设备采用减振基础；</w:t>
      </w:r>
      <w:r>
        <w:rPr>
          <w:spacing w:val="-4"/>
        </w:rPr>
        <w:t>定期对</w:t>
      </w:r>
      <w:r>
        <w:rPr>
          <w:spacing w:val="-2"/>
        </w:rPr>
        <w:t>设备的保养、维护。</w:t>
      </w:r>
    </w:p>
    <w:p w14:paraId="4A7ADF78">
      <w:pPr>
        <w:pStyle w:val="2"/>
        <w:spacing w:line="361" w:lineRule="exact"/>
        <w:ind w:left="514"/>
      </w:pPr>
      <w:r>
        <w:rPr>
          <w:spacing w:val="-5"/>
          <w:position w:val="2"/>
        </w:rPr>
        <w:t>（</w:t>
      </w:r>
      <w:r>
        <w:rPr>
          <w:rFonts w:ascii="Times New Roman" w:hAnsi="Times New Roman" w:eastAsia="Times New Roman" w:cs="Times New Roman"/>
          <w:spacing w:val="-5"/>
          <w:position w:val="2"/>
        </w:rPr>
        <w:t>4</w:t>
      </w:r>
      <w:r>
        <w:rPr>
          <w:spacing w:val="-5"/>
          <w:position w:val="2"/>
        </w:rPr>
        <w:t>）固废</w:t>
      </w:r>
    </w:p>
    <w:p w14:paraId="2C6F4C62">
      <w:pPr>
        <w:pStyle w:val="2"/>
        <w:spacing w:before="143" w:line="356" w:lineRule="auto"/>
        <w:ind w:left="24" w:right="76" w:firstLine="468"/>
      </w:pPr>
      <w:r>
        <w:rPr>
          <w:spacing w:val="-3"/>
        </w:rPr>
        <w:t>本次运营期固体废物主要为落地油、联合站油罐清理及污水处理系统含油污泥、设备维护产生的废机油、废油桶、废活性炭、废防渗膜、废分子筛以及职工生活垃圾。落地油、联合站油罐清理及污水处理系统含油污泥暂存于污油池，定期交内蒙古新蒙西环境资源发展有限公司单位处置。设备维护产生的废机油、废油桶、废活性炭、废防渗膜、废分子筛均属于危险废物，收集后暂存于临河联合站危废暂存间，定期交内蒙古新蒙西环境资源发展有限公司单位处置。职工生活</w:t>
      </w:r>
      <w:r>
        <w:rPr>
          <w:spacing w:val="-6"/>
        </w:rPr>
        <w:t>垃圾由环卫部门统一收集处理。</w:t>
      </w:r>
    </w:p>
    <w:p w14:paraId="772C5FF1">
      <w:pPr>
        <w:pStyle w:val="2"/>
        <w:spacing w:line="360" w:lineRule="exact"/>
        <w:ind w:left="514"/>
      </w:pPr>
      <w:r>
        <w:rPr>
          <w:spacing w:val="-4"/>
          <w:position w:val="2"/>
        </w:rPr>
        <w:t>（</w:t>
      </w:r>
      <w:r>
        <w:rPr>
          <w:rFonts w:ascii="Times New Roman" w:hAnsi="Times New Roman" w:eastAsia="Times New Roman" w:cs="Times New Roman"/>
          <w:spacing w:val="-4"/>
          <w:position w:val="2"/>
        </w:rPr>
        <w:t>6</w:t>
      </w:r>
      <w:r>
        <w:rPr>
          <w:spacing w:val="-4"/>
          <w:position w:val="2"/>
        </w:rPr>
        <w:t>）地下水</w:t>
      </w:r>
    </w:p>
    <w:p w14:paraId="4D55ECC9">
      <w:pPr>
        <w:pStyle w:val="2"/>
        <w:spacing w:before="107" w:line="358" w:lineRule="exact"/>
        <w:ind w:left="502"/>
      </w:pPr>
      <w:r>
        <w:rPr>
          <w:spacing w:val="-1"/>
          <w:position w:val="2"/>
        </w:rPr>
        <w:t>①采出水和其它生产废水经过处理后进行同层回注，回注率达到</w:t>
      </w:r>
      <w:r>
        <w:rPr>
          <w:spacing w:val="-32"/>
          <w:position w:val="2"/>
        </w:rPr>
        <w:t xml:space="preserve"> </w:t>
      </w:r>
      <w:r>
        <w:rPr>
          <w:rFonts w:ascii="Times New Roman" w:hAnsi="Times New Roman" w:eastAsia="Times New Roman" w:cs="Times New Roman"/>
          <w:spacing w:val="-2"/>
          <w:position w:val="2"/>
        </w:rPr>
        <w:t>100%</w:t>
      </w:r>
      <w:r>
        <w:rPr>
          <w:spacing w:val="-2"/>
          <w:position w:val="2"/>
        </w:rPr>
        <w:t>。</w:t>
      </w:r>
    </w:p>
    <w:p w14:paraId="6E7196D8">
      <w:pPr>
        <w:pStyle w:val="2"/>
        <w:spacing w:before="146" w:line="218" w:lineRule="auto"/>
        <w:ind w:left="501"/>
      </w:pPr>
      <w:r>
        <w:rPr>
          <w:spacing w:val="-1"/>
        </w:rPr>
        <w:t>②使用新型防腐管材，减轻对管线的腐蚀速率。</w:t>
      </w:r>
    </w:p>
    <w:p w14:paraId="4AE48434">
      <w:pPr>
        <w:pStyle w:val="2"/>
        <w:spacing w:before="184" w:line="360" w:lineRule="auto"/>
        <w:ind w:left="27" w:right="81" w:firstLine="474"/>
      </w:pPr>
      <w:r>
        <w:rPr>
          <w:spacing w:val="-4"/>
        </w:rPr>
        <w:t>③井下作业按照“铺设作业、带罐上岗</w:t>
      </w:r>
      <w:r>
        <w:rPr>
          <w:spacing w:val="-89"/>
        </w:rPr>
        <w:t xml:space="preserve"> </w:t>
      </w:r>
      <w:r>
        <w:rPr>
          <w:spacing w:val="-4"/>
        </w:rPr>
        <w:t>”的作业模式，及时回收落地油</w:t>
      </w:r>
      <w:r>
        <w:rPr>
          <w:spacing w:val="-5"/>
        </w:rPr>
        <w:t>、含</w:t>
      </w:r>
      <w:r>
        <w:rPr>
          <w:spacing w:val="-3"/>
        </w:rPr>
        <w:t>油污泥等。</w:t>
      </w:r>
    </w:p>
    <w:p w14:paraId="26AC906E">
      <w:pPr>
        <w:pStyle w:val="2"/>
        <w:spacing w:before="3" w:line="359" w:lineRule="auto"/>
        <w:ind w:left="27" w:right="81" w:firstLine="474"/>
      </w:pPr>
      <w:r>
        <w:rPr>
          <w:spacing w:val="-3"/>
        </w:rPr>
        <w:t>④采用使用撞击式泄油器、提杆式泄油器、提管式泄油器，可实现</w:t>
      </w:r>
      <w:r>
        <w:rPr>
          <w:spacing w:val="-4"/>
        </w:rPr>
        <w:t>“三不沾</w:t>
      </w:r>
      <w:r>
        <w:rPr>
          <w:spacing w:val="-7"/>
        </w:rPr>
        <w:t>油</w:t>
      </w:r>
      <w:r>
        <w:rPr>
          <w:spacing w:val="-88"/>
        </w:rPr>
        <w:t xml:space="preserve"> </w:t>
      </w:r>
      <w:r>
        <w:rPr>
          <w:spacing w:val="-7"/>
        </w:rPr>
        <w:t>”，即“井场不沾油、设备不沾油、操作工人身上不沾</w:t>
      </w:r>
      <w:r>
        <w:rPr>
          <w:spacing w:val="-8"/>
        </w:rPr>
        <w:t>油</w:t>
      </w:r>
      <w:r>
        <w:rPr>
          <w:spacing w:val="-88"/>
        </w:rPr>
        <w:t xml:space="preserve"> </w:t>
      </w:r>
      <w:r>
        <w:rPr>
          <w:spacing w:val="-8"/>
        </w:rPr>
        <w:t>”；</w:t>
      </w:r>
    </w:p>
    <w:p w14:paraId="4965E7D6">
      <w:pPr>
        <w:pStyle w:val="2"/>
        <w:spacing w:line="360" w:lineRule="auto"/>
        <w:ind w:left="24" w:firstLine="477"/>
      </w:pPr>
      <w:r>
        <w:rPr>
          <w:spacing w:val="-8"/>
        </w:rPr>
        <w:t>⑤定期检查输油管线，及时发现、修补坏损井，管线破坏、减少原油泄漏量。</w:t>
      </w:r>
      <w:r>
        <w:rPr>
          <w:spacing w:val="-3"/>
        </w:rPr>
        <w:t>一旦发生油井出油异常，应及时查明原因，若是套管损坏，应及时采用水泥灌浆等措施封堵套管，防止含油污水泄漏污染地下水；对破坏管线、服役期满的管线要及时更换，防止原油对管线浅层地下水的污染。对井口装置、集油管线等易发生泄漏的部位进行巡回检查，减少或杜绝油井跑冒滴漏，以及原油泄漏事件的发</w:t>
      </w:r>
      <w:r>
        <w:rPr>
          <w:spacing w:val="-6"/>
        </w:rPr>
        <w:t>生。</w:t>
      </w:r>
    </w:p>
    <w:p w14:paraId="5143D695">
      <w:pPr>
        <w:pStyle w:val="2"/>
        <w:spacing w:line="361" w:lineRule="auto"/>
        <w:ind w:left="26" w:right="81" w:firstLine="475"/>
      </w:pPr>
      <w:r>
        <w:rPr>
          <w:spacing w:val="-3"/>
        </w:rPr>
        <w:t>⑥采用高质量的输送管线和先进的监控手段，防治原油的泄漏，采</w:t>
      </w:r>
      <w:r>
        <w:rPr>
          <w:spacing w:val="-4"/>
        </w:rPr>
        <w:t>出水处理</w:t>
      </w:r>
      <w:r>
        <w:rPr>
          <w:spacing w:val="-3"/>
        </w:rPr>
        <w:t>系统具备一定的调节容量，避免机械故障下的事故排放；定期检查各种设备</w:t>
      </w:r>
      <w:r>
        <w:rPr>
          <w:spacing w:val="-4"/>
        </w:rPr>
        <w:t>和巡</w:t>
      </w:r>
      <w:r>
        <w:rPr>
          <w:spacing w:val="-3"/>
        </w:rPr>
        <w:t>查制度。一旦发生事故，立即启动应急预案和应急系统，把对地下水的影响</w:t>
      </w:r>
      <w:r>
        <w:rPr>
          <w:spacing w:val="-4"/>
        </w:rPr>
        <w:t>降低</w:t>
      </w:r>
      <w:r>
        <w:rPr>
          <w:spacing w:val="-3"/>
        </w:rPr>
        <w:t>到最小程度。</w:t>
      </w:r>
    </w:p>
    <w:p w14:paraId="0994A39E">
      <w:pPr>
        <w:spacing w:line="361" w:lineRule="auto"/>
        <w:sectPr>
          <w:footerReference r:id="rId171" w:type="default"/>
          <w:pgSz w:w="11906" w:h="16839"/>
          <w:pgMar w:top="400" w:right="1718" w:bottom="1253" w:left="1785" w:header="0" w:footer="940" w:gutter="0"/>
          <w:cols w:space="720" w:num="1"/>
        </w:sectPr>
      </w:pPr>
    </w:p>
    <w:p w14:paraId="0DA3AF22">
      <w:pPr>
        <w:spacing w:line="267" w:lineRule="auto"/>
        <w:rPr>
          <w:rFonts w:ascii="Arial"/>
          <w:sz w:val="21"/>
        </w:rPr>
      </w:pPr>
    </w:p>
    <w:p w14:paraId="3A388576">
      <w:pPr>
        <w:spacing w:line="267" w:lineRule="auto"/>
        <w:rPr>
          <w:rFonts w:ascii="Arial"/>
          <w:sz w:val="21"/>
        </w:rPr>
      </w:pPr>
    </w:p>
    <w:p w14:paraId="3E7C8AAE">
      <w:pPr>
        <w:spacing w:line="267" w:lineRule="auto"/>
        <w:rPr>
          <w:rFonts w:ascii="Arial"/>
          <w:sz w:val="21"/>
        </w:rPr>
      </w:pPr>
    </w:p>
    <w:p w14:paraId="6968C405">
      <w:pPr>
        <w:spacing w:line="268" w:lineRule="auto"/>
        <w:rPr>
          <w:rFonts w:ascii="Arial"/>
          <w:sz w:val="21"/>
        </w:rPr>
      </w:pPr>
    </w:p>
    <w:p w14:paraId="7F76CAED">
      <w:pPr>
        <w:pStyle w:val="2"/>
        <w:spacing w:before="78" w:line="220" w:lineRule="auto"/>
        <w:ind w:left="507"/>
      </w:pPr>
      <w:r>
        <w:rPr>
          <w:b/>
          <w:bCs/>
          <w:spacing w:val="-4"/>
        </w:rPr>
        <w:t>五、验收结论</w:t>
      </w:r>
    </w:p>
    <w:p w14:paraId="1119D38C">
      <w:pPr>
        <w:pStyle w:val="2"/>
        <w:spacing w:before="147" w:line="364" w:lineRule="auto"/>
        <w:ind w:left="25" w:firstLine="503"/>
        <w:jc w:val="both"/>
      </w:pPr>
      <w:r>
        <w:rPr>
          <w:spacing w:val="-9"/>
        </w:rPr>
        <w:t>巴彦油田兴华区块（兴华</w:t>
      </w:r>
      <w:r>
        <w:rPr>
          <w:spacing w:val="-32"/>
        </w:rPr>
        <w:t xml:space="preserve"> </w:t>
      </w:r>
      <w:r>
        <w:rPr>
          <w:rFonts w:ascii="Times New Roman" w:hAnsi="Times New Roman" w:eastAsia="Times New Roman" w:cs="Times New Roman"/>
          <w:spacing w:val="-9"/>
        </w:rPr>
        <w:t>1</w:t>
      </w:r>
      <w:r>
        <w:rPr>
          <w:spacing w:val="-9"/>
        </w:rPr>
        <w:t>）产能建设项目执行了环保设施“三同时</w:t>
      </w:r>
      <w:r>
        <w:rPr>
          <w:spacing w:val="-88"/>
        </w:rPr>
        <w:t xml:space="preserve"> </w:t>
      </w:r>
      <w:r>
        <w:rPr>
          <w:spacing w:val="-10"/>
        </w:rPr>
        <w:t>”制度；</w:t>
      </w:r>
      <w:r>
        <w:rPr>
          <w:spacing w:val="-3"/>
        </w:rPr>
        <w:t>落实了环境影响报告书及其批复中提出的各项污染防治措施。根据现场检查及竣</w:t>
      </w:r>
      <w:r>
        <w:rPr>
          <w:spacing w:val="-1"/>
        </w:rPr>
        <w:t>工环境保护验收监测结果，项目满足环评及批复要求，符合验收条件。</w:t>
      </w:r>
    </w:p>
    <w:p w14:paraId="6F09518B">
      <w:pPr>
        <w:spacing w:line="249" w:lineRule="auto"/>
        <w:rPr>
          <w:rFonts w:ascii="Arial"/>
          <w:sz w:val="21"/>
        </w:rPr>
      </w:pPr>
    </w:p>
    <w:p w14:paraId="2BA9F8C6">
      <w:pPr>
        <w:spacing w:line="249" w:lineRule="auto"/>
        <w:rPr>
          <w:rFonts w:ascii="Arial"/>
          <w:sz w:val="21"/>
        </w:rPr>
      </w:pPr>
    </w:p>
    <w:p w14:paraId="5343350C">
      <w:pPr>
        <w:spacing w:line="249" w:lineRule="auto"/>
        <w:rPr>
          <w:rFonts w:ascii="Arial"/>
          <w:sz w:val="21"/>
        </w:rPr>
      </w:pPr>
    </w:p>
    <w:p w14:paraId="0EE1F1CC">
      <w:pPr>
        <w:spacing w:line="250" w:lineRule="auto"/>
        <w:rPr>
          <w:rFonts w:ascii="Arial"/>
          <w:sz w:val="21"/>
        </w:rPr>
      </w:pPr>
    </w:p>
    <w:p w14:paraId="30BE45E2">
      <w:pPr>
        <w:spacing w:line="250" w:lineRule="auto"/>
        <w:rPr>
          <w:rFonts w:ascii="Arial"/>
          <w:sz w:val="21"/>
        </w:rPr>
      </w:pPr>
    </w:p>
    <w:p w14:paraId="03452B2E">
      <w:pPr>
        <w:spacing w:line="250" w:lineRule="auto"/>
        <w:rPr>
          <w:rFonts w:ascii="Arial"/>
          <w:sz w:val="21"/>
        </w:rPr>
      </w:pPr>
    </w:p>
    <w:p w14:paraId="392E7F54">
      <w:pPr>
        <w:spacing w:line="250" w:lineRule="auto"/>
        <w:rPr>
          <w:rFonts w:ascii="Arial"/>
          <w:sz w:val="21"/>
        </w:rPr>
      </w:pPr>
    </w:p>
    <w:p w14:paraId="226D5283">
      <w:pPr>
        <w:spacing w:line="250" w:lineRule="auto"/>
        <w:rPr>
          <w:rFonts w:ascii="Arial"/>
          <w:sz w:val="21"/>
        </w:rPr>
      </w:pPr>
    </w:p>
    <w:p w14:paraId="36758435">
      <w:pPr>
        <w:spacing w:line="250" w:lineRule="auto"/>
        <w:rPr>
          <w:rFonts w:ascii="Arial"/>
          <w:sz w:val="21"/>
        </w:rPr>
      </w:pPr>
    </w:p>
    <w:p w14:paraId="0BD49319">
      <w:pPr>
        <w:spacing w:line="250" w:lineRule="auto"/>
        <w:rPr>
          <w:rFonts w:ascii="Arial"/>
          <w:sz w:val="21"/>
        </w:rPr>
      </w:pPr>
    </w:p>
    <w:p w14:paraId="19030BE5">
      <w:pPr>
        <w:spacing w:line="250" w:lineRule="auto"/>
        <w:rPr>
          <w:rFonts w:ascii="Arial"/>
          <w:sz w:val="21"/>
        </w:rPr>
      </w:pPr>
    </w:p>
    <w:p w14:paraId="1F539513">
      <w:pPr>
        <w:spacing w:line="250" w:lineRule="auto"/>
        <w:rPr>
          <w:rFonts w:ascii="Arial"/>
          <w:sz w:val="21"/>
        </w:rPr>
      </w:pPr>
    </w:p>
    <w:p w14:paraId="1C10F14D">
      <w:pPr>
        <w:spacing w:line="250" w:lineRule="auto"/>
        <w:rPr>
          <w:rFonts w:ascii="Arial"/>
          <w:sz w:val="21"/>
        </w:rPr>
      </w:pPr>
    </w:p>
    <w:p w14:paraId="6B250B1E">
      <w:pPr>
        <w:spacing w:line="250" w:lineRule="auto"/>
        <w:rPr>
          <w:rFonts w:ascii="Arial"/>
          <w:sz w:val="21"/>
        </w:rPr>
      </w:pPr>
    </w:p>
    <w:p w14:paraId="063DA41D">
      <w:pPr>
        <w:spacing w:line="250" w:lineRule="auto"/>
        <w:rPr>
          <w:rFonts w:ascii="Arial"/>
          <w:sz w:val="21"/>
        </w:rPr>
      </w:pPr>
    </w:p>
    <w:p w14:paraId="17DFDF97">
      <w:pPr>
        <w:spacing w:line="250" w:lineRule="auto"/>
        <w:rPr>
          <w:rFonts w:ascii="Arial"/>
          <w:sz w:val="21"/>
        </w:rPr>
      </w:pPr>
    </w:p>
    <w:p w14:paraId="3319DF2D">
      <w:pPr>
        <w:spacing w:line="250" w:lineRule="auto"/>
        <w:rPr>
          <w:rFonts w:ascii="Arial"/>
          <w:sz w:val="21"/>
        </w:rPr>
      </w:pPr>
    </w:p>
    <w:p w14:paraId="1F465D7E">
      <w:pPr>
        <w:pStyle w:val="2"/>
        <w:spacing w:before="78" w:line="361" w:lineRule="exact"/>
        <w:ind w:right="9"/>
        <w:jc w:val="right"/>
      </w:pPr>
      <w:r>
        <w:rPr>
          <w:rFonts w:ascii="Times New Roman" w:hAnsi="Times New Roman" w:eastAsia="Times New Roman" w:cs="Times New Roman"/>
          <w:spacing w:val="-7"/>
          <w:position w:val="2"/>
        </w:rPr>
        <w:t xml:space="preserve">2024 </w:t>
      </w:r>
      <w:r>
        <w:rPr>
          <w:spacing w:val="-7"/>
          <w:position w:val="2"/>
        </w:rPr>
        <w:t>年</w:t>
      </w:r>
      <w:r>
        <w:rPr>
          <w:spacing w:val="-28"/>
          <w:position w:val="2"/>
        </w:rPr>
        <w:t xml:space="preserve"> </w:t>
      </w:r>
      <w:r>
        <w:rPr>
          <w:rFonts w:ascii="Times New Roman" w:hAnsi="Times New Roman" w:eastAsia="Times New Roman" w:cs="Times New Roman"/>
          <w:spacing w:val="-7"/>
          <w:position w:val="2"/>
        </w:rPr>
        <w:t>11</w:t>
      </w:r>
      <w:r>
        <w:rPr>
          <w:rFonts w:ascii="Times New Roman" w:hAnsi="Times New Roman" w:eastAsia="Times New Roman" w:cs="Times New Roman"/>
          <w:spacing w:val="12"/>
          <w:position w:val="2"/>
        </w:rPr>
        <w:t xml:space="preserve"> </w:t>
      </w:r>
      <w:r>
        <w:rPr>
          <w:spacing w:val="-7"/>
          <w:position w:val="2"/>
        </w:rPr>
        <w:t>月</w:t>
      </w:r>
      <w:r>
        <w:rPr>
          <w:spacing w:val="-32"/>
          <w:position w:val="2"/>
        </w:rPr>
        <w:t xml:space="preserve"> </w:t>
      </w:r>
      <w:r>
        <w:rPr>
          <w:rFonts w:ascii="Times New Roman" w:hAnsi="Times New Roman" w:eastAsia="Times New Roman" w:cs="Times New Roman"/>
          <w:spacing w:val="-7"/>
          <w:position w:val="2"/>
        </w:rPr>
        <w:t xml:space="preserve">13  </w:t>
      </w:r>
      <w:r>
        <w:rPr>
          <w:spacing w:val="-7"/>
          <w:position w:val="2"/>
        </w:rPr>
        <w:t>日</w:t>
      </w:r>
    </w:p>
    <w:p w14:paraId="1CE98C96">
      <w:pPr>
        <w:spacing w:line="361" w:lineRule="exact"/>
        <w:sectPr>
          <w:footerReference r:id="rId172" w:type="default"/>
          <w:pgSz w:w="11906" w:h="16839"/>
          <w:pgMar w:top="400" w:right="1739" w:bottom="1253" w:left="1785" w:header="0" w:footer="940" w:gutter="0"/>
          <w:cols w:space="720" w:num="1"/>
        </w:sectPr>
      </w:pPr>
    </w:p>
    <w:p w14:paraId="71B66115">
      <w:pPr>
        <w:rPr>
          <w:rFonts w:ascii="Arial"/>
          <w:sz w:val="21"/>
        </w:rPr>
      </w:pPr>
    </w:p>
    <w:p w14:paraId="79612B40">
      <w:pPr>
        <w:rPr>
          <w:rFonts w:ascii="Arial"/>
          <w:sz w:val="21"/>
        </w:rPr>
      </w:pPr>
    </w:p>
    <w:p w14:paraId="7B783E7D">
      <w:pPr>
        <w:rPr>
          <w:rFonts w:ascii="Arial"/>
          <w:sz w:val="21"/>
        </w:rPr>
      </w:pPr>
    </w:p>
    <w:p w14:paraId="49C95996">
      <w:pPr>
        <w:rPr>
          <w:rFonts w:ascii="Arial"/>
          <w:sz w:val="21"/>
        </w:rPr>
      </w:pPr>
    </w:p>
    <w:p w14:paraId="1E25FB46">
      <w:pPr>
        <w:rPr>
          <w:rFonts w:ascii="Arial"/>
          <w:sz w:val="21"/>
        </w:rPr>
      </w:pPr>
    </w:p>
    <w:p w14:paraId="71FA06F1">
      <w:pPr>
        <w:spacing w:line="241" w:lineRule="auto"/>
        <w:rPr>
          <w:rFonts w:ascii="Arial"/>
          <w:sz w:val="21"/>
        </w:rPr>
      </w:pPr>
    </w:p>
    <w:p w14:paraId="108CC04A">
      <w:pPr>
        <w:pStyle w:val="2"/>
        <w:spacing w:before="101" w:line="224" w:lineRule="auto"/>
        <w:ind w:left="2697"/>
        <w:rPr>
          <w:sz w:val="31"/>
          <w:szCs w:val="31"/>
        </w:rPr>
      </w:pPr>
      <w:r>
        <w:rPr>
          <w:b/>
          <w:bCs/>
          <w:spacing w:val="6"/>
          <w:sz w:val="31"/>
          <w:szCs w:val="31"/>
        </w:rPr>
        <w:t>中国石油天然气股份有限公司华北油田巴彦勘探开发分公司</w:t>
      </w:r>
    </w:p>
    <w:p w14:paraId="1319B980">
      <w:pPr>
        <w:pStyle w:val="2"/>
        <w:spacing w:before="247" w:line="224" w:lineRule="auto"/>
        <w:ind w:left="3865"/>
        <w:rPr>
          <w:sz w:val="31"/>
          <w:szCs w:val="31"/>
        </w:rPr>
      </w:pPr>
      <w:r>
        <w:rPr>
          <w:b/>
          <w:bCs/>
          <w:spacing w:val="2"/>
          <w:sz w:val="31"/>
          <w:szCs w:val="31"/>
        </w:rPr>
        <w:t>巴彦油田兴华区块（兴华</w:t>
      </w:r>
      <w:r>
        <w:rPr>
          <w:spacing w:val="-25"/>
          <w:sz w:val="31"/>
          <w:szCs w:val="31"/>
        </w:rPr>
        <w:t xml:space="preserve"> </w:t>
      </w:r>
      <w:r>
        <w:rPr>
          <w:b/>
          <w:bCs/>
          <w:spacing w:val="2"/>
          <w:sz w:val="31"/>
          <w:szCs w:val="31"/>
        </w:rPr>
        <w:t>1）产能建设项目</w:t>
      </w:r>
    </w:p>
    <w:p w14:paraId="7801B3E9">
      <w:pPr>
        <w:pStyle w:val="2"/>
        <w:spacing w:before="247" w:line="225" w:lineRule="auto"/>
        <w:ind w:left="4754"/>
        <w:rPr>
          <w:sz w:val="31"/>
          <w:szCs w:val="31"/>
        </w:rPr>
      </w:pPr>
      <w:r>
        <w:rPr>
          <w:b/>
          <w:bCs/>
          <w:spacing w:val="6"/>
          <w:sz w:val="31"/>
          <w:szCs w:val="31"/>
        </w:rPr>
        <w:t>竣工环境保护验收组成员名单</w:t>
      </w:r>
    </w:p>
    <w:p w14:paraId="47E582A8">
      <w:pPr>
        <w:pStyle w:val="2"/>
        <w:spacing w:before="256" w:line="233" w:lineRule="auto"/>
        <w:ind w:right="49"/>
        <w:jc w:val="right"/>
        <w:rPr>
          <w:sz w:val="30"/>
          <w:szCs w:val="30"/>
        </w:rPr>
      </w:pPr>
      <w:r>
        <w:rPr>
          <w:rFonts w:ascii="Times New Roman" w:hAnsi="Times New Roman" w:eastAsia="Times New Roman" w:cs="Times New Roman"/>
          <w:spacing w:val="-9"/>
          <w:sz w:val="30"/>
          <w:szCs w:val="30"/>
        </w:rPr>
        <w:t xml:space="preserve">2024 </w:t>
      </w:r>
      <w:r>
        <w:rPr>
          <w:spacing w:val="-9"/>
          <w:sz w:val="30"/>
          <w:szCs w:val="30"/>
        </w:rPr>
        <w:t>年</w:t>
      </w:r>
      <w:r>
        <w:rPr>
          <w:spacing w:val="-33"/>
          <w:sz w:val="30"/>
          <w:szCs w:val="30"/>
        </w:rPr>
        <w:t xml:space="preserve"> </w:t>
      </w:r>
      <w:r>
        <w:rPr>
          <w:rFonts w:ascii="Times New Roman" w:hAnsi="Times New Roman" w:eastAsia="Times New Roman" w:cs="Times New Roman"/>
          <w:spacing w:val="-9"/>
          <w:sz w:val="30"/>
          <w:szCs w:val="30"/>
        </w:rPr>
        <w:t>11</w:t>
      </w:r>
      <w:r>
        <w:rPr>
          <w:rFonts w:ascii="Times New Roman" w:hAnsi="Times New Roman" w:eastAsia="Times New Roman" w:cs="Times New Roman"/>
          <w:spacing w:val="20"/>
          <w:sz w:val="30"/>
          <w:szCs w:val="30"/>
        </w:rPr>
        <w:t xml:space="preserve"> </w:t>
      </w:r>
      <w:r>
        <w:rPr>
          <w:spacing w:val="-9"/>
          <w:sz w:val="30"/>
          <w:szCs w:val="30"/>
        </w:rPr>
        <w:t>月</w:t>
      </w:r>
      <w:r>
        <w:rPr>
          <w:spacing w:val="-41"/>
          <w:sz w:val="30"/>
          <w:szCs w:val="30"/>
        </w:rPr>
        <w:t xml:space="preserve"> </w:t>
      </w:r>
      <w:r>
        <w:rPr>
          <w:rFonts w:ascii="Times New Roman" w:hAnsi="Times New Roman" w:eastAsia="Times New Roman" w:cs="Times New Roman"/>
          <w:spacing w:val="-9"/>
          <w:sz w:val="30"/>
          <w:szCs w:val="30"/>
        </w:rPr>
        <w:t xml:space="preserve">13  </w:t>
      </w:r>
      <w:r>
        <w:rPr>
          <w:spacing w:val="-9"/>
          <w:sz w:val="30"/>
          <w:szCs w:val="30"/>
        </w:rPr>
        <w:t>日</w:t>
      </w:r>
    </w:p>
    <w:p w14:paraId="1842B441">
      <w:pPr>
        <w:spacing w:line="83" w:lineRule="exact"/>
      </w:pPr>
    </w:p>
    <w:tbl>
      <w:tblPr>
        <w:tblStyle w:val="5"/>
        <w:tblW w:w="1365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2"/>
        <w:gridCol w:w="1595"/>
        <w:gridCol w:w="1135"/>
        <w:gridCol w:w="7030"/>
        <w:gridCol w:w="1495"/>
        <w:gridCol w:w="1900"/>
      </w:tblGrid>
      <w:tr w14:paraId="3E350D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2097" w:type="dxa"/>
            <w:gridSpan w:val="2"/>
            <w:vAlign w:val="top"/>
          </w:tcPr>
          <w:p w14:paraId="35A4C14A">
            <w:pPr>
              <w:pStyle w:val="6"/>
              <w:spacing w:before="267" w:line="220" w:lineRule="auto"/>
              <w:ind w:left="636"/>
              <w:rPr>
                <w:sz w:val="28"/>
                <w:szCs w:val="28"/>
              </w:rPr>
            </w:pPr>
            <w:r>
              <w:rPr>
                <w:spacing w:val="-2"/>
                <w:sz w:val="28"/>
                <w:szCs w:val="28"/>
              </w:rPr>
              <w:t>验收组</w:t>
            </w:r>
          </w:p>
        </w:tc>
        <w:tc>
          <w:tcPr>
            <w:tcW w:w="1135" w:type="dxa"/>
            <w:vAlign w:val="top"/>
          </w:tcPr>
          <w:p w14:paraId="5B80532A">
            <w:pPr>
              <w:pStyle w:val="6"/>
              <w:spacing w:before="267" w:line="220" w:lineRule="auto"/>
              <w:ind w:left="294"/>
              <w:rPr>
                <w:sz w:val="28"/>
                <w:szCs w:val="28"/>
              </w:rPr>
            </w:pPr>
            <w:r>
              <w:rPr>
                <w:spacing w:val="-3"/>
                <w:sz w:val="28"/>
                <w:szCs w:val="28"/>
              </w:rPr>
              <w:t>姓名</w:t>
            </w:r>
          </w:p>
        </w:tc>
        <w:tc>
          <w:tcPr>
            <w:tcW w:w="7030" w:type="dxa"/>
            <w:vAlign w:val="top"/>
          </w:tcPr>
          <w:p w14:paraId="0A6DCD0D">
            <w:pPr>
              <w:pStyle w:val="6"/>
              <w:spacing w:before="267" w:line="221" w:lineRule="auto"/>
              <w:ind w:left="2965"/>
              <w:rPr>
                <w:sz w:val="28"/>
                <w:szCs w:val="28"/>
              </w:rPr>
            </w:pPr>
            <w:r>
              <w:rPr>
                <w:spacing w:val="-3"/>
                <w:sz w:val="28"/>
                <w:szCs w:val="28"/>
              </w:rPr>
              <w:t>工作单位</w:t>
            </w:r>
          </w:p>
        </w:tc>
        <w:tc>
          <w:tcPr>
            <w:tcW w:w="1495" w:type="dxa"/>
            <w:vAlign w:val="top"/>
          </w:tcPr>
          <w:p w14:paraId="079D04E8">
            <w:pPr>
              <w:pStyle w:val="6"/>
              <w:spacing w:before="267" w:line="220" w:lineRule="auto"/>
              <w:ind w:left="126"/>
              <w:rPr>
                <w:sz w:val="28"/>
                <w:szCs w:val="28"/>
              </w:rPr>
            </w:pPr>
            <w:r>
              <w:rPr>
                <w:spacing w:val="-2"/>
                <w:sz w:val="28"/>
                <w:szCs w:val="28"/>
              </w:rPr>
              <w:t>职务/职称</w:t>
            </w:r>
          </w:p>
        </w:tc>
        <w:tc>
          <w:tcPr>
            <w:tcW w:w="1900" w:type="dxa"/>
            <w:vAlign w:val="top"/>
          </w:tcPr>
          <w:p w14:paraId="317D6576">
            <w:pPr>
              <w:pStyle w:val="6"/>
              <w:spacing w:before="267" w:line="220" w:lineRule="auto"/>
              <w:ind w:left="466"/>
              <w:rPr>
                <w:sz w:val="28"/>
                <w:szCs w:val="28"/>
              </w:rPr>
            </w:pPr>
            <w:r>
              <w:rPr>
                <w:spacing w:val="-6"/>
                <w:sz w:val="28"/>
                <w:szCs w:val="28"/>
              </w:rPr>
              <w:t>签</w:t>
            </w:r>
            <w:r>
              <w:rPr>
                <w:spacing w:val="4"/>
                <w:sz w:val="28"/>
                <w:szCs w:val="28"/>
              </w:rPr>
              <w:t xml:space="preserve">   </w:t>
            </w:r>
            <w:r>
              <w:rPr>
                <w:spacing w:val="-6"/>
                <w:sz w:val="28"/>
                <w:szCs w:val="28"/>
              </w:rPr>
              <w:t>字</w:t>
            </w:r>
          </w:p>
        </w:tc>
      </w:tr>
      <w:tr w14:paraId="6166E1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2097" w:type="dxa"/>
            <w:gridSpan w:val="2"/>
            <w:vAlign w:val="top"/>
          </w:tcPr>
          <w:p w14:paraId="16124581">
            <w:pPr>
              <w:pStyle w:val="6"/>
              <w:spacing w:before="325" w:line="224" w:lineRule="auto"/>
              <w:ind w:left="780"/>
              <w:rPr>
                <w:sz w:val="28"/>
                <w:szCs w:val="28"/>
              </w:rPr>
            </w:pPr>
            <w:r>
              <w:rPr>
                <w:spacing w:val="-4"/>
                <w:sz w:val="28"/>
                <w:szCs w:val="28"/>
              </w:rPr>
              <w:t>组长</w:t>
            </w:r>
          </w:p>
        </w:tc>
        <w:tc>
          <w:tcPr>
            <w:tcW w:w="1135" w:type="dxa"/>
            <w:vAlign w:val="top"/>
          </w:tcPr>
          <w:p w14:paraId="5594CCF8">
            <w:pPr>
              <w:pStyle w:val="6"/>
              <w:spacing w:before="325" w:line="220" w:lineRule="auto"/>
              <w:ind w:left="297"/>
              <w:rPr>
                <w:sz w:val="28"/>
                <w:szCs w:val="28"/>
              </w:rPr>
            </w:pPr>
            <w:r>
              <w:rPr>
                <w:spacing w:val="-3"/>
                <w:sz w:val="28"/>
                <w:szCs w:val="28"/>
              </w:rPr>
              <w:t>李伟</w:t>
            </w:r>
          </w:p>
        </w:tc>
        <w:tc>
          <w:tcPr>
            <w:tcW w:w="7030" w:type="dxa"/>
            <w:vAlign w:val="top"/>
          </w:tcPr>
          <w:p w14:paraId="78479B72">
            <w:pPr>
              <w:pStyle w:val="6"/>
              <w:spacing w:before="143" w:line="219" w:lineRule="auto"/>
              <w:ind w:left="189"/>
              <w:rPr>
                <w:sz w:val="28"/>
                <w:szCs w:val="28"/>
              </w:rPr>
            </w:pPr>
            <w:r>
              <w:rPr>
                <w:spacing w:val="-2"/>
                <w:sz w:val="28"/>
                <w:szCs w:val="28"/>
              </w:rPr>
              <w:t>中国石油天然气股份有限公司华北油田巴彦勘探开发分</w:t>
            </w:r>
          </w:p>
          <w:p w14:paraId="38DDDA84">
            <w:pPr>
              <w:pStyle w:val="6"/>
              <w:spacing w:before="30" w:line="222" w:lineRule="auto"/>
              <w:ind w:left="3251"/>
              <w:rPr>
                <w:sz w:val="28"/>
                <w:szCs w:val="28"/>
              </w:rPr>
            </w:pPr>
            <w:r>
              <w:rPr>
                <w:spacing w:val="-5"/>
                <w:sz w:val="28"/>
                <w:szCs w:val="28"/>
              </w:rPr>
              <w:t>公司</w:t>
            </w:r>
          </w:p>
        </w:tc>
        <w:tc>
          <w:tcPr>
            <w:tcW w:w="1495" w:type="dxa"/>
            <w:vAlign w:val="top"/>
          </w:tcPr>
          <w:p w14:paraId="0D77DDE2">
            <w:pPr>
              <w:pStyle w:val="6"/>
              <w:spacing w:before="326" w:line="221" w:lineRule="auto"/>
              <w:ind w:left="200"/>
              <w:rPr>
                <w:sz w:val="28"/>
                <w:szCs w:val="28"/>
              </w:rPr>
            </w:pPr>
            <w:r>
              <w:rPr>
                <w:spacing w:val="-3"/>
                <w:sz w:val="28"/>
                <w:szCs w:val="28"/>
              </w:rPr>
              <w:t>安全总监</w:t>
            </w:r>
          </w:p>
        </w:tc>
        <w:tc>
          <w:tcPr>
            <w:tcW w:w="1900" w:type="dxa"/>
            <w:vAlign w:val="top"/>
          </w:tcPr>
          <w:p w14:paraId="19CE4B39">
            <w:pPr>
              <w:spacing w:before="191" w:line="550" w:lineRule="exact"/>
              <w:ind w:firstLine="435"/>
            </w:pPr>
            <w:r>
              <w:rPr>
                <w:position w:val="-10"/>
              </w:rPr>
              <w:drawing>
                <wp:inline distT="0" distB="0" distL="0" distR="0">
                  <wp:extent cx="638810" cy="348615"/>
                  <wp:effectExtent l="0" t="0" r="0" b="0"/>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267"/>
                          <a:stretch>
                            <a:fillRect/>
                          </a:stretch>
                        </pic:blipFill>
                        <pic:spPr>
                          <a:xfrm>
                            <a:off x="0" y="0"/>
                            <a:ext cx="638919" cy="349139"/>
                          </a:xfrm>
                          <a:prstGeom prst="rect">
                            <a:avLst/>
                          </a:prstGeom>
                        </pic:spPr>
                      </pic:pic>
                    </a:graphicData>
                  </a:graphic>
                </wp:inline>
              </w:drawing>
            </w:r>
          </w:p>
        </w:tc>
      </w:tr>
      <w:tr w14:paraId="169110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02" w:type="dxa"/>
            <w:vMerge w:val="restart"/>
            <w:tcBorders>
              <w:bottom w:val="nil"/>
            </w:tcBorders>
            <w:textDirection w:val="tbRlV"/>
            <w:vAlign w:val="top"/>
          </w:tcPr>
          <w:p w14:paraId="5944F244">
            <w:pPr>
              <w:pStyle w:val="6"/>
              <w:spacing w:before="108" w:line="208" w:lineRule="auto"/>
              <w:ind w:left="1306"/>
              <w:rPr>
                <w:sz w:val="28"/>
                <w:szCs w:val="28"/>
              </w:rPr>
            </w:pPr>
            <w:r>
              <w:rPr>
                <w:sz w:val="28"/>
                <w:szCs w:val="28"/>
              </w:rPr>
              <w:t>成</w:t>
            </w:r>
            <w:r>
              <w:rPr>
                <w:spacing w:val="31"/>
                <w:sz w:val="28"/>
                <w:szCs w:val="28"/>
              </w:rPr>
              <w:t xml:space="preserve">  </w:t>
            </w:r>
            <w:r>
              <w:rPr>
                <w:sz w:val="28"/>
                <w:szCs w:val="28"/>
              </w:rPr>
              <w:t>员</w:t>
            </w:r>
          </w:p>
        </w:tc>
        <w:tc>
          <w:tcPr>
            <w:tcW w:w="1595" w:type="dxa"/>
            <w:vMerge w:val="restart"/>
            <w:tcBorders>
              <w:bottom w:val="nil"/>
            </w:tcBorders>
            <w:vAlign w:val="top"/>
          </w:tcPr>
          <w:p w14:paraId="5816AF0C">
            <w:pPr>
              <w:spacing w:line="253" w:lineRule="auto"/>
              <w:rPr>
                <w:rFonts w:ascii="Arial"/>
                <w:sz w:val="21"/>
              </w:rPr>
            </w:pPr>
          </w:p>
          <w:p w14:paraId="57FB7DF1">
            <w:pPr>
              <w:spacing w:line="253" w:lineRule="auto"/>
              <w:rPr>
                <w:rFonts w:ascii="Arial"/>
                <w:sz w:val="21"/>
              </w:rPr>
            </w:pPr>
          </w:p>
          <w:p w14:paraId="28986D7B">
            <w:pPr>
              <w:spacing w:line="253" w:lineRule="auto"/>
              <w:rPr>
                <w:rFonts w:ascii="Arial"/>
                <w:sz w:val="21"/>
              </w:rPr>
            </w:pPr>
          </w:p>
          <w:p w14:paraId="26A36185">
            <w:pPr>
              <w:spacing w:line="253" w:lineRule="auto"/>
              <w:rPr>
                <w:rFonts w:ascii="Arial"/>
                <w:sz w:val="21"/>
              </w:rPr>
            </w:pPr>
          </w:p>
          <w:p w14:paraId="3EDD8126">
            <w:pPr>
              <w:spacing w:line="253" w:lineRule="auto"/>
              <w:rPr>
                <w:rFonts w:ascii="Arial"/>
                <w:sz w:val="21"/>
              </w:rPr>
            </w:pPr>
          </w:p>
          <w:p w14:paraId="67073D0D">
            <w:pPr>
              <w:spacing w:line="253" w:lineRule="auto"/>
              <w:rPr>
                <w:rFonts w:ascii="Arial"/>
                <w:sz w:val="21"/>
              </w:rPr>
            </w:pPr>
          </w:p>
          <w:p w14:paraId="79D6F337">
            <w:pPr>
              <w:pStyle w:val="6"/>
              <w:spacing w:before="91" w:line="220" w:lineRule="auto"/>
              <w:ind w:left="242"/>
              <w:rPr>
                <w:sz w:val="28"/>
                <w:szCs w:val="28"/>
              </w:rPr>
            </w:pPr>
            <w:r>
              <w:rPr>
                <w:spacing w:val="-2"/>
                <w:sz w:val="28"/>
                <w:szCs w:val="28"/>
              </w:rPr>
              <w:t>技术专家</w:t>
            </w:r>
          </w:p>
        </w:tc>
        <w:tc>
          <w:tcPr>
            <w:tcW w:w="1135" w:type="dxa"/>
            <w:vAlign w:val="top"/>
          </w:tcPr>
          <w:p w14:paraId="60959521">
            <w:pPr>
              <w:pStyle w:val="6"/>
              <w:spacing w:before="329" w:line="220" w:lineRule="auto"/>
              <w:ind w:left="160"/>
              <w:rPr>
                <w:sz w:val="28"/>
                <w:szCs w:val="28"/>
              </w:rPr>
            </w:pPr>
            <w:r>
              <w:rPr>
                <w:spacing w:val="-4"/>
                <w:sz w:val="28"/>
                <w:szCs w:val="28"/>
              </w:rPr>
              <w:t>张惊宇</w:t>
            </w:r>
          </w:p>
        </w:tc>
        <w:tc>
          <w:tcPr>
            <w:tcW w:w="7030" w:type="dxa"/>
            <w:vAlign w:val="top"/>
          </w:tcPr>
          <w:p w14:paraId="7436949C">
            <w:pPr>
              <w:pStyle w:val="6"/>
              <w:spacing w:before="330" w:line="219" w:lineRule="auto"/>
              <w:ind w:left="1318"/>
              <w:rPr>
                <w:sz w:val="28"/>
                <w:szCs w:val="28"/>
              </w:rPr>
            </w:pPr>
            <w:r>
              <w:rPr>
                <w:spacing w:val="-3"/>
                <w:sz w:val="28"/>
                <w:szCs w:val="28"/>
              </w:rPr>
              <w:t>内蒙古生态环境科学研究院有限公司</w:t>
            </w:r>
          </w:p>
        </w:tc>
        <w:tc>
          <w:tcPr>
            <w:tcW w:w="1495" w:type="dxa"/>
            <w:vAlign w:val="top"/>
          </w:tcPr>
          <w:p w14:paraId="7AB9D49C">
            <w:pPr>
              <w:pStyle w:val="6"/>
              <w:spacing w:before="329" w:line="220" w:lineRule="auto"/>
              <w:ind w:left="342"/>
              <w:rPr>
                <w:sz w:val="28"/>
                <w:szCs w:val="28"/>
              </w:rPr>
            </w:pPr>
            <w:r>
              <w:rPr>
                <w:spacing w:val="-4"/>
                <w:sz w:val="28"/>
                <w:szCs w:val="28"/>
              </w:rPr>
              <w:t>正高工</w:t>
            </w:r>
          </w:p>
        </w:tc>
        <w:tc>
          <w:tcPr>
            <w:tcW w:w="1900" w:type="dxa"/>
            <w:vAlign w:val="top"/>
          </w:tcPr>
          <w:p w14:paraId="6536D117">
            <w:pPr>
              <w:spacing w:before="139" w:line="658" w:lineRule="exact"/>
              <w:ind w:firstLine="235"/>
            </w:pPr>
            <w:r>
              <w:rPr>
                <w:position w:val="-13"/>
              </w:rPr>
              <w:drawing>
                <wp:inline distT="0" distB="0" distL="0" distR="0">
                  <wp:extent cx="901065" cy="417830"/>
                  <wp:effectExtent l="0" t="0" r="0" b="0"/>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268"/>
                          <a:stretch>
                            <a:fillRect/>
                          </a:stretch>
                        </pic:blipFill>
                        <pic:spPr>
                          <a:xfrm>
                            <a:off x="0" y="0"/>
                            <a:ext cx="901179" cy="417830"/>
                          </a:xfrm>
                          <a:prstGeom prst="rect">
                            <a:avLst/>
                          </a:prstGeom>
                        </pic:spPr>
                      </pic:pic>
                    </a:graphicData>
                  </a:graphic>
                </wp:inline>
              </w:drawing>
            </w:r>
          </w:p>
        </w:tc>
      </w:tr>
      <w:tr w14:paraId="1A7D9A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0" w:hRule="atLeast"/>
        </w:trPr>
        <w:tc>
          <w:tcPr>
            <w:tcW w:w="502" w:type="dxa"/>
            <w:vMerge w:val="continue"/>
            <w:tcBorders>
              <w:top w:val="nil"/>
              <w:bottom w:val="nil"/>
            </w:tcBorders>
            <w:textDirection w:val="tbRlV"/>
            <w:vAlign w:val="top"/>
          </w:tcPr>
          <w:p w14:paraId="5BABB2C5">
            <w:pPr>
              <w:rPr>
                <w:rFonts w:ascii="Arial"/>
                <w:sz w:val="21"/>
              </w:rPr>
            </w:pPr>
          </w:p>
        </w:tc>
        <w:tc>
          <w:tcPr>
            <w:tcW w:w="1595" w:type="dxa"/>
            <w:vMerge w:val="continue"/>
            <w:tcBorders>
              <w:top w:val="nil"/>
              <w:bottom w:val="nil"/>
            </w:tcBorders>
            <w:vAlign w:val="top"/>
          </w:tcPr>
          <w:p w14:paraId="33DAE94F">
            <w:pPr>
              <w:rPr>
                <w:rFonts w:ascii="Arial"/>
                <w:sz w:val="21"/>
              </w:rPr>
            </w:pPr>
          </w:p>
        </w:tc>
        <w:tc>
          <w:tcPr>
            <w:tcW w:w="1135" w:type="dxa"/>
            <w:vAlign w:val="top"/>
          </w:tcPr>
          <w:p w14:paraId="2F49D114">
            <w:pPr>
              <w:pStyle w:val="6"/>
              <w:spacing w:before="265" w:line="222" w:lineRule="auto"/>
              <w:ind w:left="157"/>
              <w:rPr>
                <w:sz w:val="28"/>
                <w:szCs w:val="28"/>
              </w:rPr>
            </w:pPr>
            <w:r>
              <w:rPr>
                <w:spacing w:val="-3"/>
                <w:sz w:val="28"/>
                <w:szCs w:val="28"/>
              </w:rPr>
              <w:t>冯湘云</w:t>
            </w:r>
          </w:p>
        </w:tc>
        <w:tc>
          <w:tcPr>
            <w:tcW w:w="7030" w:type="dxa"/>
            <w:vAlign w:val="top"/>
          </w:tcPr>
          <w:p w14:paraId="033C033C">
            <w:pPr>
              <w:pStyle w:val="6"/>
              <w:spacing w:before="266" w:line="219" w:lineRule="auto"/>
              <w:ind w:left="1873"/>
              <w:rPr>
                <w:sz w:val="28"/>
                <w:szCs w:val="28"/>
              </w:rPr>
            </w:pPr>
            <w:r>
              <w:rPr>
                <w:spacing w:val="-4"/>
                <w:sz w:val="28"/>
                <w:szCs w:val="28"/>
              </w:rPr>
              <w:t>巴彦淖尔环保投资有限公司</w:t>
            </w:r>
          </w:p>
        </w:tc>
        <w:tc>
          <w:tcPr>
            <w:tcW w:w="1495" w:type="dxa"/>
            <w:vAlign w:val="top"/>
          </w:tcPr>
          <w:p w14:paraId="67AAEE30">
            <w:pPr>
              <w:pStyle w:val="6"/>
              <w:spacing w:before="265" w:line="220" w:lineRule="auto"/>
              <w:ind w:left="342"/>
              <w:rPr>
                <w:sz w:val="28"/>
                <w:szCs w:val="28"/>
              </w:rPr>
            </w:pPr>
            <w:r>
              <w:rPr>
                <w:spacing w:val="-5"/>
                <w:sz w:val="28"/>
                <w:szCs w:val="28"/>
              </w:rPr>
              <w:t>正高工</w:t>
            </w:r>
          </w:p>
        </w:tc>
        <w:tc>
          <w:tcPr>
            <w:tcW w:w="1900" w:type="dxa"/>
            <w:vAlign w:val="top"/>
          </w:tcPr>
          <w:p w14:paraId="35FE4107">
            <w:pPr>
              <w:spacing w:before="194" w:line="405" w:lineRule="exact"/>
              <w:ind w:firstLine="405"/>
            </w:pPr>
            <w:r>
              <w:rPr>
                <w:position w:val="-8"/>
              </w:rPr>
              <w:drawing>
                <wp:inline distT="0" distB="0" distL="0" distR="0">
                  <wp:extent cx="676275" cy="257175"/>
                  <wp:effectExtent l="0" t="0" r="0" b="0"/>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269"/>
                          <a:stretch>
                            <a:fillRect/>
                          </a:stretch>
                        </pic:blipFill>
                        <pic:spPr>
                          <a:xfrm>
                            <a:off x="0" y="0"/>
                            <a:ext cx="676275" cy="257175"/>
                          </a:xfrm>
                          <a:prstGeom prst="rect">
                            <a:avLst/>
                          </a:prstGeom>
                        </pic:spPr>
                      </pic:pic>
                    </a:graphicData>
                  </a:graphic>
                </wp:inline>
              </w:drawing>
            </w:r>
          </w:p>
        </w:tc>
      </w:tr>
      <w:tr w14:paraId="62E094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502" w:type="dxa"/>
            <w:vMerge w:val="continue"/>
            <w:tcBorders>
              <w:top w:val="nil"/>
              <w:bottom w:val="nil"/>
            </w:tcBorders>
            <w:textDirection w:val="tbRlV"/>
            <w:vAlign w:val="top"/>
          </w:tcPr>
          <w:p w14:paraId="6D0FDE00">
            <w:pPr>
              <w:rPr>
                <w:rFonts w:ascii="Arial"/>
                <w:sz w:val="21"/>
              </w:rPr>
            </w:pPr>
          </w:p>
        </w:tc>
        <w:tc>
          <w:tcPr>
            <w:tcW w:w="1595" w:type="dxa"/>
            <w:vMerge w:val="continue"/>
            <w:tcBorders>
              <w:top w:val="nil"/>
              <w:bottom w:val="nil"/>
            </w:tcBorders>
            <w:vAlign w:val="top"/>
          </w:tcPr>
          <w:p w14:paraId="4A9B3505">
            <w:pPr>
              <w:rPr>
                <w:rFonts w:ascii="Arial"/>
                <w:sz w:val="21"/>
              </w:rPr>
            </w:pPr>
          </w:p>
        </w:tc>
        <w:tc>
          <w:tcPr>
            <w:tcW w:w="1135" w:type="dxa"/>
            <w:vAlign w:val="top"/>
          </w:tcPr>
          <w:p w14:paraId="0C4F4F96">
            <w:pPr>
              <w:pStyle w:val="6"/>
              <w:spacing w:before="266" w:line="221" w:lineRule="auto"/>
              <w:ind w:left="296"/>
              <w:rPr>
                <w:sz w:val="28"/>
                <w:szCs w:val="28"/>
              </w:rPr>
            </w:pPr>
            <w:r>
              <w:rPr>
                <w:spacing w:val="-3"/>
                <w:sz w:val="28"/>
                <w:szCs w:val="28"/>
              </w:rPr>
              <w:t>孙乐</w:t>
            </w:r>
          </w:p>
        </w:tc>
        <w:tc>
          <w:tcPr>
            <w:tcW w:w="7030" w:type="dxa"/>
            <w:vAlign w:val="top"/>
          </w:tcPr>
          <w:p w14:paraId="067FFBDD">
            <w:pPr>
              <w:pStyle w:val="6"/>
              <w:spacing w:before="267" w:line="219" w:lineRule="auto"/>
              <w:ind w:left="2016"/>
              <w:rPr>
                <w:sz w:val="28"/>
                <w:szCs w:val="28"/>
              </w:rPr>
            </w:pPr>
            <w:r>
              <w:rPr>
                <w:spacing w:val="-4"/>
                <w:sz w:val="28"/>
                <w:szCs w:val="28"/>
              </w:rPr>
              <w:t>内蒙古机电职业技术学院</w:t>
            </w:r>
          </w:p>
        </w:tc>
        <w:tc>
          <w:tcPr>
            <w:tcW w:w="1495" w:type="dxa"/>
            <w:vAlign w:val="top"/>
          </w:tcPr>
          <w:p w14:paraId="247A36DE">
            <w:pPr>
              <w:pStyle w:val="6"/>
              <w:spacing w:before="266" w:line="220" w:lineRule="auto"/>
              <w:ind w:left="342"/>
              <w:rPr>
                <w:sz w:val="28"/>
                <w:szCs w:val="28"/>
              </w:rPr>
            </w:pPr>
            <w:r>
              <w:rPr>
                <w:spacing w:val="-5"/>
                <w:sz w:val="28"/>
                <w:szCs w:val="28"/>
              </w:rPr>
              <w:t>正高工</w:t>
            </w:r>
          </w:p>
        </w:tc>
        <w:tc>
          <w:tcPr>
            <w:tcW w:w="1900" w:type="dxa"/>
            <w:vAlign w:val="top"/>
          </w:tcPr>
          <w:p w14:paraId="2E903B79">
            <w:pPr>
              <w:spacing w:before="134" w:line="525" w:lineRule="exact"/>
              <w:ind w:firstLine="263"/>
            </w:pPr>
            <w:r>
              <w:rPr>
                <w:position w:val="-10"/>
              </w:rPr>
              <w:drawing>
                <wp:inline distT="0" distB="0" distL="0" distR="0">
                  <wp:extent cx="829310" cy="333375"/>
                  <wp:effectExtent l="0" t="0" r="0" b="0"/>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270"/>
                          <a:stretch>
                            <a:fillRect/>
                          </a:stretch>
                        </pic:blipFill>
                        <pic:spPr>
                          <a:xfrm>
                            <a:off x="0" y="0"/>
                            <a:ext cx="829699" cy="333381"/>
                          </a:xfrm>
                          <a:prstGeom prst="rect">
                            <a:avLst/>
                          </a:prstGeom>
                        </pic:spPr>
                      </pic:pic>
                    </a:graphicData>
                  </a:graphic>
                </wp:inline>
              </w:drawing>
            </w:r>
          </w:p>
        </w:tc>
      </w:tr>
      <w:tr w14:paraId="4421F0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7" w:hRule="atLeast"/>
        </w:trPr>
        <w:tc>
          <w:tcPr>
            <w:tcW w:w="502" w:type="dxa"/>
            <w:vMerge w:val="continue"/>
            <w:tcBorders>
              <w:top w:val="nil"/>
            </w:tcBorders>
            <w:textDirection w:val="tbRlV"/>
            <w:vAlign w:val="top"/>
          </w:tcPr>
          <w:p w14:paraId="20B94CDA">
            <w:pPr>
              <w:rPr>
                <w:rFonts w:ascii="Arial"/>
                <w:sz w:val="21"/>
              </w:rPr>
            </w:pPr>
          </w:p>
        </w:tc>
        <w:tc>
          <w:tcPr>
            <w:tcW w:w="1595" w:type="dxa"/>
            <w:vMerge w:val="continue"/>
            <w:tcBorders>
              <w:top w:val="nil"/>
            </w:tcBorders>
            <w:vAlign w:val="top"/>
          </w:tcPr>
          <w:p w14:paraId="48D65843">
            <w:pPr>
              <w:rPr>
                <w:rFonts w:ascii="Arial"/>
                <w:sz w:val="21"/>
              </w:rPr>
            </w:pPr>
          </w:p>
        </w:tc>
        <w:tc>
          <w:tcPr>
            <w:tcW w:w="1135" w:type="dxa"/>
            <w:vAlign w:val="top"/>
          </w:tcPr>
          <w:p w14:paraId="02E8FD97">
            <w:pPr>
              <w:spacing w:line="242" w:lineRule="auto"/>
              <w:rPr>
                <w:rFonts w:ascii="Arial"/>
                <w:sz w:val="21"/>
              </w:rPr>
            </w:pPr>
          </w:p>
          <w:p w14:paraId="1692DF68">
            <w:pPr>
              <w:pStyle w:val="6"/>
              <w:spacing w:before="91" w:line="220" w:lineRule="auto"/>
              <w:ind w:left="297"/>
              <w:rPr>
                <w:sz w:val="28"/>
                <w:szCs w:val="28"/>
              </w:rPr>
            </w:pPr>
            <w:r>
              <w:rPr>
                <w:spacing w:val="-3"/>
                <w:sz w:val="28"/>
                <w:szCs w:val="28"/>
              </w:rPr>
              <w:t>金鸿</w:t>
            </w:r>
          </w:p>
        </w:tc>
        <w:tc>
          <w:tcPr>
            <w:tcW w:w="7030" w:type="dxa"/>
            <w:vAlign w:val="top"/>
          </w:tcPr>
          <w:p w14:paraId="037A3AB8">
            <w:pPr>
              <w:spacing w:line="242" w:lineRule="auto"/>
              <w:rPr>
                <w:rFonts w:ascii="Arial"/>
                <w:sz w:val="21"/>
              </w:rPr>
            </w:pPr>
          </w:p>
          <w:p w14:paraId="773C4F6B">
            <w:pPr>
              <w:pStyle w:val="6"/>
              <w:spacing w:before="91" w:line="219" w:lineRule="auto"/>
              <w:ind w:left="1457"/>
              <w:rPr>
                <w:sz w:val="28"/>
                <w:szCs w:val="28"/>
              </w:rPr>
            </w:pPr>
            <w:r>
              <w:rPr>
                <w:spacing w:val="-3"/>
                <w:sz w:val="28"/>
                <w:szCs w:val="28"/>
              </w:rPr>
              <w:t>内蒙古环境监测总站锡林郭勒分站</w:t>
            </w:r>
          </w:p>
        </w:tc>
        <w:tc>
          <w:tcPr>
            <w:tcW w:w="1495" w:type="dxa"/>
            <w:vAlign w:val="top"/>
          </w:tcPr>
          <w:p w14:paraId="15E49D60">
            <w:pPr>
              <w:spacing w:line="242" w:lineRule="auto"/>
              <w:rPr>
                <w:rFonts w:ascii="Arial"/>
                <w:sz w:val="21"/>
              </w:rPr>
            </w:pPr>
          </w:p>
          <w:p w14:paraId="14D8333F">
            <w:pPr>
              <w:pStyle w:val="6"/>
              <w:spacing w:before="91" w:line="220" w:lineRule="auto"/>
              <w:ind w:left="483"/>
              <w:rPr>
                <w:sz w:val="28"/>
                <w:szCs w:val="28"/>
              </w:rPr>
            </w:pPr>
            <w:r>
              <w:rPr>
                <w:spacing w:val="-5"/>
                <w:sz w:val="28"/>
                <w:szCs w:val="28"/>
              </w:rPr>
              <w:t>高工</w:t>
            </w:r>
          </w:p>
        </w:tc>
        <w:tc>
          <w:tcPr>
            <w:tcW w:w="1900" w:type="dxa"/>
            <w:vAlign w:val="top"/>
          </w:tcPr>
          <w:p w14:paraId="0CCE23BB">
            <w:pPr>
              <w:spacing w:before="137" w:line="670" w:lineRule="exact"/>
              <w:ind w:firstLine="255"/>
            </w:pPr>
            <w:r>
              <w:rPr>
                <w:position w:val="-13"/>
              </w:rPr>
              <w:drawing>
                <wp:inline distT="0" distB="0" distL="0" distR="0">
                  <wp:extent cx="871855" cy="424815"/>
                  <wp:effectExtent l="0" t="0" r="0" b="0"/>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271"/>
                          <a:stretch>
                            <a:fillRect/>
                          </a:stretch>
                        </pic:blipFill>
                        <pic:spPr>
                          <a:xfrm>
                            <a:off x="0" y="0"/>
                            <a:ext cx="871855" cy="425361"/>
                          </a:xfrm>
                          <a:prstGeom prst="rect">
                            <a:avLst/>
                          </a:prstGeom>
                        </pic:spPr>
                      </pic:pic>
                    </a:graphicData>
                  </a:graphic>
                </wp:inline>
              </w:drawing>
            </w:r>
          </w:p>
        </w:tc>
      </w:tr>
    </w:tbl>
    <w:p w14:paraId="37CF6141">
      <w:pPr>
        <w:rPr>
          <w:rFonts w:ascii="Arial"/>
          <w:sz w:val="21"/>
        </w:rPr>
      </w:pPr>
    </w:p>
    <w:p w14:paraId="1683ECFD">
      <w:pPr>
        <w:rPr>
          <w:rFonts w:ascii="Arial" w:hAnsi="Arial" w:eastAsia="Arial" w:cs="Arial"/>
          <w:sz w:val="21"/>
          <w:szCs w:val="21"/>
        </w:rPr>
        <w:sectPr>
          <w:footerReference r:id="rId173" w:type="default"/>
          <w:pgSz w:w="16839" w:h="11907"/>
          <w:pgMar w:top="400" w:right="1586" w:bottom="400" w:left="1588" w:header="0" w:footer="0" w:gutter="0"/>
          <w:cols w:space="720" w:num="1"/>
        </w:sectPr>
      </w:pPr>
    </w:p>
    <w:p w14:paraId="0F2DAB33">
      <w:pPr>
        <w:spacing w:before="38"/>
      </w:pPr>
    </w:p>
    <w:p w14:paraId="3C27BABF">
      <w:pPr>
        <w:spacing w:before="38"/>
      </w:pPr>
    </w:p>
    <w:p w14:paraId="36D15975">
      <w:pPr>
        <w:spacing w:before="38"/>
      </w:pPr>
    </w:p>
    <w:p w14:paraId="096925F6">
      <w:pPr>
        <w:spacing w:before="38"/>
      </w:pPr>
    </w:p>
    <w:p w14:paraId="29D552E3">
      <w:pPr>
        <w:spacing w:before="38"/>
      </w:pPr>
    </w:p>
    <w:tbl>
      <w:tblPr>
        <w:tblStyle w:val="5"/>
        <w:tblW w:w="1365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2"/>
        <w:gridCol w:w="1595"/>
        <w:gridCol w:w="1135"/>
        <w:gridCol w:w="7030"/>
        <w:gridCol w:w="1495"/>
        <w:gridCol w:w="1900"/>
      </w:tblGrid>
      <w:tr w14:paraId="194DCA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502" w:type="dxa"/>
            <w:vMerge w:val="restart"/>
            <w:tcBorders>
              <w:bottom w:val="nil"/>
            </w:tcBorders>
            <w:vAlign w:val="top"/>
          </w:tcPr>
          <w:p w14:paraId="5C267E3E">
            <w:pPr>
              <w:rPr>
                <w:rFonts w:ascii="Arial"/>
                <w:sz w:val="21"/>
              </w:rPr>
            </w:pPr>
          </w:p>
        </w:tc>
        <w:tc>
          <w:tcPr>
            <w:tcW w:w="1595" w:type="dxa"/>
            <w:vAlign w:val="top"/>
          </w:tcPr>
          <w:p w14:paraId="11122912">
            <w:pPr>
              <w:rPr>
                <w:rFonts w:ascii="Arial"/>
                <w:sz w:val="21"/>
              </w:rPr>
            </w:pPr>
          </w:p>
        </w:tc>
        <w:tc>
          <w:tcPr>
            <w:tcW w:w="1135" w:type="dxa"/>
            <w:vAlign w:val="top"/>
          </w:tcPr>
          <w:p w14:paraId="5DAD28FE">
            <w:pPr>
              <w:pStyle w:val="6"/>
              <w:spacing w:before="332" w:line="220" w:lineRule="auto"/>
              <w:ind w:left="160"/>
              <w:rPr>
                <w:sz w:val="28"/>
                <w:szCs w:val="28"/>
              </w:rPr>
            </w:pPr>
            <w:r>
              <w:rPr>
                <w:spacing w:val="-4"/>
                <w:sz w:val="28"/>
                <w:szCs w:val="28"/>
              </w:rPr>
              <w:t>张京炎</w:t>
            </w:r>
          </w:p>
        </w:tc>
        <w:tc>
          <w:tcPr>
            <w:tcW w:w="7030" w:type="dxa"/>
            <w:vAlign w:val="top"/>
          </w:tcPr>
          <w:p w14:paraId="01A95E06">
            <w:pPr>
              <w:pStyle w:val="6"/>
              <w:spacing w:before="332" w:line="220" w:lineRule="auto"/>
              <w:ind w:left="1989"/>
              <w:rPr>
                <w:sz w:val="28"/>
                <w:szCs w:val="28"/>
              </w:rPr>
            </w:pPr>
            <w:r>
              <w:rPr>
                <w:spacing w:val="-2"/>
                <w:sz w:val="28"/>
                <w:szCs w:val="28"/>
              </w:rPr>
              <w:t>原呼和浩特市环境保护局</w:t>
            </w:r>
          </w:p>
        </w:tc>
        <w:tc>
          <w:tcPr>
            <w:tcW w:w="1495" w:type="dxa"/>
            <w:vAlign w:val="top"/>
          </w:tcPr>
          <w:p w14:paraId="78E372E6">
            <w:pPr>
              <w:pStyle w:val="6"/>
              <w:spacing w:before="332" w:line="220" w:lineRule="auto"/>
              <w:ind w:left="483"/>
              <w:rPr>
                <w:sz w:val="28"/>
                <w:szCs w:val="28"/>
              </w:rPr>
            </w:pPr>
            <w:r>
              <w:rPr>
                <w:spacing w:val="-5"/>
                <w:sz w:val="28"/>
                <w:szCs w:val="28"/>
              </w:rPr>
              <w:t>高工</w:t>
            </w:r>
          </w:p>
        </w:tc>
        <w:tc>
          <w:tcPr>
            <w:tcW w:w="1900" w:type="dxa"/>
            <w:vAlign w:val="top"/>
          </w:tcPr>
          <w:p w14:paraId="6B79C73E">
            <w:pPr>
              <w:spacing w:before="81" w:line="774" w:lineRule="exact"/>
              <w:ind w:firstLine="249"/>
            </w:pPr>
            <w:r>
              <w:rPr>
                <w:position w:val="-15"/>
              </w:rPr>
              <w:drawing>
                <wp:inline distT="0" distB="0" distL="0" distR="0">
                  <wp:extent cx="882650" cy="490855"/>
                  <wp:effectExtent l="0" t="0" r="0" b="0"/>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272"/>
                          <a:stretch>
                            <a:fillRect/>
                          </a:stretch>
                        </pic:blipFill>
                        <pic:spPr>
                          <a:xfrm>
                            <a:off x="0" y="0"/>
                            <a:ext cx="883284" cy="491210"/>
                          </a:xfrm>
                          <a:prstGeom prst="rect">
                            <a:avLst/>
                          </a:prstGeom>
                        </pic:spPr>
                      </pic:pic>
                    </a:graphicData>
                  </a:graphic>
                </wp:inline>
              </w:drawing>
            </w:r>
          </w:p>
        </w:tc>
      </w:tr>
      <w:tr w14:paraId="053BBB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502" w:type="dxa"/>
            <w:vMerge w:val="continue"/>
            <w:tcBorders>
              <w:top w:val="nil"/>
              <w:bottom w:val="nil"/>
            </w:tcBorders>
            <w:vAlign w:val="top"/>
          </w:tcPr>
          <w:p w14:paraId="08D2D678">
            <w:pPr>
              <w:rPr>
                <w:rFonts w:ascii="Arial"/>
                <w:sz w:val="21"/>
              </w:rPr>
            </w:pPr>
          </w:p>
        </w:tc>
        <w:tc>
          <w:tcPr>
            <w:tcW w:w="1595" w:type="dxa"/>
            <w:vAlign w:val="top"/>
          </w:tcPr>
          <w:p w14:paraId="14D81908">
            <w:pPr>
              <w:pStyle w:val="6"/>
              <w:spacing w:before="329" w:line="221" w:lineRule="auto"/>
              <w:ind w:left="243"/>
              <w:rPr>
                <w:sz w:val="28"/>
                <w:szCs w:val="28"/>
              </w:rPr>
            </w:pPr>
            <w:r>
              <w:rPr>
                <w:spacing w:val="-2"/>
                <w:sz w:val="28"/>
                <w:szCs w:val="28"/>
              </w:rPr>
              <w:t>调查单位</w:t>
            </w:r>
          </w:p>
        </w:tc>
        <w:tc>
          <w:tcPr>
            <w:tcW w:w="1135" w:type="dxa"/>
            <w:vAlign w:val="top"/>
          </w:tcPr>
          <w:p w14:paraId="7CA0AA06">
            <w:pPr>
              <w:pStyle w:val="6"/>
              <w:spacing w:before="329" w:line="221" w:lineRule="auto"/>
              <w:ind w:left="152"/>
              <w:rPr>
                <w:sz w:val="28"/>
                <w:szCs w:val="28"/>
              </w:rPr>
            </w:pPr>
            <w:r>
              <w:rPr>
                <w:spacing w:val="-2"/>
                <w:sz w:val="28"/>
                <w:szCs w:val="28"/>
              </w:rPr>
              <w:t>解倩雯</w:t>
            </w:r>
          </w:p>
        </w:tc>
        <w:tc>
          <w:tcPr>
            <w:tcW w:w="7030" w:type="dxa"/>
            <w:vAlign w:val="top"/>
          </w:tcPr>
          <w:p w14:paraId="372831E2">
            <w:pPr>
              <w:pStyle w:val="6"/>
              <w:spacing w:before="329" w:line="221" w:lineRule="auto"/>
              <w:ind w:left="1561"/>
              <w:rPr>
                <w:sz w:val="28"/>
                <w:szCs w:val="28"/>
              </w:rPr>
            </w:pPr>
            <w:r>
              <w:rPr>
                <w:spacing w:val="-1"/>
                <w:sz w:val="28"/>
                <w:szCs w:val="28"/>
              </w:rPr>
              <w:t>河北洁源安评环保咨询有限公司</w:t>
            </w:r>
          </w:p>
        </w:tc>
        <w:tc>
          <w:tcPr>
            <w:tcW w:w="1495" w:type="dxa"/>
            <w:vAlign w:val="top"/>
          </w:tcPr>
          <w:p w14:paraId="3EF18B9B">
            <w:pPr>
              <w:pStyle w:val="6"/>
              <w:spacing w:before="329" w:line="220" w:lineRule="auto"/>
              <w:ind w:left="339"/>
              <w:rPr>
                <w:sz w:val="28"/>
                <w:szCs w:val="28"/>
              </w:rPr>
            </w:pPr>
            <w:r>
              <w:rPr>
                <w:spacing w:val="-3"/>
                <w:sz w:val="28"/>
                <w:szCs w:val="28"/>
              </w:rPr>
              <w:t>工程师</w:t>
            </w:r>
          </w:p>
        </w:tc>
        <w:tc>
          <w:tcPr>
            <w:tcW w:w="1900" w:type="dxa"/>
            <w:vAlign w:val="top"/>
          </w:tcPr>
          <w:p w14:paraId="60D32C65">
            <w:pPr>
              <w:spacing w:before="103" w:line="732" w:lineRule="exact"/>
              <w:ind w:firstLine="195"/>
            </w:pPr>
            <w:r>
              <w:rPr>
                <w:position w:val="-14"/>
              </w:rPr>
              <w:drawing>
                <wp:inline distT="0" distB="0" distL="0" distR="0">
                  <wp:extent cx="951230" cy="464820"/>
                  <wp:effectExtent l="0" t="0" r="0" b="0"/>
                  <wp:docPr id="196" name="IM 196"/>
                  <wp:cNvGraphicFramePr/>
                  <a:graphic xmlns:a="http://schemas.openxmlformats.org/drawingml/2006/main">
                    <a:graphicData uri="http://schemas.openxmlformats.org/drawingml/2006/picture">
                      <pic:pic xmlns:pic="http://schemas.openxmlformats.org/drawingml/2006/picture">
                        <pic:nvPicPr>
                          <pic:cNvPr id="196" name="IM 196"/>
                          <pic:cNvPicPr/>
                        </pic:nvPicPr>
                        <pic:blipFill>
                          <a:blip r:embed="rId273"/>
                          <a:stretch>
                            <a:fillRect/>
                          </a:stretch>
                        </pic:blipFill>
                        <pic:spPr>
                          <a:xfrm>
                            <a:off x="0" y="0"/>
                            <a:ext cx="951230" cy="464820"/>
                          </a:xfrm>
                          <a:prstGeom prst="rect">
                            <a:avLst/>
                          </a:prstGeom>
                        </pic:spPr>
                      </pic:pic>
                    </a:graphicData>
                  </a:graphic>
                </wp:inline>
              </w:drawing>
            </w:r>
          </w:p>
        </w:tc>
      </w:tr>
      <w:tr w14:paraId="11AD29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7" w:hRule="atLeast"/>
        </w:trPr>
        <w:tc>
          <w:tcPr>
            <w:tcW w:w="502" w:type="dxa"/>
            <w:vMerge w:val="continue"/>
            <w:tcBorders>
              <w:top w:val="nil"/>
            </w:tcBorders>
            <w:vAlign w:val="top"/>
          </w:tcPr>
          <w:p w14:paraId="045C1E26">
            <w:pPr>
              <w:rPr>
                <w:rFonts w:ascii="Arial"/>
                <w:sz w:val="21"/>
              </w:rPr>
            </w:pPr>
          </w:p>
        </w:tc>
        <w:tc>
          <w:tcPr>
            <w:tcW w:w="1595" w:type="dxa"/>
            <w:vAlign w:val="top"/>
          </w:tcPr>
          <w:p w14:paraId="090791B9">
            <w:pPr>
              <w:pStyle w:val="6"/>
              <w:spacing w:before="273" w:line="221" w:lineRule="auto"/>
              <w:ind w:left="241"/>
              <w:rPr>
                <w:sz w:val="28"/>
                <w:szCs w:val="28"/>
              </w:rPr>
            </w:pPr>
            <w:r>
              <w:rPr>
                <w:spacing w:val="-2"/>
                <w:sz w:val="28"/>
                <w:szCs w:val="28"/>
              </w:rPr>
              <w:t>环评单位</w:t>
            </w:r>
          </w:p>
        </w:tc>
        <w:tc>
          <w:tcPr>
            <w:tcW w:w="1135" w:type="dxa"/>
            <w:vAlign w:val="top"/>
          </w:tcPr>
          <w:p w14:paraId="167C4319">
            <w:pPr>
              <w:pStyle w:val="6"/>
              <w:spacing w:before="274" w:line="221" w:lineRule="auto"/>
              <w:ind w:left="156"/>
              <w:rPr>
                <w:sz w:val="28"/>
                <w:szCs w:val="28"/>
              </w:rPr>
            </w:pPr>
            <w:r>
              <w:rPr>
                <w:spacing w:val="-3"/>
                <w:sz w:val="28"/>
                <w:szCs w:val="28"/>
              </w:rPr>
              <w:t>武燕蔚</w:t>
            </w:r>
          </w:p>
        </w:tc>
        <w:tc>
          <w:tcPr>
            <w:tcW w:w="7030" w:type="dxa"/>
            <w:vAlign w:val="top"/>
          </w:tcPr>
          <w:p w14:paraId="38587DA7">
            <w:pPr>
              <w:pStyle w:val="6"/>
              <w:spacing w:before="273" w:line="221" w:lineRule="auto"/>
              <w:ind w:left="1561"/>
              <w:rPr>
                <w:sz w:val="28"/>
                <w:szCs w:val="28"/>
              </w:rPr>
            </w:pPr>
            <w:r>
              <w:rPr>
                <w:spacing w:val="-1"/>
                <w:sz w:val="28"/>
                <w:szCs w:val="28"/>
              </w:rPr>
              <w:t>河北洁源安评环保咨询有限公司</w:t>
            </w:r>
          </w:p>
        </w:tc>
        <w:tc>
          <w:tcPr>
            <w:tcW w:w="1495" w:type="dxa"/>
            <w:vAlign w:val="top"/>
          </w:tcPr>
          <w:p w14:paraId="6D6157D3">
            <w:pPr>
              <w:pStyle w:val="6"/>
              <w:spacing w:before="274" w:line="220" w:lineRule="auto"/>
              <w:ind w:left="339"/>
              <w:rPr>
                <w:sz w:val="28"/>
                <w:szCs w:val="28"/>
              </w:rPr>
            </w:pPr>
            <w:r>
              <w:rPr>
                <w:spacing w:val="-3"/>
                <w:sz w:val="28"/>
                <w:szCs w:val="28"/>
              </w:rPr>
              <w:t>工程师</w:t>
            </w:r>
          </w:p>
        </w:tc>
        <w:tc>
          <w:tcPr>
            <w:tcW w:w="1900" w:type="dxa"/>
            <w:vAlign w:val="top"/>
          </w:tcPr>
          <w:p w14:paraId="00D69352">
            <w:pPr>
              <w:spacing w:before="112" w:line="597" w:lineRule="exact"/>
              <w:ind w:firstLine="220"/>
            </w:pPr>
            <w:r>
              <w:rPr>
                <w:position w:val="-11"/>
              </w:rPr>
              <w:drawing>
                <wp:inline distT="0" distB="0" distL="0" distR="0">
                  <wp:extent cx="906780" cy="379095"/>
                  <wp:effectExtent l="0" t="0" r="0" b="0"/>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274"/>
                          <a:stretch>
                            <a:fillRect/>
                          </a:stretch>
                        </pic:blipFill>
                        <pic:spPr>
                          <a:xfrm>
                            <a:off x="0" y="0"/>
                            <a:ext cx="906847" cy="379161"/>
                          </a:xfrm>
                          <a:prstGeom prst="rect">
                            <a:avLst/>
                          </a:prstGeom>
                        </pic:spPr>
                      </pic:pic>
                    </a:graphicData>
                  </a:graphic>
                </wp:inline>
              </w:drawing>
            </w:r>
          </w:p>
        </w:tc>
      </w:tr>
    </w:tbl>
    <w:p w14:paraId="5DE7EF04">
      <w:pPr>
        <w:rPr>
          <w:rFonts w:ascii="Arial"/>
          <w:sz w:val="21"/>
        </w:rPr>
      </w:pPr>
    </w:p>
    <w:p w14:paraId="09683101">
      <w:pPr>
        <w:rPr>
          <w:rFonts w:ascii="Arial" w:hAnsi="Arial" w:eastAsia="Arial" w:cs="Arial"/>
          <w:sz w:val="21"/>
          <w:szCs w:val="21"/>
        </w:rPr>
        <w:sectPr>
          <w:pgSz w:w="16839" w:h="11907"/>
          <w:pgMar w:top="400" w:right="1586" w:bottom="400" w:left="1588" w:header="0" w:footer="0" w:gutter="0"/>
          <w:cols w:space="720" w:num="1"/>
        </w:sectPr>
      </w:pPr>
    </w:p>
    <w:p w14:paraId="50F8D432">
      <w:pPr>
        <w:spacing w:line="258" w:lineRule="auto"/>
        <w:rPr>
          <w:rFonts w:ascii="Arial"/>
          <w:sz w:val="21"/>
        </w:rPr>
      </w:pPr>
    </w:p>
    <w:p w14:paraId="32526802">
      <w:pPr>
        <w:spacing w:line="259" w:lineRule="auto"/>
        <w:rPr>
          <w:rFonts w:ascii="Arial"/>
          <w:sz w:val="21"/>
        </w:rPr>
      </w:pPr>
    </w:p>
    <w:p w14:paraId="52873D3E">
      <w:pPr>
        <w:spacing w:line="259" w:lineRule="auto"/>
        <w:rPr>
          <w:rFonts w:ascii="Arial"/>
          <w:sz w:val="21"/>
        </w:rPr>
      </w:pPr>
    </w:p>
    <w:p w14:paraId="5D23FD42">
      <w:pPr>
        <w:spacing w:line="259" w:lineRule="auto"/>
        <w:rPr>
          <w:rFonts w:ascii="Arial"/>
          <w:sz w:val="21"/>
        </w:rPr>
      </w:pPr>
    </w:p>
    <w:p w14:paraId="10AF7772">
      <w:pPr>
        <w:spacing w:before="133" w:line="191" w:lineRule="auto"/>
        <w:ind w:left="2332"/>
        <w:rPr>
          <w:rFonts w:ascii="华文中宋" w:hAnsi="华文中宋" w:eastAsia="华文中宋" w:cs="华文中宋"/>
          <w:sz w:val="36"/>
          <w:szCs w:val="36"/>
        </w:rPr>
      </w:pPr>
      <w:r>
        <w:rPr>
          <w:rFonts w:ascii="华文中宋" w:hAnsi="华文中宋" w:eastAsia="华文中宋" w:cs="华文中宋"/>
          <w:b/>
          <w:bCs/>
          <w:spacing w:val="-8"/>
          <w:sz w:val="36"/>
          <w:szCs w:val="36"/>
        </w:rPr>
        <w:t>固定污染源排污登记回执</w:t>
      </w:r>
    </w:p>
    <w:p w14:paraId="2B2E9879">
      <w:pPr>
        <w:spacing w:before="264" w:line="194" w:lineRule="auto"/>
        <w:ind w:left="4337"/>
        <w:rPr>
          <w:rFonts w:ascii="微软雅黑" w:hAnsi="微软雅黑" w:eastAsia="微软雅黑" w:cs="微软雅黑"/>
          <w:sz w:val="22"/>
          <w:szCs w:val="22"/>
        </w:rPr>
      </w:pPr>
      <w:r>
        <w:rPr>
          <w:rFonts w:ascii="微软雅黑" w:hAnsi="微软雅黑" w:eastAsia="微软雅黑" w:cs="微软雅黑"/>
          <w:sz w:val="22"/>
          <w:szCs w:val="22"/>
        </w:rPr>
        <w:t>登记编号：91150800MA0Q4TL99T</w:t>
      </w:r>
      <w:r>
        <w:rPr>
          <w:rFonts w:ascii="微软雅黑" w:hAnsi="微软雅黑" w:eastAsia="微软雅黑" w:cs="微软雅黑"/>
          <w:spacing w:val="-1"/>
          <w:sz w:val="22"/>
          <w:szCs w:val="22"/>
        </w:rPr>
        <w:t>001Y</w:t>
      </w:r>
    </w:p>
    <w:p w14:paraId="3C50287E">
      <w:pPr>
        <w:spacing w:line="120" w:lineRule="exact"/>
      </w:pPr>
    </w:p>
    <w:tbl>
      <w:tblPr>
        <w:tblStyle w:val="5"/>
        <w:tblW w:w="852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78"/>
        <w:gridCol w:w="2244"/>
      </w:tblGrid>
      <w:tr w14:paraId="064302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5" w:hRule="atLeast"/>
        </w:trPr>
        <w:tc>
          <w:tcPr>
            <w:tcW w:w="6278" w:type="dxa"/>
            <w:tcBorders>
              <w:right w:val="nil"/>
            </w:tcBorders>
            <w:vAlign w:val="top"/>
          </w:tcPr>
          <w:p w14:paraId="6B979D27">
            <w:pPr>
              <w:pStyle w:val="6"/>
              <w:spacing w:before="114" w:line="362" w:lineRule="auto"/>
              <w:ind w:left="112" w:right="170"/>
            </w:pPr>
            <w:r>
              <w:rPr>
                <w:spacing w:val="-1"/>
              </w:rPr>
              <w:t>排污单位名称：中国石油天然气股份有限公司华北油田巴</w:t>
            </w:r>
            <w:r>
              <w:rPr>
                <w:spacing w:val="-2"/>
              </w:rPr>
              <w:t>彦勘探开发分公司</w:t>
            </w:r>
          </w:p>
          <w:p w14:paraId="3928E0E9">
            <w:pPr>
              <w:pStyle w:val="6"/>
              <w:spacing w:before="101" w:line="219" w:lineRule="auto"/>
              <w:ind w:left="114"/>
            </w:pPr>
            <w:r>
              <w:rPr>
                <w:spacing w:val="-1"/>
              </w:rPr>
              <w:t>生产经营场所地址：内蒙古自治区巴彦淖尔市</w:t>
            </w:r>
          </w:p>
          <w:p w14:paraId="4629A328">
            <w:pPr>
              <w:spacing w:line="315" w:lineRule="auto"/>
              <w:rPr>
                <w:rFonts w:ascii="Arial"/>
                <w:sz w:val="21"/>
              </w:rPr>
            </w:pPr>
          </w:p>
          <w:p w14:paraId="4174219A">
            <w:pPr>
              <w:pStyle w:val="6"/>
              <w:spacing w:before="78" w:line="219" w:lineRule="auto"/>
              <w:ind w:left="118"/>
              <w:rPr>
                <w:rFonts w:ascii="Calibri" w:hAnsi="Calibri" w:eastAsia="Calibri" w:cs="Calibri"/>
              </w:rPr>
            </w:pPr>
            <w:r>
              <w:rPr>
                <w:spacing w:val="-1"/>
              </w:rPr>
              <w:t>统一社会信用代码：</w:t>
            </w:r>
            <w:r>
              <w:rPr>
                <w:rFonts w:ascii="Calibri" w:hAnsi="Calibri" w:eastAsia="Calibri" w:cs="Calibri"/>
                <w:spacing w:val="-1"/>
              </w:rPr>
              <w:t>91150800MA0Q4TL99T</w:t>
            </w:r>
          </w:p>
          <w:p w14:paraId="30A2EFBE">
            <w:pPr>
              <w:spacing w:line="314" w:lineRule="auto"/>
              <w:rPr>
                <w:rFonts w:ascii="Arial"/>
                <w:sz w:val="21"/>
              </w:rPr>
            </w:pPr>
          </w:p>
          <w:p w14:paraId="53B75286">
            <w:pPr>
              <w:pStyle w:val="6"/>
              <w:spacing w:before="79" w:line="220" w:lineRule="auto"/>
              <w:ind w:left="117"/>
            </w:pPr>
            <w:r>
              <w:rPr>
                <w:spacing w:val="-8"/>
              </w:rPr>
              <w:t>登记类型：</w:t>
            </w:r>
            <w:r>
              <w:rPr>
                <w:spacing w:val="-75"/>
              </w:rPr>
              <w:t xml:space="preserve"> </w:t>
            </w:r>
            <w:r>
              <w:rPr>
                <w:spacing w:val="-8"/>
              </w:rPr>
              <w:t>□首次</w:t>
            </w:r>
            <w:r>
              <w:rPr>
                <w:spacing w:val="-32"/>
              </w:rPr>
              <w:t xml:space="preserve"> </w:t>
            </w:r>
            <w:r>
              <w:rPr>
                <w:spacing w:val="-8"/>
              </w:rPr>
              <w:t>□延续</w:t>
            </w:r>
            <w:r>
              <w:rPr>
                <w:spacing w:val="-47"/>
              </w:rPr>
              <w:t xml:space="preserve"> </w:t>
            </w:r>
            <w:r>
              <w:rPr>
                <w:rFonts w:ascii="MS UI Gothic" w:hAnsi="MS UI Gothic" w:eastAsia="MS UI Gothic" w:cs="MS UI Gothic"/>
                <w:spacing w:val="-8"/>
              </w:rPr>
              <w:t>☑</w:t>
            </w:r>
            <w:r>
              <w:rPr>
                <w:spacing w:val="-8"/>
              </w:rPr>
              <w:t>变更</w:t>
            </w:r>
          </w:p>
          <w:p w14:paraId="1C183102">
            <w:pPr>
              <w:spacing w:line="314" w:lineRule="auto"/>
              <w:rPr>
                <w:rFonts w:ascii="Arial"/>
                <w:sz w:val="21"/>
              </w:rPr>
            </w:pPr>
          </w:p>
          <w:p w14:paraId="6359355E">
            <w:pPr>
              <w:pStyle w:val="6"/>
              <w:spacing w:before="78" w:line="220" w:lineRule="auto"/>
              <w:ind w:left="117"/>
            </w:pPr>
            <w:r>
              <w:rPr>
                <w:spacing w:val="-1"/>
              </w:rPr>
              <w:t>登记日期：</w:t>
            </w:r>
            <w:r>
              <w:rPr>
                <w:rFonts w:ascii="Calibri" w:hAnsi="Calibri" w:eastAsia="Calibri" w:cs="Calibri"/>
                <w:spacing w:val="-1"/>
              </w:rPr>
              <w:t>2025</w:t>
            </w:r>
            <w:r>
              <w:rPr>
                <w:spacing w:val="-1"/>
              </w:rPr>
              <w:t>年</w:t>
            </w:r>
            <w:r>
              <w:rPr>
                <w:rFonts w:ascii="Calibri" w:hAnsi="Calibri" w:eastAsia="Calibri" w:cs="Calibri"/>
                <w:spacing w:val="-1"/>
              </w:rPr>
              <w:t>05</w:t>
            </w:r>
            <w:r>
              <w:rPr>
                <w:spacing w:val="-1"/>
              </w:rPr>
              <w:t>月</w:t>
            </w:r>
            <w:r>
              <w:rPr>
                <w:rFonts w:ascii="Calibri" w:hAnsi="Calibri" w:eastAsia="Calibri" w:cs="Calibri"/>
                <w:spacing w:val="-1"/>
              </w:rPr>
              <w:t>12</w:t>
            </w:r>
            <w:r>
              <w:rPr>
                <w:spacing w:val="-1"/>
              </w:rPr>
              <w:t>日</w:t>
            </w:r>
          </w:p>
          <w:p w14:paraId="38204E61">
            <w:pPr>
              <w:spacing w:line="314" w:lineRule="auto"/>
              <w:rPr>
                <w:rFonts w:ascii="Arial"/>
                <w:sz w:val="21"/>
              </w:rPr>
            </w:pPr>
          </w:p>
          <w:p w14:paraId="1DBC9B41">
            <w:pPr>
              <w:pStyle w:val="6"/>
              <w:spacing w:before="78" w:line="220" w:lineRule="auto"/>
              <w:ind w:left="113"/>
            </w:pPr>
            <w:r>
              <w:rPr>
                <w:spacing w:val="-2"/>
              </w:rPr>
              <w:t>有</w:t>
            </w:r>
            <w:r>
              <w:rPr>
                <w:spacing w:val="-39"/>
              </w:rPr>
              <w:t xml:space="preserve"> </w:t>
            </w:r>
            <w:r>
              <w:rPr>
                <w:spacing w:val="-2"/>
              </w:rPr>
              <w:t>效</w:t>
            </w:r>
            <w:r>
              <w:rPr>
                <w:spacing w:val="-54"/>
              </w:rPr>
              <w:t xml:space="preserve"> </w:t>
            </w:r>
            <w:r>
              <w:rPr>
                <w:spacing w:val="-2"/>
              </w:rPr>
              <w:t>期：</w:t>
            </w:r>
            <w:r>
              <w:rPr>
                <w:rFonts w:ascii="Calibri" w:hAnsi="Calibri" w:eastAsia="Calibri" w:cs="Calibri"/>
                <w:spacing w:val="-2"/>
              </w:rPr>
              <w:t>2025</w:t>
            </w:r>
            <w:r>
              <w:rPr>
                <w:spacing w:val="-2"/>
              </w:rPr>
              <w:t>年</w:t>
            </w:r>
            <w:r>
              <w:rPr>
                <w:rFonts w:ascii="Calibri" w:hAnsi="Calibri" w:eastAsia="Calibri" w:cs="Calibri"/>
                <w:spacing w:val="-2"/>
              </w:rPr>
              <w:t>05</w:t>
            </w:r>
            <w:r>
              <w:rPr>
                <w:spacing w:val="-2"/>
              </w:rPr>
              <w:t>月</w:t>
            </w:r>
            <w:r>
              <w:rPr>
                <w:rFonts w:ascii="Calibri" w:hAnsi="Calibri" w:eastAsia="Calibri" w:cs="Calibri"/>
                <w:spacing w:val="-2"/>
              </w:rPr>
              <w:t>12</w:t>
            </w:r>
            <w:r>
              <w:rPr>
                <w:spacing w:val="-2"/>
              </w:rPr>
              <w:t>日至</w:t>
            </w:r>
            <w:r>
              <w:rPr>
                <w:rFonts w:ascii="Calibri" w:hAnsi="Calibri" w:eastAsia="Calibri" w:cs="Calibri"/>
                <w:spacing w:val="-2"/>
              </w:rPr>
              <w:t>2030</w:t>
            </w:r>
            <w:r>
              <w:rPr>
                <w:spacing w:val="-2"/>
              </w:rPr>
              <w:t>年</w:t>
            </w:r>
            <w:r>
              <w:rPr>
                <w:rFonts w:ascii="Calibri" w:hAnsi="Calibri" w:eastAsia="Calibri" w:cs="Calibri"/>
                <w:spacing w:val="-2"/>
              </w:rPr>
              <w:t>05</w:t>
            </w:r>
            <w:r>
              <w:rPr>
                <w:spacing w:val="-2"/>
              </w:rPr>
              <w:t>月</w:t>
            </w:r>
            <w:r>
              <w:rPr>
                <w:rFonts w:ascii="Calibri" w:hAnsi="Calibri" w:eastAsia="Calibri" w:cs="Calibri"/>
                <w:spacing w:val="-2"/>
              </w:rPr>
              <w:t>11</w:t>
            </w:r>
            <w:r>
              <w:rPr>
                <w:spacing w:val="-2"/>
              </w:rPr>
              <w:t>日</w:t>
            </w:r>
          </w:p>
        </w:tc>
        <w:tc>
          <w:tcPr>
            <w:tcW w:w="2244" w:type="dxa"/>
            <w:tcBorders>
              <w:left w:val="nil"/>
            </w:tcBorders>
            <w:vAlign w:val="top"/>
          </w:tcPr>
          <w:p w14:paraId="6949EE2B">
            <w:pPr>
              <w:spacing w:before="148" w:line="2000" w:lineRule="exact"/>
              <w:ind w:firstLine="175"/>
            </w:pPr>
            <w:r>
              <w:rPr>
                <w:position w:val="-40"/>
              </w:rPr>
              <w:drawing>
                <wp:inline distT="0" distB="0" distL="0" distR="0">
                  <wp:extent cx="1270000" cy="1270000"/>
                  <wp:effectExtent l="0" t="0" r="0" b="0"/>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275"/>
                          <a:stretch>
                            <a:fillRect/>
                          </a:stretch>
                        </pic:blipFill>
                        <pic:spPr>
                          <a:xfrm>
                            <a:off x="0" y="0"/>
                            <a:ext cx="1270000" cy="1270000"/>
                          </a:xfrm>
                          <a:prstGeom prst="rect">
                            <a:avLst/>
                          </a:prstGeom>
                        </pic:spPr>
                      </pic:pic>
                    </a:graphicData>
                  </a:graphic>
                </wp:inline>
              </w:drawing>
            </w:r>
          </w:p>
        </w:tc>
      </w:tr>
    </w:tbl>
    <w:p w14:paraId="4D1DD29C">
      <w:pPr>
        <w:spacing w:line="263" w:lineRule="auto"/>
        <w:rPr>
          <w:rFonts w:ascii="Arial"/>
          <w:sz w:val="21"/>
        </w:rPr>
      </w:pPr>
    </w:p>
    <w:p w14:paraId="23589E1B">
      <w:pPr>
        <w:spacing w:line="264" w:lineRule="auto"/>
        <w:rPr>
          <w:rFonts w:ascii="Arial"/>
          <w:sz w:val="21"/>
        </w:rPr>
      </w:pPr>
    </w:p>
    <w:p w14:paraId="03CB764A">
      <w:pPr>
        <w:pStyle w:val="2"/>
        <w:spacing w:before="68" w:line="220" w:lineRule="auto"/>
        <w:ind w:left="121"/>
        <w:rPr>
          <w:sz w:val="21"/>
          <w:szCs w:val="21"/>
        </w:rPr>
      </w:pPr>
      <w:r>
        <w:rPr>
          <w:spacing w:val="-10"/>
          <w:sz w:val="21"/>
          <w:szCs w:val="21"/>
        </w:rPr>
        <w:t>注意事项：</w:t>
      </w:r>
    </w:p>
    <w:p w14:paraId="4FF57BBE">
      <w:pPr>
        <w:pStyle w:val="2"/>
        <w:spacing w:before="218" w:line="411" w:lineRule="auto"/>
        <w:ind w:left="120" w:right="242" w:firstLine="6"/>
        <w:rPr>
          <w:sz w:val="21"/>
          <w:szCs w:val="21"/>
        </w:rPr>
      </w:pPr>
      <w:r>
        <w:rPr>
          <w:spacing w:val="-1"/>
          <w:sz w:val="21"/>
          <w:szCs w:val="21"/>
        </w:rPr>
        <w:t>（一）你单位应当遵守生态环境保护法律法规、政策、标准等，依法履行生态环境保护责</w:t>
      </w:r>
      <w:r>
        <w:rPr>
          <w:spacing w:val="-2"/>
          <w:sz w:val="21"/>
          <w:szCs w:val="21"/>
        </w:rPr>
        <w:t>任和义务，采取措施防治环境污染，做到污染物稳定达标排放。</w:t>
      </w:r>
    </w:p>
    <w:p w14:paraId="39C9E989">
      <w:pPr>
        <w:pStyle w:val="2"/>
        <w:spacing w:line="411" w:lineRule="auto"/>
        <w:ind w:left="123" w:right="238" w:firstLine="3"/>
        <w:rPr>
          <w:sz w:val="21"/>
          <w:szCs w:val="21"/>
        </w:rPr>
      </w:pPr>
      <w:r>
        <w:rPr>
          <w:spacing w:val="-1"/>
          <w:sz w:val="21"/>
          <w:szCs w:val="21"/>
        </w:rPr>
        <w:t>（二）你单位对排污登记信息的真实性、准确性和完整性负责，依法接受生态环境保护检</w:t>
      </w:r>
      <w:r>
        <w:rPr>
          <w:spacing w:val="-5"/>
          <w:sz w:val="21"/>
          <w:szCs w:val="21"/>
        </w:rPr>
        <w:t>查和社会公众监督。</w:t>
      </w:r>
    </w:p>
    <w:p w14:paraId="6F58B693">
      <w:pPr>
        <w:pStyle w:val="2"/>
        <w:spacing w:before="1" w:line="411" w:lineRule="auto"/>
        <w:ind w:left="120" w:right="247" w:firstLine="6"/>
        <w:rPr>
          <w:sz w:val="21"/>
          <w:szCs w:val="21"/>
        </w:rPr>
      </w:pPr>
      <w:r>
        <w:rPr>
          <w:spacing w:val="-1"/>
          <w:sz w:val="21"/>
          <w:szCs w:val="21"/>
        </w:rPr>
        <w:t>（三）排污登记表有效期内，你单位基本情况、污染物排放去向、污染物排放执行标准以及采取的污染防治措施等信息发生变动的，应当自变动之日起二十日内进行变更登记。</w:t>
      </w:r>
    </w:p>
    <w:p w14:paraId="63B598A1">
      <w:pPr>
        <w:pStyle w:val="2"/>
        <w:spacing w:before="1" w:line="219" w:lineRule="auto"/>
        <w:ind w:left="126"/>
        <w:rPr>
          <w:sz w:val="21"/>
          <w:szCs w:val="21"/>
        </w:rPr>
      </w:pPr>
      <w:r>
        <w:rPr>
          <w:spacing w:val="-2"/>
          <w:sz w:val="21"/>
          <w:szCs w:val="21"/>
        </w:rPr>
        <w:t>（四）你单位若因关闭等原因不再排污，应及时注销排污登记表。</w:t>
      </w:r>
    </w:p>
    <w:p w14:paraId="660E7E35">
      <w:pPr>
        <w:pStyle w:val="2"/>
        <w:spacing w:before="219" w:line="411" w:lineRule="auto"/>
        <w:ind w:left="126" w:right="238"/>
        <w:rPr>
          <w:sz w:val="21"/>
          <w:szCs w:val="21"/>
        </w:rPr>
      </w:pPr>
      <w:r>
        <w:rPr>
          <w:spacing w:val="-1"/>
          <w:sz w:val="21"/>
          <w:szCs w:val="21"/>
        </w:rPr>
        <w:t>（五）你单位因生产规模扩大、污染物排放量增加等情况需要申领排污许可证的，应按规</w:t>
      </w:r>
      <w:r>
        <w:rPr>
          <w:spacing w:val="-2"/>
          <w:sz w:val="21"/>
          <w:szCs w:val="21"/>
        </w:rPr>
        <w:t>定及时提交排污许可证申请表，并同时注销排污登记表。</w:t>
      </w:r>
    </w:p>
    <w:p w14:paraId="610C435F">
      <w:pPr>
        <w:pStyle w:val="2"/>
        <w:spacing w:before="1" w:line="219" w:lineRule="auto"/>
        <w:ind w:left="126"/>
        <w:rPr>
          <w:sz w:val="21"/>
          <w:szCs w:val="21"/>
        </w:rPr>
      </w:pPr>
      <w:r>
        <w:rPr>
          <w:spacing w:val="-1"/>
          <w:sz w:val="21"/>
          <w:szCs w:val="21"/>
        </w:rPr>
        <w:t>（六）若你单位在有效期满后继续生产运营，应于有效期满前二十日内</w:t>
      </w:r>
      <w:r>
        <w:rPr>
          <w:spacing w:val="-2"/>
          <w:sz w:val="21"/>
          <w:szCs w:val="21"/>
        </w:rPr>
        <w:t>进行延续登记。</w:t>
      </w:r>
    </w:p>
    <w:p w14:paraId="0402BD7E">
      <w:pPr>
        <w:spacing w:line="249" w:lineRule="auto"/>
        <w:rPr>
          <w:rFonts w:ascii="Arial"/>
          <w:sz w:val="21"/>
        </w:rPr>
      </w:pPr>
    </w:p>
    <w:p w14:paraId="35DD85A0">
      <w:pPr>
        <w:spacing w:line="249" w:lineRule="auto"/>
        <w:rPr>
          <w:rFonts w:ascii="Arial"/>
          <w:sz w:val="21"/>
        </w:rPr>
      </w:pPr>
    </w:p>
    <w:p w14:paraId="4CFACE49">
      <w:pPr>
        <w:spacing w:line="249" w:lineRule="auto"/>
        <w:rPr>
          <w:rFonts w:ascii="Arial"/>
          <w:sz w:val="21"/>
        </w:rPr>
      </w:pPr>
      <w:r>
        <w:drawing>
          <wp:anchor distT="0" distB="0" distL="0" distR="0" simplePos="0" relativeHeight="251753472" behindDoc="0" locked="0" layoutInCell="1" allowOverlap="1">
            <wp:simplePos x="0" y="0"/>
            <wp:positionH relativeFrom="column">
              <wp:posOffset>638810</wp:posOffset>
            </wp:positionH>
            <wp:positionV relativeFrom="paragraph">
              <wp:posOffset>124460</wp:posOffset>
            </wp:positionV>
            <wp:extent cx="1072515" cy="989330"/>
            <wp:effectExtent l="0" t="0" r="0" b="0"/>
            <wp:wrapNone/>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276"/>
                    <a:stretch>
                      <a:fillRect/>
                    </a:stretch>
                  </pic:blipFill>
                  <pic:spPr>
                    <a:xfrm>
                      <a:off x="0" y="0"/>
                      <a:ext cx="1072504" cy="989342"/>
                    </a:xfrm>
                    <a:prstGeom prst="rect">
                      <a:avLst/>
                    </a:prstGeom>
                  </pic:spPr>
                </pic:pic>
              </a:graphicData>
            </a:graphic>
          </wp:anchor>
        </w:drawing>
      </w:r>
    </w:p>
    <w:p w14:paraId="10C01C5F">
      <w:pPr>
        <w:spacing w:line="249" w:lineRule="auto"/>
        <w:rPr>
          <w:rFonts w:ascii="Arial"/>
          <w:sz w:val="21"/>
        </w:rPr>
      </w:pPr>
    </w:p>
    <w:p w14:paraId="7D1671A0">
      <w:pPr>
        <w:spacing w:line="249" w:lineRule="auto"/>
        <w:rPr>
          <w:rFonts w:ascii="Arial"/>
          <w:sz w:val="21"/>
        </w:rPr>
      </w:pPr>
    </w:p>
    <w:p w14:paraId="038F50D4">
      <w:pPr>
        <w:spacing w:line="249" w:lineRule="auto"/>
        <w:rPr>
          <w:rFonts w:ascii="Arial"/>
          <w:sz w:val="21"/>
        </w:rPr>
      </w:pPr>
    </w:p>
    <w:p w14:paraId="6D50191E">
      <w:pPr>
        <w:spacing w:line="250" w:lineRule="auto"/>
        <w:rPr>
          <w:rFonts w:ascii="Arial"/>
          <w:sz w:val="21"/>
        </w:rPr>
      </w:pPr>
    </w:p>
    <w:p w14:paraId="6E153766">
      <w:pPr>
        <w:spacing w:line="250" w:lineRule="auto"/>
        <w:rPr>
          <w:rFonts w:ascii="Arial"/>
          <w:sz w:val="21"/>
        </w:rPr>
      </w:pPr>
    </w:p>
    <w:p w14:paraId="0EAD4694">
      <w:pPr>
        <w:pStyle w:val="2"/>
        <w:spacing w:before="68" w:line="220" w:lineRule="auto"/>
        <w:ind w:left="2706"/>
        <w:rPr>
          <w:sz w:val="21"/>
          <w:szCs w:val="21"/>
        </w:rPr>
      </w:pPr>
      <w:r>
        <w:rPr>
          <w:color w:val="FF0000"/>
          <w:spacing w:val="-3"/>
          <w:sz w:val="21"/>
          <w:szCs w:val="21"/>
        </w:rPr>
        <w:t>更多资讯，请关注“</w:t>
      </w:r>
      <w:r>
        <w:rPr>
          <w:color w:val="FF0000"/>
          <w:spacing w:val="-74"/>
          <w:sz w:val="21"/>
          <w:szCs w:val="21"/>
        </w:rPr>
        <w:t xml:space="preserve"> </w:t>
      </w:r>
      <w:r>
        <w:rPr>
          <w:color w:val="FF0000"/>
          <w:spacing w:val="-3"/>
          <w:sz w:val="21"/>
          <w:szCs w:val="21"/>
        </w:rPr>
        <w:t>中国排污许可</w:t>
      </w:r>
      <w:r>
        <w:rPr>
          <w:color w:val="FF0000"/>
          <w:spacing w:val="-77"/>
          <w:sz w:val="21"/>
          <w:szCs w:val="21"/>
        </w:rPr>
        <w:t xml:space="preserve"> </w:t>
      </w:r>
      <w:r>
        <w:rPr>
          <w:color w:val="FF0000"/>
          <w:spacing w:val="-3"/>
          <w:sz w:val="21"/>
          <w:szCs w:val="21"/>
        </w:rPr>
        <w:t>”官方公众微信号</w:t>
      </w:r>
    </w:p>
    <w:sectPr>
      <w:pgSz w:w="11906" w:h="16839"/>
      <w:pgMar w:top="400" w:right="1686" w:bottom="400" w:left="1686"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auto"/>
    <w:pitch w:val="default"/>
    <w:sig w:usb0="00000000" w:usb1="00000000" w:usb2="00000009" w:usb3="00000000" w:csb0="400001FF" w:csb1="FFFF0000"/>
  </w:font>
  <w:font w:name="宋体">
    <w:altName w:val="方正书宋_GBK"/>
    <w:panose1 w:val="02010600030101010101"/>
    <w:charset w:val="88"/>
    <w:family w:val="modern"/>
    <w:pitch w:val="default"/>
    <w:sig w:usb0="00000000" w:usb1="00000000" w:usb2="00000006" w:usb3="00000000" w:csb0="00040001"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Segoe UI Symbol">
    <w:altName w:val="Noto Sans"/>
    <w:panose1 w:val="020B0502040204020203"/>
    <w:charset w:val="00"/>
    <w:family w:val="auto"/>
    <w:pitch w:val="default"/>
    <w:sig w:usb0="00000000" w:usb1="00000000" w:usb2="00040000" w:usb3="04000000" w:csb0="00000001" w:csb1="40000000"/>
  </w:font>
  <w:font w:name="Noto Sans">
    <w:panose1 w:val="020B0502040504020204"/>
    <w:charset w:val="00"/>
    <w:family w:val="auto"/>
    <w:pitch w:val="default"/>
    <w:sig w:usb0="E00002FF" w:usb1="4000201F" w:usb2="08000029" w:usb3="00100000" w:csb0="0000019F" w:csb1="00000000"/>
  </w:font>
  <w:font w:name="方正黑体_GBK">
    <w:panose1 w:val="02000000000000000000"/>
    <w:charset w:val="86"/>
    <w:family w:val="auto"/>
    <w:pitch w:val="default"/>
    <w:sig w:usb0="00000001" w:usb1="08000000" w:usb2="00000000" w:usb3="00000000" w:csb0="00040000" w:csb1="00000000"/>
  </w:font>
  <w:font w:name="Cambria Math">
    <w:altName w:val="DejaVu Math TeX Gyre"/>
    <w:panose1 w:val="02040503050406030204"/>
    <w:charset w:val="00"/>
    <w:family w:val="auto"/>
    <w:pitch w:val="default"/>
    <w:sig w:usb0="00000000" w:usb1="00000000" w:usb2="02000000" w:usb3="00000000" w:csb0="2000019F" w:csb1="00000000"/>
  </w:font>
  <w:font w:name="DejaVu Math TeX Gyre">
    <w:panose1 w:val="02000503000000000000"/>
    <w:charset w:val="00"/>
    <w:family w:val="auto"/>
    <w:pitch w:val="default"/>
    <w:sig w:usb0="A10000EF" w:usb1="4201F9EE" w:usb2="02000000" w:usb3="00000000" w:csb0="60000193" w:csb1="0DD40000"/>
  </w:font>
  <w:font w:name="新宋体">
    <w:altName w:val="方正书宋_GBK"/>
    <w:panose1 w:val="02010609030101010101"/>
    <w:charset w:val="86"/>
    <w:family w:val="auto"/>
    <w:pitch w:val="default"/>
    <w:sig w:usb0="00000000" w:usb1="00000000" w:usb2="00000006" w:usb3="00000000" w:csb0="00040001" w:csb1="00000000"/>
  </w:font>
  <w:font w:name="方正小标宋简体">
    <w:panose1 w:val="02000000000000000000"/>
    <w:charset w:val="86"/>
    <w:family w:val="auto"/>
    <w:pitch w:val="default"/>
    <w:sig w:usb0="A00002BF" w:usb1="184F6CFA" w:usb2="00000012" w:usb3="00000000" w:csb0="00040001" w:csb1="00000000"/>
  </w:font>
  <w:font w:name="FangSong_GB2312">
    <w:altName w:val="方正仿宋_GBK"/>
    <w:panose1 w:val="02010609030101010101"/>
    <w:charset w:val="86"/>
    <w:family w:val="auto"/>
    <w:pitch w:val="default"/>
    <w:sig w:usb0="00000000" w:usb1="00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auto"/>
    <w:pitch w:val="default"/>
    <w:sig w:usb0="00000000" w:usb1="00000000" w:usb2="00000016" w:usb3="00000000" w:csb0="00040001" w:csb1="00000000"/>
  </w:font>
  <w:font w:name="微软雅黑">
    <w:altName w:val="方正黑体_GBK"/>
    <w:panose1 w:val="020B0503020204020204"/>
    <w:charset w:val="86"/>
    <w:family w:val="auto"/>
    <w:pitch w:val="default"/>
    <w:sig w:usb0="00000000" w:usb1="00000000" w:usb2="00000016" w:usb3="00000000" w:csb0="0004001F" w:csb1="00000000"/>
  </w:font>
  <w:font w:name="华文中宋">
    <w:altName w:val="汉仪中宋简"/>
    <w:panose1 w:val="02010600040101010101"/>
    <w:charset w:val="86"/>
    <w:family w:val="auto"/>
    <w:pitch w:val="default"/>
    <w:sig w:usb0="00000000" w:usb1="00000000" w:usb2="00000000" w:usb3="00000000" w:csb0="0004009F" w:csb1="DFD70000"/>
  </w:font>
  <w:font w:name="汉仪中宋简">
    <w:panose1 w:val="02010600000101010101"/>
    <w:charset w:val="86"/>
    <w:family w:val="auto"/>
    <w:pitch w:val="default"/>
    <w:sig w:usb0="00000001" w:usb1="080E0800" w:usb2="00000002" w:usb3="00000000" w:csb0="00040000" w:csb1="00000000"/>
  </w:font>
  <w:font w:name="MS UI Gothic">
    <w:altName w:val="DejaVu Sans"/>
    <w:panose1 w:val="020B0600070205080204"/>
    <w:charset w:val="86"/>
    <w:family w:val="auto"/>
    <w:pitch w:val="default"/>
    <w:sig w:usb0="00000000" w:usb1="00000000" w:usb2="08000012" w:usb3="00000000" w:csb0="4002009F" w:csb1="DFD70000"/>
  </w:font>
  <w:font w:name="文泉驿等宽正黑">
    <w:panose1 w:val="02000603000000000000"/>
    <w:charset w:val="86"/>
    <w:family w:val="auto"/>
    <w:pitch w:val="default"/>
    <w:sig w:usb0="900002BF" w:usb1="2BDF7DFB" w:usb2="00000036" w:usb3="00000000" w:csb0="603E000D" w:csb1="D2D70000"/>
  </w:font>
  <w:font w:name="MathJax_Vector">
    <w:panose1 w:val="02000603000000000000"/>
    <w:charset w:val="00"/>
    <w:family w:val="auto"/>
    <w:pitch w:val="default"/>
    <w:sig w:usb0="00000001" w:usb1="0000002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943158">
    <w:pPr>
      <w:spacing w:line="14" w:lineRule="auto"/>
      <w:rPr>
        <w:rFonts w:ascii="Arial"/>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75C204">
    <w:pPr>
      <w:spacing w:line="176" w:lineRule="auto"/>
      <w:ind w:left="4434"/>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2A467B">
    <w:pPr>
      <w:spacing w:line="176" w:lineRule="auto"/>
      <w:ind w:left="437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99</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EBF9AF">
    <w:pPr>
      <w:spacing w:line="176" w:lineRule="auto"/>
      <w:ind w:left="4345"/>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100</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1BC13">
    <w:pPr>
      <w:spacing w:line="176" w:lineRule="auto"/>
      <w:ind w:left="4345"/>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101</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658EAE">
    <w:pPr>
      <w:spacing w:line="176" w:lineRule="auto"/>
      <w:ind w:left="4345"/>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102</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CAF945">
    <w:pPr>
      <w:spacing w:line="176" w:lineRule="auto"/>
      <w:ind w:left="4345"/>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103</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D16B0">
    <w:pPr>
      <w:spacing w:line="176" w:lineRule="auto"/>
      <w:ind w:left="4345"/>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104</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0B292B">
    <w:pPr>
      <w:spacing w:line="176" w:lineRule="auto"/>
      <w:ind w:left="4345"/>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105</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D44651">
    <w:pPr>
      <w:spacing w:line="176" w:lineRule="auto"/>
      <w:ind w:left="4345"/>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106</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85936">
    <w:pPr>
      <w:spacing w:line="176" w:lineRule="auto"/>
      <w:ind w:left="4345"/>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107</w: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54CD64">
    <w:pPr>
      <w:spacing w:line="176" w:lineRule="auto"/>
      <w:ind w:left="4345"/>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108</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DB9061">
    <w:pPr>
      <w:spacing w:line="176" w:lineRule="auto"/>
      <w:ind w:left="4402"/>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10</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792232">
    <w:pPr>
      <w:spacing w:line="176" w:lineRule="auto"/>
      <w:ind w:left="4345"/>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109</w: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BB198">
    <w:pPr>
      <w:spacing w:line="176" w:lineRule="auto"/>
      <w:ind w:left="4348"/>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110</w: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D0AFD">
    <w:pPr>
      <w:spacing w:line="176" w:lineRule="auto"/>
      <w:ind w:left="4355"/>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111</w: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72C50E">
    <w:pPr>
      <w:spacing w:line="176" w:lineRule="auto"/>
      <w:ind w:left="4353"/>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112</w: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7E833D">
    <w:pPr>
      <w:spacing w:line="176" w:lineRule="auto"/>
      <w:ind w:left="4353"/>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113</w: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56D42">
    <w:pPr>
      <w:spacing w:line="176" w:lineRule="auto"/>
      <w:ind w:left="4353"/>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114</w: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FBF851">
    <w:pPr>
      <w:spacing w:line="14" w:lineRule="auto"/>
      <w:rPr>
        <w:rFonts w:ascii="Arial"/>
        <w:sz w:val="2"/>
      </w:rPr>
    </w:pP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030D9B">
    <w:pPr>
      <w:spacing w:line="490" w:lineRule="exact"/>
      <w:ind w:firstLine="9727"/>
    </w:pPr>
    <w:r>
      <w:rPr>
        <w:position w:val="-9"/>
      </w:rPr>
      <w:drawing>
        <wp:inline distT="0" distB="0" distL="0" distR="0">
          <wp:extent cx="939800" cy="311150"/>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
                  <a:stretch>
                    <a:fillRect/>
                  </a:stretch>
                </pic:blipFill>
                <pic:spPr>
                  <a:xfrm>
                    <a:off x="0" y="0"/>
                    <a:ext cx="939967" cy="311150"/>
                  </a:xfrm>
                  <a:prstGeom prst="rect">
                    <a:avLst/>
                  </a:prstGeom>
                </pic:spPr>
              </pic:pic>
            </a:graphicData>
          </a:graphic>
        </wp:inline>
      </w:drawing>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A621DE">
    <w:pPr>
      <w:spacing w:line="14" w:lineRule="auto"/>
      <w:rPr>
        <w:rFonts w:ascii="Arial"/>
        <w:sz w:val="2"/>
      </w:rP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93C574">
    <w:pPr>
      <w:spacing w:line="535" w:lineRule="exact"/>
      <w:ind w:firstLine="6885"/>
    </w:pPr>
    <w:r>
      <w:rPr>
        <w:position w:val="-10"/>
      </w:rPr>
      <w:drawing>
        <wp:inline distT="0" distB="0" distL="0" distR="0">
          <wp:extent cx="1804035" cy="339725"/>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
                  <a:stretch>
                    <a:fillRect/>
                  </a:stretch>
                </pic:blipFill>
                <pic:spPr>
                  <a:xfrm>
                    <a:off x="0" y="0"/>
                    <a:ext cx="1804229" cy="340359"/>
                  </a:xfrm>
                  <a:prstGeom prst="rect">
                    <a:avLst/>
                  </a:prstGeom>
                </pic:spPr>
              </pic:pic>
            </a:graphicData>
          </a:graphic>
        </wp:inline>
      </w:drawing>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8A5770">
    <w:pPr>
      <w:spacing w:line="176" w:lineRule="auto"/>
      <w:ind w:left="4407"/>
      <w:rPr>
        <w:rFonts w:ascii="Times New Roman" w:hAnsi="Times New Roman" w:eastAsia="Times New Roman" w:cs="Times New Roman"/>
        <w:sz w:val="18"/>
        <w:szCs w:val="18"/>
      </w:rPr>
    </w:pPr>
    <w:r>
      <w:rPr>
        <w:rFonts w:ascii="Times New Roman" w:hAnsi="Times New Roman" w:eastAsia="Times New Roman" w:cs="Times New Roman"/>
        <w:spacing w:val="-11"/>
        <w:sz w:val="18"/>
        <w:szCs w:val="18"/>
      </w:rPr>
      <w:t>11</w: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6A055B">
    <w:pPr>
      <w:spacing w:line="490" w:lineRule="exact"/>
      <w:ind w:firstLine="9881"/>
    </w:pPr>
    <w:r>
      <w:rPr>
        <w:position w:val="-9"/>
      </w:rPr>
      <w:drawing>
        <wp:inline distT="0" distB="0" distL="0" distR="0">
          <wp:extent cx="939800" cy="311150"/>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
                  <a:stretch>
                    <a:fillRect/>
                  </a:stretch>
                </pic:blipFill>
                <pic:spPr>
                  <a:xfrm>
                    <a:off x="0" y="0"/>
                    <a:ext cx="939967" cy="311150"/>
                  </a:xfrm>
                  <a:prstGeom prst="rect">
                    <a:avLst/>
                  </a:prstGeom>
                </pic:spPr>
              </pic:pic>
            </a:graphicData>
          </a:graphic>
        </wp:inline>
      </w:drawing>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DFC87">
    <w:pPr>
      <w:spacing w:line="14" w:lineRule="auto"/>
      <w:rPr>
        <w:rFonts w:ascii="Arial"/>
        <w:sz w:val="2"/>
      </w:rPr>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4B42AB">
    <w:pPr>
      <w:spacing w:before="1" w:line="227" w:lineRule="auto"/>
      <w:ind w:left="8187"/>
      <w:rPr>
        <w:rFonts w:ascii="Times New Roman" w:hAnsi="Times New Roman" w:eastAsia="Times New Roman" w:cs="Times New Roman"/>
        <w:sz w:val="28"/>
        <w:szCs w:val="28"/>
      </w:rPr>
    </w:pPr>
    <w:r>
      <w:rPr>
        <w:rFonts w:ascii="Times New Roman" w:hAnsi="Times New Roman" w:eastAsia="Times New Roman" w:cs="Times New Roman"/>
        <w:spacing w:val="-6"/>
        <w:sz w:val="28"/>
        <w:szCs w:val="28"/>
      </w:rPr>
      <w:t>-</w:t>
    </w:r>
    <w:r>
      <w:rPr>
        <w:rFonts w:ascii="Times New Roman" w:hAnsi="Times New Roman" w:eastAsia="Times New Roman" w:cs="Times New Roman"/>
        <w:spacing w:val="5"/>
        <w:sz w:val="28"/>
        <w:szCs w:val="28"/>
      </w:rPr>
      <w:t xml:space="preserve"> </w:t>
    </w:r>
    <w:r>
      <w:rPr>
        <w:rFonts w:ascii="Times New Roman" w:hAnsi="Times New Roman" w:eastAsia="Times New Roman" w:cs="Times New Roman"/>
        <w:spacing w:val="-6"/>
        <w:sz w:val="28"/>
        <w:szCs w:val="28"/>
      </w:rPr>
      <w:t>2</w:t>
    </w:r>
    <w:r>
      <w:rPr>
        <w:rFonts w:ascii="Times New Roman" w:hAnsi="Times New Roman" w:eastAsia="Times New Roman" w:cs="Times New Roman"/>
        <w:spacing w:val="13"/>
        <w:sz w:val="28"/>
        <w:szCs w:val="28"/>
      </w:rPr>
      <w:t xml:space="preserve"> </w:t>
    </w:r>
    <w:r>
      <w:rPr>
        <w:rFonts w:ascii="Times New Roman" w:hAnsi="Times New Roman" w:eastAsia="Times New Roman" w:cs="Times New Roman"/>
        <w:spacing w:val="-6"/>
        <w:sz w:val="28"/>
        <w:szCs w:val="28"/>
      </w:rPr>
      <w:t>-</w: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69B475">
    <w:pPr>
      <w:spacing w:line="14" w:lineRule="auto"/>
      <w:rPr>
        <w:rFonts w:ascii="Arial"/>
        <w:sz w:val="2"/>
      </w:rP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12438">
    <w:pPr>
      <w:spacing w:line="14" w:lineRule="auto"/>
      <w:rPr>
        <w:rFonts w:ascii="Arial"/>
        <w:sz w:val="2"/>
      </w:rP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4A5362">
    <w:pPr>
      <w:pStyle w:val="2"/>
      <w:spacing w:line="223" w:lineRule="auto"/>
      <w:ind w:left="3858"/>
      <w:rPr>
        <w:sz w:val="18"/>
        <w:szCs w:val="18"/>
      </w:rPr>
    </w:pPr>
    <w:r>
      <w:rPr>
        <w:spacing w:val="-10"/>
        <w:sz w:val="18"/>
        <w:szCs w:val="18"/>
      </w:rPr>
      <w:t>第</w:t>
    </w:r>
    <w:r>
      <w:rPr>
        <w:spacing w:val="19"/>
        <w:sz w:val="18"/>
        <w:szCs w:val="18"/>
      </w:rPr>
      <w:t xml:space="preserve"> </w:t>
    </w:r>
    <w:r>
      <w:rPr>
        <w:spacing w:val="-10"/>
        <w:sz w:val="18"/>
        <w:szCs w:val="18"/>
      </w:rPr>
      <w:t>1</w:t>
    </w:r>
    <w:r>
      <w:rPr>
        <w:spacing w:val="12"/>
        <w:sz w:val="18"/>
        <w:szCs w:val="18"/>
      </w:rPr>
      <w:t xml:space="preserve"> </w:t>
    </w:r>
    <w:r>
      <w:rPr>
        <w:spacing w:val="-10"/>
        <w:sz w:val="18"/>
        <w:szCs w:val="18"/>
      </w:rPr>
      <w:t>页</w: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24D2F">
    <w:pPr>
      <w:pStyle w:val="2"/>
      <w:spacing w:line="223" w:lineRule="auto"/>
      <w:ind w:left="3964"/>
      <w:rPr>
        <w:sz w:val="18"/>
        <w:szCs w:val="18"/>
      </w:rPr>
    </w:pPr>
    <w:r>
      <w:rPr>
        <w:spacing w:val="-3"/>
        <w:sz w:val="18"/>
        <w:szCs w:val="18"/>
      </w:rPr>
      <w:t xml:space="preserve">第 </w:t>
    </w:r>
    <w:r>
      <w:rPr>
        <w:rFonts w:ascii="Times New Roman" w:hAnsi="Times New Roman" w:eastAsia="Times New Roman" w:cs="Times New Roman"/>
        <w:spacing w:val="-3"/>
        <w:sz w:val="18"/>
        <w:szCs w:val="18"/>
      </w:rPr>
      <w:t>2</w:t>
    </w:r>
    <w:r>
      <w:rPr>
        <w:rFonts w:ascii="Times New Roman" w:hAnsi="Times New Roman" w:eastAsia="Times New Roman" w:cs="Times New Roman"/>
        <w:spacing w:val="6"/>
        <w:sz w:val="18"/>
        <w:szCs w:val="18"/>
      </w:rPr>
      <w:t xml:space="preserve">  </w:t>
    </w:r>
    <w:r>
      <w:rPr>
        <w:spacing w:val="-3"/>
        <w:sz w:val="18"/>
        <w:szCs w:val="18"/>
      </w:rPr>
      <w:t>页</w: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285125">
    <w:pPr>
      <w:pStyle w:val="2"/>
      <w:spacing w:line="223" w:lineRule="auto"/>
      <w:ind w:left="3858"/>
      <w:rPr>
        <w:sz w:val="18"/>
        <w:szCs w:val="18"/>
      </w:rPr>
    </w:pPr>
    <w:r>
      <w:rPr>
        <w:spacing w:val="-5"/>
        <w:sz w:val="18"/>
        <w:szCs w:val="18"/>
      </w:rPr>
      <w:t>第</w:t>
    </w:r>
    <w:r>
      <w:rPr>
        <w:spacing w:val="5"/>
        <w:sz w:val="18"/>
        <w:szCs w:val="18"/>
      </w:rPr>
      <w:t xml:space="preserve"> </w:t>
    </w:r>
    <w:r>
      <w:rPr>
        <w:rFonts w:ascii="Times New Roman" w:hAnsi="Times New Roman" w:eastAsia="Times New Roman" w:cs="Times New Roman"/>
        <w:spacing w:val="-5"/>
        <w:sz w:val="18"/>
        <w:szCs w:val="18"/>
      </w:rPr>
      <w:t>3</w:t>
    </w:r>
    <w:r>
      <w:rPr>
        <w:rFonts w:ascii="Times New Roman" w:hAnsi="Times New Roman" w:eastAsia="Times New Roman" w:cs="Times New Roman"/>
        <w:spacing w:val="5"/>
        <w:sz w:val="18"/>
        <w:szCs w:val="18"/>
      </w:rPr>
      <w:t xml:space="preserve">  </w:t>
    </w:r>
    <w:r>
      <w:rPr>
        <w:spacing w:val="-5"/>
        <w:sz w:val="18"/>
        <w:szCs w:val="18"/>
      </w:rPr>
      <w:t>页</w: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3F2A2B">
    <w:pPr>
      <w:pStyle w:val="2"/>
      <w:spacing w:line="223" w:lineRule="auto"/>
      <w:ind w:left="3858"/>
      <w:rPr>
        <w:sz w:val="18"/>
        <w:szCs w:val="18"/>
      </w:rPr>
    </w:pPr>
    <w:r>
      <w:rPr>
        <w:spacing w:val="-3"/>
        <w:sz w:val="18"/>
        <w:szCs w:val="18"/>
      </w:rPr>
      <w:t xml:space="preserve">第 </w:t>
    </w:r>
    <w:r>
      <w:rPr>
        <w:rFonts w:ascii="Times New Roman" w:hAnsi="Times New Roman" w:eastAsia="Times New Roman" w:cs="Times New Roman"/>
        <w:spacing w:val="-3"/>
        <w:sz w:val="18"/>
        <w:szCs w:val="18"/>
      </w:rPr>
      <w:t>4</w:t>
    </w:r>
    <w:r>
      <w:rPr>
        <w:rFonts w:ascii="Times New Roman" w:hAnsi="Times New Roman" w:eastAsia="Times New Roman" w:cs="Times New Roman"/>
        <w:spacing w:val="6"/>
        <w:sz w:val="18"/>
        <w:szCs w:val="18"/>
      </w:rPr>
      <w:t xml:space="preserve">  </w:t>
    </w:r>
    <w:r>
      <w:rPr>
        <w:spacing w:val="-3"/>
        <w:sz w:val="18"/>
        <w:szCs w:val="18"/>
      </w:rPr>
      <w:t>页</w: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1C147">
    <w:pPr>
      <w:pStyle w:val="2"/>
      <w:spacing w:line="223" w:lineRule="auto"/>
      <w:ind w:left="3858"/>
      <w:rPr>
        <w:sz w:val="18"/>
        <w:szCs w:val="18"/>
      </w:rPr>
    </w:pPr>
    <w:r>
      <w:rPr>
        <w:spacing w:val="-6"/>
        <w:sz w:val="18"/>
        <w:szCs w:val="18"/>
      </w:rPr>
      <w:t>第</w:t>
    </w:r>
    <w:r>
      <w:rPr>
        <w:spacing w:val="7"/>
        <w:sz w:val="18"/>
        <w:szCs w:val="18"/>
      </w:rPr>
      <w:t xml:space="preserve"> </w:t>
    </w:r>
    <w:r>
      <w:rPr>
        <w:rFonts w:ascii="Times New Roman" w:hAnsi="Times New Roman" w:eastAsia="Times New Roman" w:cs="Times New Roman"/>
        <w:spacing w:val="-6"/>
        <w:sz w:val="18"/>
        <w:szCs w:val="18"/>
      </w:rPr>
      <w:t>5</w:t>
    </w:r>
    <w:r>
      <w:rPr>
        <w:rFonts w:ascii="Times New Roman" w:hAnsi="Times New Roman" w:eastAsia="Times New Roman" w:cs="Times New Roman"/>
        <w:spacing w:val="6"/>
        <w:sz w:val="18"/>
        <w:szCs w:val="18"/>
      </w:rPr>
      <w:t xml:space="preserve">  </w:t>
    </w:r>
    <w:r>
      <w:rPr>
        <w:spacing w:val="-6"/>
        <w:sz w:val="18"/>
        <w:szCs w:val="18"/>
      </w:rPr>
      <w:t>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8EC7AB">
    <w:pPr>
      <w:spacing w:line="176" w:lineRule="auto"/>
      <w:ind w:left="4402"/>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12</w: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76E3AD">
    <w:pPr>
      <w:pStyle w:val="2"/>
      <w:spacing w:line="223" w:lineRule="auto"/>
      <w:ind w:left="3858"/>
      <w:rPr>
        <w:sz w:val="18"/>
        <w:szCs w:val="18"/>
      </w:rPr>
    </w:pPr>
    <w:r>
      <w:rPr>
        <w:spacing w:val="-5"/>
        <w:sz w:val="18"/>
        <w:szCs w:val="18"/>
      </w:rPr>
      <w:t>第</w:t>
    </w:r>
    <w:r>
      <w:rPr>
        <w:spacing w:val="5"/>
        <w:sz w:val="18"/>
        <w:szCs w:val="18"/>
      </w:rPr>
      <w:t xml:space="preserve"> </w:t>
    </w:r>
    <w:r>
      <w:rPr>
        <w:rFonts w:ascii="Times New Roman" w:hAnsi="Times New Roman" w:eastAsia="Times New Roman" w:cs="Times New Roman"/>
        <w:spacing w:val="-5"/>
        <w:sz w:val="18"/>
        <w:szCs w:val="18"/>
      </w:rPr>
      <w:t>6</w:t>
    </w:r>
    <w:r>
      <w:rPr>
        <w:rFonts w:ascii="Times New Roman" w:hAnsi="Times New Roman" w:eastAsia="Times New Roman" w:cs="Times New Roman"/>
        <w:spacing w:val="5"/>
        <w:sz w:val="18"/>
        <w:szCs w:val="18"/>
      </w:rPr>
      <w:t xml:space="preserve">  </w:t>
    </w:r>
    <w:r>
      <w:rPr>
        <w:spacing w:val="-5"/>
        <w:sz w:val="18"/>
        <w:szCs w:val="18"/>
      </w:rPr>
      <w:t>页</w: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51CD0">
    <w:pPr>
      <w:spacing w:line="14" w:lineRule="auto"/>
      <w:rPr>
        <w:rFonts w:ascii="Arial"/>
        <w:sz w:val="2"/>
      </w:rPr>
    </w:pP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E75D3">
    <w:pPr>
      <w:spacing w:line="237" w:lineRule="auto"/>
      <w:ind w:left="4129"/>
      <w:rPr>
        <w:rFonts w:ascii="微软雅黑" w:hAnsi="微软雅黑" w:eastAsia="微软雅黑" w:cs="微软雅黑"/>
        <w:sz w:val="18"/>
        <w:szCs w:val="18"/>
      </w:rPr>
    </w:pPr>
    <w:r>
      <w:rPr>
        <w:rFonts w:ascii="微软雅黑" w:hAnsi="微软雅黑" w:eastAsia="微软雅黑" w:cs="微软雅黑"/>
        <w:sz w:val="18"/>
        <w:szCs w:val="18"/>
      </w:rPr>
      <w:t>1</w: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34D104">
    <w:pPr>
      <w:spacing w:line="237" w:lineRule="auto"/>
      <w:ind w:left="4122"/>
      <w:rPr>
        <w:rFonts w:ascii="微软雅黑" w:hAnsi="微软雅黑" w:eastAsia="微软雅黑" w:cs="微软雅黑"/>
        <w:sz w:val="18"/>
        <w:szCs w:val="18"/>
      </w:rPr>
    </w:pPr>
    <w:r>
      <w:rPr>
        <w:rFonts w:ascii="微软雅黑" w:hAnsi="微软雅黑" w:eastAsia="微软雅黑" w:cs="微软雅黑"/>
        <w:sz w:val="18"/>
        <w:szCs w:val="18"/>
      </w:rPr>
      <w:t>2</w: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D689F6">
    <w:pPr>
      <w:spacing w:line="235" w:lineRule="auto"/>
      <w:ind w:left="4125"/>
      <w:rPr>
        <w:rFonts w:ascii="微软雅黑" w:hAnsi="微软雅黑" w:eastAsia="微软雅黑" w:cs="微软雅黑"/>
        <w:sz w:val="18"/>
        <w:szCs w:val="18"/>
      </w:rPr>
    </w:pPr>
    <w:r>
      <w:rPr>
        <w:rFonts w:ascii="微软雅黑" w:hAnsi="微软雅黑" w:eastAsia="微软雅黑" w:cs="微软雅黑"/>
        <w:sz w:val="18"/>
        <w:szCs w:val="18"/>
      </w:rPr>
      <w:t>3</w: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DDE45">
    <w:pPr>
      <w:spacing w:line="237" w:lineRule="auto"/>
      <w:ind w:left="4114"/>
      <w:rPr>
        <w:rFonts w:ascii="微软雅黑" w:hAnsi="微软雅黑" w:eastAsia="微软雅黑" w:cs="微软雅黑"/>
        <w:sz w:val="18"/>
        <w:szCs w:val="18"/>
      </w:rPr>
    </w:pPr>
    <w:r>
      <w:rPr>
        <w:rFonts w:ascii="微软雅黑" w:hAnsi="微软雅黑" w:eastAsia="微软雅黑" w:cs="微软雅黑"/>
        <w:sz w:val="18"/>
        <w:szCs w:val="18"/>
      </w:rPr>
      <w:t>4</w: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AF0B0D">
    <w:pPr>
      <w:spacing w:line="235" w:lineRule="auto"/>
      <w:ind w:left="4128"/>
      <w:rPr>
        <w:rFonts w:ascii="微软雅黑" w:hAnsi="微软雅黑" w:eastAsia="微软雅黑" w:cs="微软雅黑"/>
        <w:sz w:val="18"/>
        <w:szCs w:val="18"/>
      </w:rPr>
    </w:pPr>
    <w:r>
      <w:rPr>
        <w:rFonts w:ascii="微软雅黑" w:hAnsi="微软雅黑" w:eastAsia="微软雅黑" w:cs="微软雅黑"/>
        <w:sz w:val="18"/>
        <w:szCs w:val="18"/>
      </w:rPr>
      <w:t>5</w: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FF0174">
    <w:pPr>
      <w:spacing w:line="235" w:lineRule="auto"/>
      <w:ind w:left="4123"/>
      <w:rPr>
        <w:rFonts w:ascii="微软雅黑" w:hAnsi="微软雅黑" w:eastAsia="微软雅黑" w:cs="微软雅黑"/>
        <w:sz w:val="18"/>
        <w:szCs w:val="18"/>
      </w:rPr>
    </w:pPr>
    <w:r>
      <w:rPr>
        <w:rFonts w:ascii="微软雅黑" w:hAnsi="微软雅黑" w:eastAsia="微软雅黑" w:cs="微软雅黑"/>
        <w:sz w:val="18"/>
        <w:szCs w:val="18"/>
      </w:rPr>
      <w:t>6</w: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17DA2B">
    <w:pPr>
      <w:spacing w:line="237" w:lineRule="auto"/>
      <w:ind w:left="4121"/>
      <w:rPr>
        <w:rFonts w:ascii="微软雅黑" w:hAnsi="微软雅黑" w:eastAsia="微软雅黑" w:cs="微软雅黑"/>
        <w:sz w:val="18"/>
        <w:szCs w:val="18"/>
      </w:rPr>
    </w:pPr>
    <w:r>
      <w:rPr>
        <w:rFonts w:ascii="微软雅黑" w:hAnsi="微软雅黑" w:eastAsia="微软雅黑" w:cs="微软雅黑"/>
        <w:sz w:val="18"/>
        <w:szCs w:val="18"/>
      </w:rPr>
      <w:t>7</w: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D69679">
    <w:pPr>
      <w:spacing w:line="235" w:lineRule="auto"/>
      <w:ind w:left="4122"/>
      <w:rPr>
        <w:rFonts w:ascii="微软雅黑" w:hAnsi="微软雅黑" w:eastAsia="微软雅黑" w:cs="微软雅黑"/>
        <w:sz w:val="18"/>
        <w:szCs w:val="18"/>
      </w:rPr>
    </w:pPr>
    <w:r>
      <w:rPr>
        <w:rFonts w:ascii="微软雅黑" w:hAnsi="微软雅黑" w:eastAsia="微软雅黑" w:cs="微软雅黑"/>
        <w:sz w:val="18"/>
        <w:szCs w:val="18"/>
      </w:rPr>
      <w:t>8</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6E7015">
    <w:pPr>
      <w:spacing w:line="176" w:lineRule="auto"/>
      <w:ind w:left="4402"/>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13</w: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2D3A89">
    <w:pPr>
      <w:spacing w:line="235" w:lineRule="auto"/>
      <w:ind w:left="4122"/>
      <w:rPr>
        <w:rFonts w:ascii="微软雅黑" w:hAnsi="微软雅黑" w:eastAsia="微软雅黑" w:cs="微软雅黑"/>
        <w:sz w:val="18"/>
        <w:szCs w:val="18"/>
      </w:rPr>
    </w:pPr>
    <w:r>
      <w:rPr>
        <w:rFonts w:ascii="微软雅黑" w:hAnsi="微软雅黑" w:eastAsia="微软雅黑" w:cs="微软雅黑"/>
        <w:sz w:val="18"/>
        <w:szCs w:val="18"/>
      </w:rPr>
      <w:t>9</w: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A5BD1C">
    <w:pPr>
      <w:spacing w:line="14" w:lineRule="auto"/>
      <w:rPr>
        <w:rFonts w:ascii="Arial"/>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F829AC">
    <w:pPr>
      <w:spacing w:line="176" w:lineRule="auto"/>
      <w:ind w:left="4402"/>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14</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10F93">
    <w:pPr>
      <w:spacing w:line="176" w:lineRule="auto"/>
      <w:ind w:left="4402"/>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15</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C0DEE8">
    <w:pPr>
      <w:spacing w:line="176" w:lineRule="auto"/>
      <w:ind w:left="4402"/>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16</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FF343D">
    <w:pPr>
      <w:spacing w:line="176" w:lineRule="auto"/>
      <w:ind w:left="4402"/>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17</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FCA6DD">
    <w:pPr>
      <w:spacing w:line="176" w:lineRule="auto"/>
      <w:ind w:left="4402"/>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CDAB5A">
    <w:pPr>
      <w:spacing w:line="176" w:lineRule="auto"/>
      <w:ind w:left="4448"/>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512F6">
    <w:pPr>
      <w:spacing w:line="176" w:lineRule="auto"/>
      <w:ind w:left="4402"/>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19</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D46243">
    <w:pPr>
      <w:spacing w:line="176" w:lineRule="auto"/>
      <w:ind w:left="438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20</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71847E">
    <w:pPr>
      <w:spacing w:line="176" w:lineRule="auto"/>
      <w:ind w:left="438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21</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765956">
    <w:pPr>
      <w:spacing w:line="176" w:lineRule="auto"/>
      <w:ind w:left="437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22</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6F6104">
    <w:pPr>
      <w:spacing w:line="176" w:lineRule="auto"/>
      <w:ind w:left="437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23</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24DE79">
    <w:pPr>
      <w:spacing w:line="176" w:lineRule="auto"/>
      <w:ind w:left="437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24</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722D0">
    <w:pPr>
      <w:spacing w:line="176" w:lineRule="auto"/>
      <w:ind w:left="437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25</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85370D">
    <w:pPr>
      <w:spacing w:line="176" w:lineRule="auto"/>
      <w:ind w:left="437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26</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ABE048">
    <w:pPr>
      <w:spacing w:line="176" w:lineRule="auto"/>
      <w:ind w:left="437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27</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2035BE">
    <w:pPr>
      <w:spacing w:line="176" w:lineRule="auto"/>
      <w:ind w:left="437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3C42BD">
    <w:pPr>
      <w:spacing w:line="176" w:lineRule="auto"/>
      <w:ind w:left="4431"/>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60D76">
    <w:pPr>
      <w:spacing w:line="176" w:lineRule="auto"/>
      <w:ind w:left="437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29</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095E50">
    <w:pPr>
      <w:spacing w:line="176" w:lineRule="auto"/>
      <w:ind w:left="438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30</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6AA61A">
    <w:pPr>
      <w:spacing w:line="176" w:lineRule="auto"/>
      <w:ind w:left="438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31</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3F887">
    <w:pPr>
      <w:spacing w:line="176" w:lineRule="auto"/>
      <w:ind w:left="438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32</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59569A">
    <w:pPr>
      <w:spacing w:line="176" w:lineRule="auto"/>
      <w:ind w:left="438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33</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385451">
    <w:pPr>
      <w:spacing w:line="176" w:lineRule="auto"/>
      <w:ind w:left="438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34</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C7A3C3">
    <w:pPr>
      <w:spacing w:line="176" w:lineRule="auto"/>
      <w:ind w:left="438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35</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965D46">
    <w:pPr>
      <w:spacing w:line="176" w:lineRule="auto"/>
      <w:ind w:left="438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36</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DD5944">
    <w:pPr>
      <w:spacing w:line="176" w:lineRule="auto"/>
      <w:ind w:left="438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37</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E484C">
    <w:pPr>
      <w:spacing w:line="176" w:lineRule="auto"/>
      <w:ind w:left="438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38</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940E0B">
    <w:pPr>
      <w:spacing w:line="176" w:lineRule="auto"/>
      <w:ind w:left="4434"/>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93D9BD">
    <w:pPr>
      <w:spacing w:line="176" w:lineRule="auto"/>
      <w:ind w:left="438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39</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59145">
    <w:pPr>
      <w:spacing w:line="176" w:lineRule="auto"/>
      <w:ind w:left="437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1345F2">
    <w:pPr>
      <w:spacing w:line="176" w:lineRule="auto"/>
      <w:ind w:left="437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41</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8670D0">
    <w:pPr>
      <w:spacing w:line="176" w:lineRule="auto"/>
      <w:ind w:left="437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42</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E63300">
    <w:pPr>
      <w:spacing w:line="176" w:lineRule="auto"/>
      <w:ind w:left="437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43</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FF134">
    <w:pPr>
      <w:spacing w:line="176" w:lineRule="auto"/>
      <w:ind w:left="437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BAF96">
    <w:pPr>
      <w:spacing w:line="176" w:lineRule="auto"/>
      <w:ind w:left="437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45</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CE7F3E">
    <w:pPr>
      <w:spacing w:line="176" w:lineRule="auto"/>
      <w:ind w:left="441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46</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6E662F">
    <w:pPr>
      <w:spacing w:line="176" w:lineRule="auto"/>
      <w:ind w:left="441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47</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BFC41">
    <w:pPr>
      <w:spacing w:line="176" w:lineRule="auto"/>
      <w:ind w:left="441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48</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3973C8">
    <w:pPr>
      <w:spacing w:line="176" w:lineRule="auto"/>
      <w:ind w:left="4430"/>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04D8B">
    <w:pPr>
      <w:spacing w:line="176" w:lineRule="auto"/>
      <w:ind w:left="441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49</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D8FE65">
    <w:pPr>
      <w:spacing w:line="176" w:lineRule="auto"/>
      <w:ind w:left="441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50</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0D1DE8">
    <w:pPr>
      <w:spacing w:line="176" w:lineRule="auto"/>
      <w:ind w:left="441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51</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5B3EAE">
    <w:pPr>
      <w:spacing w:line="176" w:lineRule="auto"/>
      <w:ind w:left="441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52</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C468D2">
    <w:pPr>
      <w:spacing w:line="176" w:lineRule="auto"/>
      <w:ind w:left="441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53</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DE4CF">
    <w:pPr>
      <w:spacing w:line="176" w:lineRule="auto"/>
      <w:ind w:left="441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54</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68174D">
    <w:pPr>
      <w:spacing w:line="173" w:lineRule="auto"/>
      <w:ind w:left="441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55</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E1BB0">
    <w:pPr>
      <w:spacing w:line="176" w:lineRule="auto"/>
      <w:ind w:left="437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56</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7818FC">
    <w:pPr>
      <w:spacing w:line="173" w:lineRule="auto"/>
      <w:ind w:left="437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57</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184A9D">
    <w:pPr>
      <w:spacing w:line="176" w:lineRule="auto"/>
      <w:ind w:left="437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58</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3F171">
    <w:pPr>
      <w:spacing w:line="173" w:lineRule="auto"/>
      <w:ind w:left="4436"/>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CF731C">
    <w:pPr>
      <w:spacing w:line="176" w:lineRule="auto"/>
      <w:ind w:left="437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59</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8B21A8">
    <w:pPr>
      <w:spacing w:line="176" w:lineRule="auto"/>
      <w:ind w:left="437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60</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0322E2">
    <w:pPr>
      <w:spacing w:line="176" w:lineRule="auto"/>
      <w:ind w:left="437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61</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F4EA7F">
    <w:pPr>
      <w:spacing w:line="176" w:lineRule="auto"/>
      <w:ind w:left="437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62</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E833F">
    <w:pPr>
      <w:spacing w:line="176" w:lineRule="auto"/>
      <w:ind w:left="437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63</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285324">
    <w:pPr>
      <w:spacing w:line="176" w:lineRule="auto"/>
      <w:ind w:left="437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64</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AB11EE">
    <w:pPr>
      <w:spacing w:line="176" w:lineRule="auto"/>
      <w:ind w:left="437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65</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92B801">
    <w:pPr>
      <w:spacing w:line="176" w:lineRule="auto"/>
      <w:ind w:left="437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66</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4B3DC">
    <w:pPr>
      <w:spacing w:line="176" w:lineRule="auto"/>
      <w:ind w:left="437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67</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4FA02">
    <w:pPr>
      <w:spacing w:line="176" w:lineRule="auto"/>
      <w:ind w:left="437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68</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D553F6">
    <w:pPr>
      <w:spacing w:line="176" w:lineRule="auto"/>
      <w:ind w:left="4435"/>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BAEE58">
    <w:pPr>
      <w:spacing w:line="176" w:lineRule="auto"/>
      <w:ind w:left="437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69</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41D329">
    <w:pPr>
      <w:spacing w:line="176" w:lineRule="auto"/>
      <w:ind w:left="437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70</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6D621F">
    <w:pPr>
      <w:spacing w:line="176" w:lineRule="auto"/>
      <w:ind w:left="437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71</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2E4A0">
    <w:pPr>
      <w:spacing w:line="176" w:lineRule="auto"/>
      <w:ind w:left="437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72</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679DB5">
    <w:pPr>
      <w:spacing w:line="176" w:lineRule="auto"/>
      <w:ind w:left="437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73</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7E7D6A">
    <w:pPr>
      <w:spacing w:line="176" w:lineRule="auto"/>
      <w:ind w:left="437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74</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977C8A">
    <w:pPr>
      <w:spacing w:line="173" w:lineRule="auto"/>
      <w:ind w:left="437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75</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CCC058">
    <w:pPr>
      <w:spacing w:line="176" w:lineRule="auto"/>
      <w:ind w:left="437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76</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43382E">
    <w:pPr>
      <w:spacing w:line="173" w:lineRule="auto"/>
      <w:ind w:left="437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77</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1FA72D">
    <w:pPr>
      <w:spacing w:line="176" w:lineRule="auto"/>
      <w:ind w:left="437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78</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4518AF">
    <w:pPr>
      <w:spacing w:line="173" w:lineRule="auto"/>
      <w:ind w:left="4434"/>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C742F8">
    <w:pPr>
      <w:spacing w:line="176" w:lineRule="auto"/>
      <w:ind w:left="437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79</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5C3D35">
    <w:pPr>
      <w:spacing w:line="176" w:lineRule="auto"/>
      <w:ind w:left="437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80</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C423FB">
    <w:pPr>
      <w:spacing w:line="176" w:lineRule="auto"/>
      <w:ind w:left="437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81</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854D80">
    <w:pPr>
      <w:spacing w:line="176" w:lineRule="auto"/>
      <w:ind w:left="437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82</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4239A">
    <w:pPr>
      <w:spacing w:line="176" w:lineRule="auto"/>
      <w:ind w:left="437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83</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7EBB64">
    <w:pPr>
      <w:spacing w:line="176" w:lineRule="auto"/>
      <w:ind w:left="437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84</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DA1505">
    <w:pPr>
      <w:spacing w:line="176" w:lineRule="auto"/>
      <w:ind w:left="437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85</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DA1B75">
    <w:pPr>
      <w:spacing w:line="176" w:lineRule="auto"/>
      <w:ind w:left="437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86</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C66DEB">
    <w:pPr>
      <w:spacing w:line="176" w:lineRule="auto"/>
      <w:ind w:left="437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87</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E7527">
    <w:pPr>
      <w:spacing w:line="176" w:lineRule="auto"/>
      <w:ind w:left="437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9858CB">
    <w:pPr>
      <w:spacing w:line="176" w:lineRule="auto"/>
      <w:ind w:left="4438"/>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996D46">
    <w:pPr>
      <w:spacing w:line="176" w:lineRule="auto"/>
      <w:ind w:left="437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89</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D189D">
    <w:pPr>
      <w:spacing w:line="176" w:lineRule="auto"/>
      <w:ind w:left="437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90</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FA832">
    <w:pPr>
      <w:spacing w:line="176" w:lineRule="auto"/>
      <w:ind w:left="437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91</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5497D">
    <w:pPr>
      <w:spacing w:line="176" w:lineRule="auto"/>
      <w:ind w:left="437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92</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6B4DA7">
    <w:pPr>
      <w:spacing w:line="176" w:lineRule="auto"/>
      <w:ind w:left="437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93</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D3BC41">
    <w:pPr>
      <w:spacing w:line="176" w:lineRule="auto"/>
      <w:ind w:left="437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94</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9890A6">
    <w:pPr>
      <w:spacing w:line="176" w:lineRule="auto"/>
      <w:ind w:left="437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95</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3911D">
    <w:pPr>
      <w:spacing w:line="176" w:lineRule="auto"/>
      <w:ind w:left="437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96</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85F2B8">
    <w:pPr>
      <w:spacing w:line="176" w:lineRule="auto"/>
      <w:ind w:left="437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97</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66E93">
    <w:pPr>
      <w:spacing w:line="176" w:lineRule="auto"/>
      <w:ind w:left="437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27770">
    <w:pPr>
      <w:spacing w:line="14" w:lineRule="auto"/>
      <w:rPr>
        <w:rFonts w:ascii="Arial"/>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76507C">
    <w:pPr>
      <w:spacing w:line="14" w:lineRule="auto"/>
      <w:rPr>
        <w:rFonts w:ascii="Arial"/>
        <w:sz w:val="2"/>
      </w:rPr>
    </w:pPr>
    <w:r>
      <w:pict>
        <v:shape id="WordPictureWatermark292" o:spid="_x0000_s2057" o:spt="75" type="#_x0000_t75" style="position:absolute;left:0pt;margin-left:0pt;margin-top:0pt;height:841.7pt;width:595.25pt;mso-position-horizontal-relative:page;mso-position-vertical-relative:page;z-index:251666432;mso-width-relative:page;mso-height-relative:page;" filled="f" stroked="f" coordsize="21600,21600" o:allowincell="f">
          <v:path/>
          <v:fill on="f" focussize="0,0"/>
          <v:stroke on="f"/>
          <v:imagedata r:id="rId1" o:title=""/>
          <o:lock v:ext="edit" aspectratio="t"/>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AB59AF">
    <w:pPr>
      <w:spacing w:line="14" w:lineRule="auto"/>
      <w:rPr>
        <w:rFonts w:ascii="Arial"/>
        <w:sz w:val="2"/>
      </w:rPr>
    </w:pPr>
    <w:r>
      <w:pict>
        <v:shape id="WordPictureWatermark294" o:spid="_x0000_s2058" o:spt="75" type="#_x0000_t75" style="position:absolute;left:0pt;margin-left:0pt;margin-top:0pt;height:841.7pt;width:595.25pt;mso-position-horizontal-relative:page;mso-position-vertical-relative:page;z-index:251667456;mso-width-relative:page;mso-height-relative:page;" filled="f" stroked="f" coordsize="21600,21600" o:allowincell="f">
          <v:path/>
          <v:fill on="f" focussize="0,0"/>
          <v:stroke on="f"/>
          <v:imagedata r:id="rId1" o:title=""/>
          <o:lock v:ext="edit" aspectratio="t"/>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DCA141">
    <w:pPr>
      <w:spacing w:line="14" w:lineRule="auto"/>
      <w:rPr>
        <w:rFonts w:ascii="Arial"/>
        <w:sz w:val="2"/>
      </w:rPr>
    </w:pPr>
    <w:r>
      <w:pict>
        <v:shape id="WordPictureWatermark296" o:spid="_x0000_s2059" o:spt="75" type="#_x0000_t75" style="position:absolute;left:0pt;margin-left:0pt;margin-top:0pt;height:841.7pt;width:595.25pt;mso-position-horizontal-relative:page;mso-position-vertical-relative:page;z-index:251668480;mso-width-relative:page;mso-height-relative:page;" filled="f" stroked="f" coordsize="21600,21600" o:allowincell="f">
          <v:path/>
          <v:fill on="f" focussize="0,0"/>
          <v:stroke on="f"/>
          <v:imagedata r:id="rId1" o:title=""/>
          <o:lock v:ext="edit" aspectratio="t"/>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FA74CA">
    <w:pPr>
      <w:spacing w:line="14" w:lineRule="auto"/>
      <w:rPr>
        <w:rFonts w:ascii="Arial"/>
        <w:sz w:val="2"/>
      </w:rPr>
    </w:pPr>
    <w:r>
      <w:pict>
        <v:shape id="WordPictureWatermark298" o:spid="_x0000_s2060" o:spt="75" type="#_x0000_t75" style="position:absolute;left:0pt;margin-left:0pt;margin-top:0pt;height:841.7pt;width:595.25pt;mso-position-horizontal-relative:page;mso-position-vertical-relative:page;z-index:251669504;mso-width-relative:page;mso-height-relative:page;" filled="f" stroked="f" coordsize="21600,21600" o:allowincell="f">
          <v:path/>
          <v:fill on="f" focussize="0,0"/>
          <v:stroke on="f"/>
          <v:imagedata r:id="rId1" o:title=""/>
          <o:lock v:ext="edit" aspectratio="t"/>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048286">
    <w:pPr>
      <w:spacing w:line="14" w:lineRule="auto"/>
      <w:rPr>
        <w:rFonts w:ascii="Arial"/>
        <w:sz w:val="2"/>
      </w:rPr>
    </w:pPr>
    <w:r>
      <w:pict>
        <v:shape id="WordPictureWatermark300" o:spid="_x0000_s2061" o:spt="75" type="#_x0000_t75" style="position:absolute;left:0pt;margin-left:0pt;margin-top:0pt;height:841.7pt;width:595.25pt;mso-position-horizontal-relative:page;mso-position-vertical-relative:page;z-index:251670528;mso-width-relative:page;mso-height-relative:page;" filled="f" stroked="f" coordsize="21600,21600" o:allowincell="f">
          <v:path/>
          <v:fill on="f" focussize="0,0"/>
          <v:stroke on="f"/>
          <v:imagedata r:id="rId1" o:title=""/>
          <o:lock v:ext="edit" aspectratio="t"/>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FB776A">
    <w:pPr>
      <w:spacing w:line="14" w:lineRule="auto"/>
      <w:rPr>
        <w:rFonts w:ascii="Arial"/>
        <w:sz w:val="2"/>
      </w:rPr>
    </w:pPr>
    <w:r>
      <w:pict>
        <v:shape id="WordPictureWatermark302" o:spid="_x0000_s2062" o:spt="75" type="#_x0000_t75" style="position:absolute;left:0pt;margin-left:0pt;margin-top:0pt;height:841.7pt;width:595.25pt;mso-position-horizontal-relative:page;mso-position-vertical-relative:page;z-index:251671552;mso-width-relative:page;mso-height-relative:page;" filled="f" stroked="f" coordsize="21600,21600" o:allowincell="f">
          <v:path/>
          <v:fill on="f" focussize="0,0"/>
          <v:stroke on="f"/>
          <v:imagedata r:id="rId1" o:title=""/>
          <o:lock v:ext="edit" aspectratio="t"/>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D8988">
    <w:pPr>
      <w:spacing w:before="62" w:line="179" w:lineRule="auto"/>
      <w:ind w:left="1360"/>
      <w:rPr>
        <w:rFonts w:ascii="Arial" w:hAnsi="Arial" w:eastAsia="Arial" w:cs="Arial"/>
        <w:sz w:val="18"/>
        <w:szCs w:val="18"/>
      </w:rPr>
    </w:pPr>
    <w:r>
      <w:pict>
        <v:shape id="WordPictureWatermark304" o:spid="_x0000_s2063" o:spt="75" type="#_x0000_t75" style="position:absolute;left:0pt;margin-left:0pt;margin-top:-41.05pt;height:841.7pt;width:595.25pt;z-index:-251643904;mso-width-relative:page;mso-height-relative:page;" filled="f" stroked="f" coordsize="21600,21600">
          <v:path/>
          <v:fill on="f" focussize="0,0"/>
          <v:stroke on="f"/>
          <v:imagedata r:id="rId1" o:title=""/>
          <o:lock v:ext="edit" aspectratio="t"/>
        </v:shape>
      </w:pict>
    </w:r>
    <w:r>
      <w:pict>
        <v:shape id="_x0000_s2064" o:spid="_x0000_s2064" o:spt="202" type="#_x0000_t202" style="position:absolute;left:0pt;margin-left:456.45pt;margin-top:5.9pt;height:13.55pt;width:67.45pt;z-index:251673600;mso-width-relative:page;mso-height-relative:page;" filled="f" stroked="f" coordsize="21600,21600">
          <v:path/>
          <v:fill on="f" focussize="0,0"/>
          <v:stroke on="f"/>
          <v:imagedata o:title=""/>
          <o:lock v:ext="edit" aspectratio="f"/>
          <v:textbox inset="0mm,0mm,0mm,0mm">
            <w:txbxContent>
              <w:p w14:paraId="46C5E533">
                <w:pPr>
                  <w:spacing w:before="19" w:line="170" w:lineRule="auto"/>
                  <w:jc w:val="right"/>
                  <w:rPr>
                    <w:rFonts w:ascii="微软雅黑" w:hAnsi="微软雅黑" w:eastAsia="微软雅黑" w:cs="微软雅黑"/>
                    <w:sz w:val="19"/>
                    <w:szCs w:val="19"/>
                  </w:rPr>
                </w:pPr>
                <w:r>
                  <w:rPr>
                    <w:rFonts w:ascii="微软雅黑" w:hAnsi="微软雅黑" w:eastAsia="微软雅黑" w:cs="微软雅黑"/>
                    <w:color w:val="313131"/>
                    <w:spacing w:val="-6"/>
                    <w:sz w:val="19"/>
                    <w:szCs w:val="19"/>
                  </w:rPr>
                  <w:t xml:space="preserve">第  </w:t>
                </w:r>
                <w:r>
                  <w:rPr>
                    <w:rFonts w:ascii="Arial" w:hAnsi="Arial" w:eastAsia="Arial" w:cs="Arial"/>
                    <w:color w:val="313131"/>
                    <w:spacing w:val="-6"/>
                    <w:sz w:val="19"/>
                    <w:szCs w:val="19"/>
                  </w:rPr>
                  <w:t>5</w:t>
                </w:r>
                <w:r>
                  <w:rPr>
                    <w:rFonts w:ascii="Arial" w:hAnsi="Arial" w:eastAsia="Arial" w:cs="Arial"/>
                    <w:color w:val="313131"/>
                    <w:spacing w:val="34"/>
                    <w:sz w:val="19"/>
                    <w:szCs w:val="19"/>
                  </w:rPr>
                  <w:t xml:space="preserve"> </w:t>
                </w:r>
                <w:r>
                  <w:rPr>
                    <w:rFonts w:ascii="微软雅黑" w:hAnsi="微软雅黑" w:eastAsia="微软雅黑" w:cs="微软雅黑"/>
                    <w:color w:val="313131"/>
                    <w:spacing w:val="-6"/>
                    <w:sz w:val="19"/>
                    <w:szCs w:val="19"/>
                  </w:rPr>
                  <w:t>页</w:t>
                </w:r>
                <w:r>
                  <w:rPr>
                    <w:rFonts w:ascii="微软雅黑" w:hAnsi="微软雅黑" w:eastAsia="微软雅黑" w:cs="微软雅黑"/>
                    <w:color w:val="313131"/>
                    <w:spacing w:val="25"/>
                    <w:w w:val="101"/>
                    <w:sz w:val="19"/>
                    <w:szCs w:val="19"/>
                  </w:rPr>
                  <w:t xml:space="preserve"> </w:t>
                </w:r>
                <w:r>
                  <w:rPr>
                    <w:rFonts w:ascii="微软雅黑" w:hAnsi="微软雅黑" w:eastAsia="微软雅黑" w:cs="微软雅黑"/>
                    <w:color w:val="313131"/>
                    <w:spacing w:val="-6"/>
                    <w:sz w:val="19"/>
                    <w:szCs w:val="19"/>
                  </w:rPr>
                  <w:t>共</w:t>
                </w:r>
                <w:r>
                  <w:rPr>
                    <w:rFonts w:ascii="微软雅黑" w:hAnsi="微软雅黑" w:eastAsia="微软雅黑" w:cs="微软雅黑"/>
                    <w:color w:val="313131"/>
                    <w:spacing w:val="40"/>
                    <w:w w:val="101"/>
                    <w:sz w:val="19"/>
                    <w:szCs w:val="19"/>
                  </w:rPr>
                  <w:t xml:space="preserve"> </w:t>
                </w:r>
                <w:r>
                  <w:rPr>
                    <w:rFonts w:ascii="微软雅黑" w:hAnsi="微软雅黑" w:eastAsia="微软雅黑" w:cs="微软雅黑"/>
                    <w:color w:val="313131"/>
                    <w:spacing w:val="-6"/>
                    <w:sz w:val="19"/>
                    <w:szCs w:val="19"/>
                  </w:rPr>
                  <w:t>5页</w:t>
                </w:r>
              </w:p>
            </w:txbxContent>
          </v:textbox>
        </v:shape>
      </w:pict>
    </w:r>
    <w:r>
      <w:rPr>
        <w:rFonts w:ascii="微软雅黑" w:hAnsi="微软雅黑" w:eastAsia="微软雅黑" w:cs="微软雅黑"/>
        <w:color w:val="343434"/>
        <w:spacing w:val="-4"/>
        <w:sz w:val="18"/>
        <w:szCs w:val="18"/>
      </w:rPr>
      <w:t>河北艾珂检测技术有限公司</w:t>
    </w:r>
    <w:r>
      <w:rPr>
        <w:rFonts w:ascii="微软雅黑" w:hAnsi="微软雅黑" w:eastAsia="微软雅黑" w:cs="微软雅黑"/>
        <w:color w:val="343434"/>
        <w:spacing w:val="54"/>
        <w:w w:val="101"/>
        <w:sz w:val="18"/>
        <w:szCs w:val="18"/>
      </w:rPr>
      <w:t xml:space="preserve"> </w:t>
    </w:r>
    <w:r>
      <w:rPr>
        <w:rFonts w:ascii="Arial" w:hAnsi="Arial" w:eastAsia="Arial" w:cs="Arial"/>
        <w:color w:val="272727"/>
        <w:spacing w:val="-4"/>
        <w:sz w:val="18"/>
        <w:szCs w:val="18"/>
      </w:rPr>
      <w:t>(AKX</w:t>
    </w:r>
    <w:r>
      <w:rPr>
        <w:rFonts w:ascii="Arial" w:hAnsi="Arial" w:eastAsia="Arial" w:cs="Arial"/>
        <w:color w:val="272727"/>
        <w:spacing w:val="-30"/>
        <w:sz w:val="18"/>
        <w:szCs w:val="18"/>
      </w:rPr>
      <w:t xml:space="preserve"> </w:t>
    </w:r>
    <w:r>
      <w:rPr>
        <w:rFonts w:ascii="Arial" w:hAnsi="Arial" w:eastAsia="Arial" w:cs="Arial"/>
        <w:color w:val="272727"/>
        <w:spacing w:val="-4"/>
        <w:sz w:val="18"/>
        <w:szCs w:val="18"/>
      </w:rPr>
      <w:t>Z25028)</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CCD730">
    <w:pPr>
      <w:spacing w:line="14" w:lineRule="auto"/>
      <w:rPr>
        <w:rFonts w:ascii="Arial"/>
        <w:sz w:val="2"/>
      </w:rPr>
    </w:pPr>
    <w:r>
      <w:pict>
        <v:shape id="WordPictureWatermark308" o:spid="_x0000_s2065" o:spt="75" type="#_x0000_t75" style="position:absolute;left:0pt;margin-left:0pt;margin-top:0pt;height:842pt;width:595pt;mso-position-horizontal-relative:page;mso-position-vertical-relative:page;z-index:251674624;mso-width-relative:page;mso-height-relative:page;" filled="f" stroked="f" coordsize="21600,21600" o:allowincell="f">
          <v:path/>
          <v:fill on="f" focussize="0,0"/>
          <v:stroke on="f"/>
          <v:imagedata r:id="rId1" o:title=""/>
          <o:lock v:ext="edit" aspectratio="t"/>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739CB">
    <w:pPr>
      <w:spacing w:line="14" w:lineRule="auto"/>
      <w:rPr>
        <w:rFonts w:ascii="Arial"/>
        <w:sz w:val="2"/>
      </w:rPr>
    </w:pPr>
    <w:r>
      <w:pict>
        <v:shape id="WordPictureWatermark310" o:spid="_x0000_s2066" o:spt="75" type="#_x0000_t75" style="position:absolute;left:0pt;margin-left:0pt;margin-top:0pt;height:842pt;width:595pt;mso-position-horizontal-relative:page;mso-position-vertical-relative:page;z-index:251675648;mso-width-relative:page;mso-height-relative:page;" filled="f" stroked="f" coordsize="21600,21600" o:allowincell="f">
          <v:path/>
          <v:fill on="f" focussize="0,0"/>
          <v:stroke on="f"/>
          <v:imagedata r:id="rId1" o:title=""/>
          <o:lock v:ext="edit" aspectratio="t"/>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E0102F">
    <w:pPr>
      <w:spacing w:line="14" w:lineRule="auto"/>
      <w:rPr>
        <w:rFonts w:ascii="Arial"/>
        <w:sz w:val="2"/>
      </w:rPr>
    </w:pPr>
    <w:r>
      <w:pict>
        <v:shape id="WordPictureWatermark312" o:spid="_x0000_s2067" o:spt="75" type="#_x0000_t75" style="position:absolute;left:0pt;margin-left:0pt;margin-top:0pt;height:842pt;width:595pt;mso-position-horizontal-relative:page;mso-position-vertical-relative:page;z-index:251676672;mso-width-relative:page;mso-height-relative:page;" filled="f" stroked="f" coordsize="21600,21600" o:allowincell="f">
          <v:path/>
          <v:fill on="f" focussize="0,0"/>
          <v:stroke on="f"/>
          <v:imagedata r:id="rId1" o:title=""/>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9066EC">
    <w:pPr>
      <w:spacing w:line="14" w:lineRule="auto"/>
      <w:rPr>
        <w:rFonts w:ascii="Arial"/>
        <w:sz w:val="2"/>
      </w:rPr>
    </w:pPr>
    <w:r>
      <w:pict>
        <v:shape id="WordPictureWatermark128" o:spid="_x0000_s2049" o:spt="75" type="#_x0000_t75" style="position:absolute;left:0pt;margin-left:73.55pt;margin-top:96.7pt;height:385.6pt;width:697pt;mso-position-horizontal-relative:page;mso-position-vertical-relative:page;z-index:-251656192;mso-width-relative:page;mso-height-relative:page;" filled="f" stroked="f" coordsize="21600,21600" o:allowincell="f">
          <v:path/>
          <v:fill on="f" focussize="0,0"/>
          <v:stroke on="f"/>
          <v:imagedata r:id="rId1" o:title=""/>
          <o:lock v:ext="edit" aspectratio="t"/>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2EB34">
    <w:pPr>
      <w:spacing w:line="14" w:lineRule="auto"/>
      <w:rPr>
        <w:rFonts w:ascii="Arial"/>
        <w:sz w:val="2"/>
      </w:rPr>
    </w:pPr>
    <w:r>
      <w:pict>
        <v:shape id="WordPictureWatermark314" o:spid="_x0000_s2068" o:spt="75" type="#_x0000_t75" style="position:absolute;left:0pt;margin-left:0pt;margin-top:0pt;height:842pt;width:595pt;mso-position-horizontal-relative:page;mso-position-vertical-relative:page;z-index:251677696;mso-width-relative:page;mso-height-relative:page;" filled="f" stroked="f" coordsize="21600,21600" o:allowincell="f">
          <v:path/>
          <v:fill on="f" focussize="0,0"/>
          <v:stroke on="f"/>
          <v:imagedata r:id="rId1" o:title=""/>
          <o:lock v:ext="edit" aspectratio="t"/>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B73944">
    <w:pPr>
      <w:spacing w:line="14" w:lineRule="auto"/>
      <w:rPr>
        <w:rFonts w:ascii="Arial"/>
        <w:sz w:val="2"/>
      </w:rPr>
    </w:pPr>
    <w:r>
      <w:pict>
        <v:shape id="WordPictureWatermark316" o:spid="_x0000_s2069" o:spt="75" type="#_x0000_t75" style="position:absolute;left:0pt;margin-left:0pt;margin-top:0pt;height:842pt;width:595pt;mso-position-horizontal-relative:page;mso-position-vertical-relative:page;z-index:251678720;mso-width-relative:page;mso-height-relative:page;" filled="f" stroked="f" coordsize="21600,21600" o:allowincell="f">
          <v:path/>
          <v:fill on="f" focussize="0,0"/>
          <v:stroke on="f"/>
          <v:imagedata r:id="rId1" o:title=""/>
          <o:lock v:ext="edit" aspectratio="t"/>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D260BF">
    <w:pPr>
      <w:spacing w:line="14" w:lineRule="auto"/>
      <w:rPr>
        <w:rFonts w:ascii="Arial"/>
        <w:sz w:val="2"/>
      </w:rPr>
    </w:pPr>
    <w:r>
      <w:pict>
        <v:shape id="WordPictureWatermark318" o:spid="_x0000_s2070" o:spt="75" type="#_x0000_t75" style="position:absolute;left:0pt;margin-left:0pt;margin-top:0pt;height:842pt;width:595pt;mso-position-horizontal-relative:page;mso-position-vertical-relative:page;z-index:251679744;mso-width-relative:page;mso-height-relative:page;" filled="f" stroked="f" coordsize="21600,21600" o:allowincell="f">
          <v:path/>
          <v:fill on="f" focussize="0,0"/>
          <v:stroke on="f"/>
          <v:imagedata r:id="rId1" o:title=""/>
          <o:lock v:ext="edit" aspectratio="t"/>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2DEDFB">
    <w:pPr>
      <w:spacing w:line="14" w:lineRule="auto"/>
      <w:rPr>
        <w:rFonts w:ascii="Arial"/>
        <w:sz w:val="2"/>
      </w:rPr>
    </w:pPr>
    <w:r>
      <w:pict>
        <v:shape id="WordPictureWatermark320" o:spid="_x0000_s2071" o:spt="75" type="#_x0000_t75" style="position:absolute;left:0pt;margin-left:0pt;margin-top:0pt;height:842pt;width:595pt;mso-position-horizontal-relative:page;mso-position-vertical-relative:page;z-index:251680768;mso-width-relative:page;mso-height-relative:page;" filled="f" stroked="f" coordsize="21600,21600" o:allowincell="f">
          <v:path/>
          <v:fill on="f" focussize="0,0"/>
          <v:stroke on="f"/>
          <v:imagedata r:id="rId1" o:title=""/>
          <o:lock v:ext="edit" aspectratio="t"/>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8B6C94">
    <w:pPr>
      <w:spacing w:line="14" w:lineRule="auto"/>
      <w:rPr>
        <w:rFonts w:ascii="Arial"/>
        <w:sz w:val="2"/>
      </w:rPr>
    </w:pPr>
    <w:r>
      <w:pict>
        <v:shape id="WordPictureWatermark322" o:spid="_x0000_s2072" o:spt="75" type="#_x0000_t75" style="position:absolute;left:0pt;margin-left:0pt;margin-top:0pt;height:842pt;width:595pt;mso-position-horizontal-relative:page;mso-position-vertical-relative:page;z-index:251681792;mso-width-relative:page;mso-height-relative:page;" filled="f" stroked="f" coordsize="21600,21600" o:allowincell="f">
          <v:path/>
          <v:fill on="f" focussize="0,0"/>
          <v:stroke on="f"/>
          <v:imagedata r:id="rId1" o:title=""/>
          <o:lock v:ext="edit" aspectratio="t"/>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962939">
    <w:pPr>
      <w:spacing w:line="14" w:lineRule="auto"/>
      <w:rPr>
        <w:rFonts w:ascii="Arial"/>
        <w:sz w:val="2"/>
      </w:rPr>
    </w:pPr>
    <w:r>
      <w:pict>
        <v:shape id="WordPictureWatermark324" o:spid="_x0000_s2073" o:spt="75" type="#_x0000_t75" style="position:absolute;left:0pt;margin-left:0pt;margin-top:0pt;height:842pt;width:595pt;mso-position-horizontal-relative:page;mso-position-vertical-relative:page;z-index:251682816;mso-width-relative:page;mso-height-relative:page;" filled="f" stroked="f" coordsize="21600,21600" o:allowincell="f">
          <v:path/>
          <v:fill on="f" focussize="0,0"/>
          <v:stroke on="f"/>
          <v:imagedata r:id="rId1" o:title=""/>
          <o:lock v:ext="edit" aspectratio="t"/>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444A8">
    <w:pPr>
      <w:spacing w:line="14" w:lineRule="auto"/>
      <w:rPr>
        <w:rFonts w:ascii="Arial"/>
        <w:sz w:val="2"/>
      </w:rPr>
    </w:pPr>
    <w:r>
      <w:pict>
        <v:shape id="WordPictureWatermark326" o:spid="_x0000_s2074" o:spt="75" type="#_x0000_t75" style="position:absolute;left:0pt;margin-left:0pt;margin-top:0pt;height:842pt;width:595pt;mso-position-horizontal-relative:page;mso-position-vertical-relative:page;z-index:251683840;mso-width-relative:page;mso-height-relative:page;" filled="f" stroked="f" coordsize="21600,21600" o:allowincell="f">
          <v:path/>
          <v:fill on="f" focussize="0,0"/>
          <v:stroke on="f"/>
          <v:imagedata r:id="rId1" o:title=""/>
          <o:lock v:ext="edit" aspectratio="t"/>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D33F6B">
    <w:pPr>
      <w:spacing w:line="14" w:lineRule="auto"/>
      <w:rPr>
        <w:rFonts w:ascii="Arial"/>
        <w:sz w:val="2"/>
      </w:rPr>
    </w:pPr>
    <w:r>
      <w:pict>
        <v:shape id="WordPictureWatermark328" o:spid="_x0000_s2075" o:spt="75" type="#_x0000_t75" style="position:absolute;left:0pt;margin-left:0pt;margin-top:0pt;height:842pt;width:595pt;mso-position-horizontal-relative:page;mso-position-vertical-relative:page;z-index:251684864;mso-width-relative:page;mso-height-relative:page;" filled="f" stroked="f" coordsize="21600,21600" o:allowincell="f">
          <v:path/>
          <v:fill on="f" focussize="0,0"/>
          <v:stroke on="f"/>
          <v:imagedata r:id="rId1" o:title=""/>
          <o:lock v:ext="edit" aspectratio="t"/>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BEEED">
    <w:pPr>
      <w:spacing w:line="14" w:lineRule="auto"/>
      <w:rPr>
        <w:rFonts w:ascii="Arial"/>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6C860A">
    <w:pPr>
      <w:spacing w:line="14" w:lineRule="auto"/>
      <w:rPr>
        <w:rFonts w:ascii="Arial"/>
        <w:sz w:val="2"/>
      </w:rPr>
    </w:pPr>
    <w:r>
      <w:pict>
        <v:shape id="WordPictureWatermark148" o:spid="_x0000_s2050" o:spt="75" type="#_x0000_t75" style="position:absolute;left:0pt;margin-left:73.55pt;margin-top:98.25pt;height:381.5pt;width:697.7pt;mso-position-horizontal-relative:page;mso-position-vertical-relative:page;z-index:-251655168;mso-width-relative:page;mso-height-relative:page;" filled="f" stroked="f" coordsize="21600,21600" o:allowincell="f">
          <v:path/>
          <v:fill on="f" focussize="0,0"/>
          <v:stroke on="f"/>
          <v:imagedata r:id="rId1" o:title=""/>
          <o:lock v:ext="edit" aspectratio="t"/>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B02D9D">
    <w:pPr>
      <w:spacing w:line="14" w:lineRule="auto"/>
      <w:rPr>
        <w:rFonts w:ascii="Arial"/>
        <w:sz w:val="2"/>
      </w:rPr>
    </w:pPr>
    <w:r>
      <w:pict>
        <v:shape id="WordPictureWatermark174" o:spid="_x0000_s2051" o:spt="75" type="#_x0000_t75" style="position:absolute;left:0pt;margin-left:73.55pt;margin-top:96.7pt;height:385.6pt;width:697pt;mso-position-horizontal-relative:page;mso-position-vertical-relative:page;z-index:-251654144;mso-width-relative:page;mso-height-relative:page;" filled="f" stroked="f" coordsize="21600,21600" o:allowincell="f">
          <v:path/>
          <v:fill on="f" focussize="0,0"/>
          <v:stroke on="f"/>
          <v:imagedata r:id="rId1" o:title=""/>
          <o:lock v:ext="edit" aspectratio="t"/>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6FEB0">
    <w:pPr>
      <w:spacing w:line="14" w:lineRule="auto"/>
      <w:rPr>
        <w:rFonts w:ascii="Arial"/>
        <w:sz w:val="2"/>
      </w:rPr>
    </w:pPr>
    <w:r>
      <w:pict>
        <v:shape id="WordPictureWatermark194" o:spid="_x0000_s2052" o:spt="75" type="#_x0000_t75" style="position:absolute;left:0pt;margin-left:73.55pt;margin-top:96.7pt;height:385.6pt;width:697pt;mso-position-horizontal-relative:page;mso-position-vertical-relative:page;z-index:-251653120;mso-width-relative:page;mso-height-relative:page;" filled="f" stroked="f" coordsize="21600,21600" o:allowincell="f">
          <v:path/>
          <v:fill on="f" focussize="0,0"/>
          <v:stroke on="f"/>
          <v:imagedata r:id="rId1" o:title=""/>
          <o:lock v:ext="edit" aspectratio="t"/>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CFC83">
    <w:pPr>
      <w:spacing w:line="14" w:lineRule="auto"/>
      <w:rPr>
        <w:rFonts w:ascii="Arial"/>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879FDC">
    <w:pPr>
      <w:spacing w:line="14" w:lineRule="auto"/>
      <w:rPr>
        <w:rFonts w:ascii="Arial"/>
        <w:sz w:val="2"/>
      </w:rPr>
    </w:pPr>
    <w:r>
      <w:pict>
        <v:shape id="WordPictureWatermark230" o:spid="_x0000_s2053" o:spt="75" type="#_x0000_t75" style="position:absolute;left:0pt;margin-left:92.15pt;margin-top:90.4pt;height:649.55pt;width:410.9pt;mso-position-horizontal-relative:page;mso-position-vertical-relative:page;z-index:-251652096;mso-width-relative:page;mso-height-relative:page;" filled="f" stroked="f" coordsize="21600,21600" o:allowincell="f">
          <v:path/>
          <v:fill on="f" focussize="0,0"/>
          <v:stroke on="f"/>
          <v:imagedata r:id="rId1" o:title=""/>
          <o:lock v:ext="edit" aspectratio="t"/>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0BBD71">
    <w:pPr>
      <w:spacing w:line="14" w:lineRule="auto"/>
      <w:rPr>
        <w:rFonts w:ascii="Arial"/>
        <w:sz w:val="2"/>
      </w:rPr>
    </w:pPr>
    <w:r>
      <w:pict>
        <v:shape id="WordPictureWatermark252" o:spid="_x0000_s2054" o:spt="75" type="#_x0000_t75" style="position:absolute;left:0pt;margin-left:92.15pt;margin-top:74.8pt;height:649.5pt;width:410.9pt;mso-position-horizontal-relative:page;mso-position-vertical-relative:page;z-index:-251651072;mso-width-relative:page;mso-height-relative:page;" filled="f" stroked="f" coordsize="21600,21600" o:allowincell="f">
          <v:path/>
          <v:fill on="f" focussize="0,0"/>
          <v:stroke on="f"/>
          <v:imagedata r:id="rId1" o:title=""/>
          <o:lock v:ext="edit" aspectratio="t"/>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8C70C3">
    <w:pPr>
      <w:spacing w:line="14" w:lineRule="auto"/>
      <w:rPr>
        <w:rFonts w:ascii="Arial"/>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4D91417"/>
    <w:rsid w:val="367F07F5"/>
    <w:rsid w:val="5F9B612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24"/>
      <w:szCs w:val="24"/>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94.xml"/><Relationship Id="rId98" Type="http://schemas.openxmlformats.org/officeDocument/2006/relationships/footer" Target="footer93.xml"/><Relationship Id="rId97" Type="http://schemas.openxmlformats.org/officeDocument/2006/relationships/footer" Target="footer92.xml"/><Relationship Id="rId96" Type="http://schemas.openxmlformats.org/officeDocument/2006/relationships/footer" Target="footer91.xml"/><Relationship Id="rId95" Type="http://schemas.openxmlformats.org/officeDocument/2006/relationships/footer" Target="footer90.xml"/><Relationship Id="rId94" Type="http://schemas.openxmlformats.org/officeDocument/2006/relationships/footer" Target="footer89.xml"/><Relationship Id="rId93" Type="http://schemas.openxmlformats.org/officeDocument/2006/relationships/footer" Target="footer88.xml"/><Relationship Id="rId92" Type="http://schemas.openxmlformats.org/officeDocument/2006/relationships/footer" Target="footer87.xml"/><Relationship Id="rId91" Type="http://schemas.openxmlformats.org/officeDocument/2006/relationships/footer" Target="footer86.xml"/><Relationship Id="rId90" Type="http://schemas.openxmlformats.org/officeDocument/2006/relationships/footer" Target="footer85.xml"/><Relationship Id="rId9" Type="http://schemas.openxmlformats.org/officeDocument/2006/relationships/footer" Target="footer4.xml"/><Relationship Id="rId89" Type="http://schemas.openxmlformats.org/officeDocument/2006/relationships/footer" Target="footer84.xml"/><Relationship Id="rId88" Type="http://schemas.openxmlformats.org/officeDocument/2006/relationships/footer" Target="footer83.xml"/><Relationship Id="rId87" Type="http://schemas.openxmlformats.org/officeDocument/2006/relationships/footer" Target="footer82.xml"/><Relationship Id="rId86" Type="http://schemas.openxmlformats.org/officeDocument/2006/relationships/footer" Target="footer81.xml"/><Relationship Id="rId85" Type="http://schemas.openxmlformats.org/officeDocument/2006/relationships/footer" Target="footer80.xml"/><Relationship Id="rId84" Type="http://schemas.openxmlformats.org/officeDocument/2006/relationships/footer" Target="footer79.xml"/><Relationship Id="rId83" Type="http://schemas.openxmlformats.org/officeDocument/2006/relationships/footer" Target="footer78.xml"/><Relationship Id="rId82" Type="http://schemas.openxmlformats.org/officeDocument/2006/relationships/footer" Target="footer77.xml"/><Relationship Id="rId81" Type="http://schemas.openxmlformats.org/officeDocument/2006/relationships/footer" Target="footer76.xml"/><Relationship Id="rId80" Type="http://schemas.openxmlformats.org/officeDocument/2006/relationships/footer" Target="footer75.xml"/><Relationship Id="rId8" Type="http://schemas.openxmlformats.org/officeDocument/2006/relationships/footer" Target="footer3.xml"/><Relationship Id="rId79" Type="http://schemas.openxmlformats.org/officeDocument/2006/relationships/footer" Target="footer74.xml"/><Relationship Id="rId78" Type="http://schemas.openxmlformats.org/officeDocument/2006/relationships/footer" Target="footer73.xml"/><Relationship Id="rId77" Type="http://schemas.openxmlformats.org/officeDocument/2006/relationships/footer" Target="footer72.xml"/><Relationship Id="rId76" Type="http://schemas.openxmlformats.org/officeDocument/2006/relationships/footer" Target="footer71.xml"/><Relationship Id="rId75" Type="http://schemas.openxmlformats.org/officeDocument/2006/relationships/footer" Target="footer70.xml"/><Relationship Id="rId74" Type="http://schemas.openxmlformats.org/officeDocument/2006/relationships/footer" Target="footer69.xml"/><Relationship Id="rId73" Type="http://schemas.openxmlformats.org/officeDocument/2006/relationships/footer" Target="footer68.xml"/><Relationship Id="rId72" Type="http://schemas.openxmlformats.org/officeDocument/2006/relationships/footer" Target="footer67.xml"/><Relationship Id="rId71" Type="http://schemas.openxmlformats.org/officeDocument/2006/relationships/footer" Target="footer66.xml"/><Relationship Id="rId70" Type="http://schemas.openxmlformats.org/officeDocument/2006/relationships/footer" Target="footer65.xml"/><Relationship Id="rId7" Type="http://schemas.openxmlformats.org/officeDocument/2006/relationships/footer" Target="footer2.xml"/><Relationship Id="rId69" Type="http://schemas.openxmlformats.org/officeDocument/2006/relationships/footer" Target="footer64.xml"/><Relationship Id="rId68" Type="http://schemas.openxmlformats.org/officeDocument/2006/relationships/footer" Target="footer63.xml"/><Relationship Id="rId67" Type="http://schemas.openxmlformats.org/officeDocument/2006/relationships/footer" Target="footer62.xml"/><Relationship Id="rId66" Type="http://schemas.openxmlformats.org/officeDocument/2006/relationships/footer" Target="footer61.xml"/><Relationship Id="rId65" Type="http://schemas.openxmlformats.org/officeDocument/2006/relationships/footer" Target="footer60.xml"/><Relationship Id="rId64" Type="http://schemas.openxmlformats.org/officeDocument/2006/relationships/footer" Target="footer59.xml"/><Relationship Id="rId63" Type="http://schemas.openxmlformats.org/officeDocument/2006/relationships/footer" Target="footer58.xml"/><Relationship Id="rId62" Type="http://schemas.openxmlformats.org/officeDocument/2006/relationships/footer" Target="footer57.xml"/><Relationship Id="rId61" Type="http://schemas.openxmlformats.org/officeDocument/2006/relationships/footer" Target="footer56.xml"/><Relationship Id="rId60" Type="http://schemas.openxmlformats.org/officeDocument/2006/relationships/footer" Target="footer55.xml"/><Relationship Id="rId6" Type="http://schemas.openxmlformats.org/officeDocument/2006/relationships/footer" Target="footer1.xml"/><Relationship Id="rId59" Type="http://schemas.openxmlformats.org/officeDocument/2006/relationships/footer" Target="footer54.xml"/><Relationship Id="rId58" Type="http://schemas.openxmlformats.org/officeDocument/2006/relationships/footer" Target="footer53.xml"/><Relationship Id="rId57" Type="http://schemas.openxmlformats.org/officeDocument/2006/relationships/footer" Target="footer52.xml"/><Relationship Id="rId56" Type="http://schemas.openxmlformats.org/officeDocument/2006/relationships/footer" Target="footer51.xml"/><Relationship Id="rId55" Type="http://schemas.openxmlformats.org/officeDocument/2006/relationships/footer" Target="footer50.xml"/><Relationship Id="rId54" Type="http://schemas.openxmlformats.org/officeDocument/2006/relationships/footer" Target="footer49.xml"/><Relationship Id="rId53" Type="http://schemas.openxmlformats.org/officeDocument/2006/relationships/footer" Target="footer48.xml"/><Relationship Id="rId52" Type="http://schemas.openxmlformats.org/officeDocument/2006/relationships/footer" Target="footer47.xml"/><Relationship Id="rId51" Type="http://schemas.openxmlformats.org/officeDocument/2006/relationships/footer" Target="footer46.xml"/><Relationship Id="rId50" Type="http://schemas.openxmlformats.org/officeDocument/2006/relationships/footer" Target="footer45.xml"/><Relationship Id="rId5" Type="http://schemas.openxmlformats.org/officeDocument/2006/relationships/header" Target="header1.xml"/><Relationship Id="rId49" Type="http://schemas.openxmlformats.org/officeDocument/2006/relationships/footer" Target="footer44.xml"/><Relationship Id="rId48" Type="http://schemas.openxmlformats.org/officeDocument/2006/relationships/footer" Target="footer43.xml"/><Relationship Id="rId47" Type="http://schemas.openxmlformats.org/officeDocument/2006/relationships/footer" Target="footer42.xml"/><Relationship Id="rId46" Type="http://schemas.openxmlformats.org/officeDocument/2006/relationships/footer" Target="footer41.xml"/><Relationship Id="rId45" Type="http://schemas.openxmlformats.org/officeDocument/2006/relationships/footer" Target="footer40.xml"/><Relationship Id="rId44" Type="http://schemas.openxmlformats.org/officeDocument/2006/relationships/footer" Target="footer39.xml"/><Relationship Id="rId43" Type="http://schemas.openxmlformats.org/officeDocument/2006/relationships/footer" Target="footer38.xml"/><Relationship Id="rId42" Type="http://schemas.openxmlformats.org/officeDocument/2006/relationships/footer" Target="footer37.xml"/><Relationship Id="rId41" Type="http://schemas.openxmlformats.org/officeDocument/2006/relationships/footer" Target="footer36.xml"/><Relationship Id="rId40" Type="http://schemas.openxmlformats.org/officeDocument/2006/relationships/footer" Target="footer35.xml"/><Relationship Id="rId4" Type="http://schemas.openxmlformats.org/officeDocument/2006/relationships/endnotes" Target="endnotes.xml"/><Relationship Id="rId39" Type="http://schemas.openxmlformats.org/officeDocument/2006/relationships/footer" Target="footer34.xml"/><Relationship Id="rId38" Type="http://schemas.openxmlformats.org/officeDocument/2006/relationships/footer" Target="footer33.xml"/><Relationship Id="rId37" Type="http://schemas.openxmlformats.org/officeDocument/2006/relationships/footer" Target="footer32.xml"/><Relationship Id="rId36" Type="http://schemas.openxmlformats.org/officeDocument/2006/relationships/footer" Target="footer31.xml"/><Relationship Id="rId35" Type="http://schemas.openxmlformats.org/officeDocument/2006/relationships/footer" Target="footer30.xml"/><Relationship Id="rId34" Type="http://schemas.openxmlformats.org/officeDocument/2006/relationships/footer" Target="footer29.xml"/><Relationship Id="rId33" Type="http://schemas.openxmlformats.org/officeDocument/2006/relationships/footer" Target="footer28.xml"/><Relationship Id="rId32" Type="http://schemas.openxmlformats.org/officeDocument/2006/relationships/footer" Target="footer27.xml"/><Relationship Id="rId31" Type="http://schemas.openxmlformats.org/officeDocument/2006/relationships/footer" Target="footer26.xml"/><Relationship Id="rId30" Type="http://schemas.openxmlformats.org/officeDocument/2006/relationships/footer" Target="footer25.xml"/><Relationship Id="rId3" Type="http://schemas.openxmlformats.org/officeDocument/2006/relationships/footnotes" Target="footnotes.xml"/><Relationship Id="rId29" Type="http://schemas.openxmlformats.org/officeDocument/2006/relationships/footer" Target="footer24.xml"/><Relationship Id="rId28" Type="http://schemas.openxmlformats.org/officeDocument/2006/relationships/footer" Target="footer23.xml"/><Relationship Id="rId279" Type="http://schemas.openxmlformats.org/officeDocument/2006/relationships/fontTable" Target="fontTable.xml"/><Relationship Id="rId278" Type="http://schemas.openxmlformats.org/officeDocument/2006/relationships/customXml" Target="../customXml/item2.xml"/><Relationship Id="rId277" Type="http://schemas.openxmlformats.org/officeDocument/2006/relationships/customXml" Target="../customXml/item1.xml"/><Relationship Id="rId276" Type="http://schemas.openxmlformats.org/officeDocument/2006/relationships/image" Target="media/image127.png"/><Relationship Id="rId275" Type="http://schemas.openxmlformats.org/officeDocument/2006/relationships/image" Target="media/image126.png"/><Relationship Id="rId274" Type="http://schemas.openxmlformats.org/officeDocument/2006/relationships/image" Target="media/image125.png"/><Relationship Id="rId273" Type="http://schemas.openxmlformats.org/officeDocument/2006/relationships/image" Target="media/image124.jpeg"/><Relationship Id="rId272" Type="http://schemas.openxmlformats.org/officeDocument/2006/relationships/image" Target="media/image123.jpeg"/><Relationship Id="rId271" Type="http://schemas.openxmlformats.org/officeDocument/2006/relationships/image" Target="media/image122.jpeg"/><Relationship Id="rId270" Type="http://schemas.openxmlformats.org/officeDocument/2006/relationships/image" Target="media/image121.png"/><Relationship Id="rId27" Type="http://schemas.openxmlformats.org/officeDocument/2006/relationships/footer" Target="footer22.xml"/><Relationship Id="rId269" Type="http://schemas.openxmlformats.org/officeDocument/2006/relationships/image" Target="media/image120.jpeg"/><Relationship Id="rId268" Type="http://schemas.openxmlformats.org/officeDocument/2006/relationships/image" Target="media/image119.jpeg"/><Relationship Id="rId267" Type="http://schemas.openxmlformats.org/officeDocument/2006/relationships/image" Target="media/image118.png"/><Relationship Id="rId266" Type="http://schemas.openxmlformats.org/officeDocument/2006/relationships/image" Target="media/image117.jpeg"/><Relationship Id="rId265" Type="http://schemas.openxmlformats.org/officeDocument/2006/relationships/image" Target="media/image116.jpeg"/><Relationship Id="rId264" Type="http://schemas.openxmlformats.org/officeDocument/2006/relationships/image" Target="media/image115.jpeg"/><Relationship Id="rId263" Type="http://schemas.openxmlformats.org/officeDocument/2006/relationships/image" Target="media/image114.jpeg"/><Relationship Id="rId262" Type="http://schemas.openxmlformats.org/officeDocument/2006/relationships/image" Target="media/image113.jpeg"/><Relationship Id="rId261" Type="http://schemas.openxmlformats.org/officeDocument/2006/relationships/image" Target="media/image112.jpeg"/><Relationship Id="rId260" Type="http://schemas.openxmlformats.org/officeDocument/2006/relationships/image" Target="media/image111.jpeg"/><Relationship Id="rId26" Type="http://schemas.openxmlformats.org/officeDocument/2006/relationships/footer" Target="footer21.xml"/><Relationship Id="rId259" Type="http://schemas.openxmlformats.org/officeDocument/2006/relationships/image" Target="media/image110.jpeg"/><Relationship Id="rId258" Type="http://schemas.openxmlformats.org/officeDocument/2006/relationships/image" Target="media/image109.jpeg"/><Relationship Id="rId257" Type="http://schemas.openxmlformats.org/officeDocument/2006/relationships/image" Target="media/image108.jpeg"/><Relationship Id="rId256" Type="http://schemas.openxmlformats.org/officeDocument/2006/relationships/image" Target="media/image107.jpeg"/><Relationship Id="rId255" Type="http://schemas.openxmlformats.org/officeDocument/2006/relationships/image" Target="media/image106.jpeg"/><Relationship Id="rId254" Type="http://schemas.openxmlformats.org/officeDocument/2006/relationships/image" Target="media/image105.jpeg"/><Relationship Id="rId253" Type="http://schemas.openxmlformats.org/officeDocument/2006/relationships/image" Target="media/image104.jpeg"/><Relationship Id="rId252" Type="http://schemas.openxmlformats.org/officeDocument/2006/relationships/image" Target="media/image103.jpeg"/><Relationship Id="rId251" Type="http://schemas.openxmlformats.org/officeDocument/2006/relationships/image" Target="media/image102.jpeg"/><Relationship Id="rId250" Type="http://schemas.openxmlformats.org/officeDocument/2006/relationships/image" Target="media/image101.png"/><Relationship Id="rId25" Type="http://schemas.openxmlformats.org/officeDocument/2006/relationships/footer" Target="footer20.xml"/><Relationship Id="rId249" Type="http://schemas.openxmlformats.org/officeDocument/2006/relationships/image" Target="media/image100.png"/><Relationship Id="rId248" Type="http://schemas.openxmlformats.org/officeDocument/2006/relationships/image" Target="media/image99.png"/><Relationship Id="rId247" Type="http://schemas.openxmlformats.org/officeDocument/2006/relationships/image" Target="media/image98.png"/><Relationship Id="rId246" Type="http://schemas.openxmlformats.org/officeDocument/2006/relationships/image" Target="media/image97.png"/><Relationship Id="rId245" Type="http://schemas.openxmlformats.org/officeDocument/2006/relationships/image" Target="media/image96.png"/><Relationship Id="rId244" Type="http://schemas.openxmlformats.org/officeDocument/2006/relationships/image" Target="media/image95.png"/><Relationship Id="rId243" Type="http://schemas.openxmlformats.org/officeDocument/2006/relationships/image" Target="media/image94.jpeg"/><Relationship Id="rId242" Type="http://schemas.openxmlformats.org/officeDocument/2006/relationships/image" Target="media/image93.jpeg"/><Relationship Id="rId241" Type="http://schemas.openxmlformats.org/officeDocument/2006/relationships/image" Target="media/image92.jpeg"/><Relationship Id="rId240" Type="http://schemas.openxmlformats.org/officeDocument/2006/relationships/image" Target="media/image91.png"/><Relationship Id="rId24" Type="http://schemas.openxmlformats.org/officeDocument/2006/relationships/footer" Target="footer19.xml"/><Relationship Id="rId239" Type="http://schemas.openxmlformats.org/officeDocument/2006/relationships/image" Target="media/image8.png"/><Relationship Id="rId238" Type="http://schemas.openxmlformats.org/officeDocument/2006/relationships/image" Target="media/image90.jpeg"/><Relationship Id="rId237" Type="http://schemas.openxmlformats.org/officeDocument/2006/relationships/image" Target="media/image89.jpeg"/><Relationship Id="rId236" Type="http://schemas.openxmlformats.org/officeDocument/2006/relationships/image" Target="media/image88.jpeg"/><Relationship Id="rId235" Type="http://schemas.openxmlformats.org/officeDocument/2006/relationships/image" Target="media/image87.jpeg"/><Relationship Id="rId234" Type="http://schemas.openxmlformats.org/officeDocument/2006/relationships/image" Target="media/image86.jpeg"/><Relationship Id="rId233" Type="http://schemas.openxmlformats.org/officeDocument/2006/relationships/image" Target="media/image85.png"/><Relationship Id="rId232" Type="http://schemas.openxmlformats.org/officeDocument/2006/relationships/image" Target="media/image84.png"/><Relationship Id="rId231" Type="http://schemas.openxmlformats.org/officeDocument/2006/relationships/image" Target="media/image83.png"/><Relationship Id="rId230" Type="http://schemas.openxmlformats.org/officeDocument/2006/relationships/image" Target="media/image82.png"/><Relationship Id="rId23" Type="http://schemas.openxmlformats.org/officeDocument/2006/relationships/footer" Target="footer18.xml"/><Relationship Id="rId229" Type="http://schemas.openxmlformats.org/officeDocument/2006/relationships/image" Target="media/image81.png"/><Relationship Id="rId228" Type="http://schemas.openxmlformats.org/officeDocument/2006/relationships/image" Target="media/image80.png"/><Relationship Id="rId227" Type="http://schemas.openxmlformats.org/officeDocument/2006/relationships/image" Target="media/image79.png"/><Relationship Id="rId226" Type="http://schemas.openxmlformats.org/officeDocument/2006/relationships/image" Target="media/image78.png"/><Relationship Id="rId225" Type="http://schemas.openxmlformats.org/officeDocument/2006/relationships/image" Target="media/image77.png"/><Relationship Id="rId224" Type="http://schemas.openxmlformats.org/officeDocument/2006/relationships/image" Target="media/image76.png"/><Relationship Id="rId223" Type="http://schemas.openxmlformats.org/officeDocument/2006/relationships/image" Target="media/image75.png"/><Relationship Id="rId222" Type="http://schemas.openxmlformats.org/officeDocument/2006/relationships/image" Target="media/image74.png"/><Relationship Id="rId221" Type="http://schemas.openxmlformats.org/officeDocument/2006/relationships/image" Target="media/image73.png"/><Relationship Id="rId220" Type="http://schemas.openxmlformats.org/officeDocument/2006/relationships/image" Target="media/image72.png"/><Relationship Id="rId22" Type="http://schemas.openxmlformats.org/officeDocument/2006/relationships/footer" Target="footer17.xml"/><Relationship Id="rId219" Type="http://schemas.openxmlformats.org/officeDocument/2006/relationships/image" Target="media/image71.png"/><Relationship Id="rId218" Type="http://schemas.openxmlformats.org/officeDocument/2006/relationships/image" Target="media/image70.png"/><Relationship Id="rId217" Type="http://schemas.openxmlformats.org/officeDocument/2006/relationships/image" Target="media/image69.png"/><Relationship Id="rId216" Type="http://schemas.openxmlformats.org/officeDocument/2006/relationships/image" Target="media/image68.jpeg"/><Relationship Id="rId215" Type="http://schemas.openxmlformats.org/officeDocument/2006/relationships/image" Target="media/image67.png"/><Relationship Id="rId214" Type="http://schemas.openxmlformats.org/officeDocument/2006/relationships/image" Target="media/image66.png"/><Relationship Id="rId213" Type="http://schemas.openxmlformats.org/officeDocument/2006/relationships/image" Target="media/image65.png"/><Relationship Id="rId212" Type="http://schemas.openxmlformats.org/officeDocument/2006/relationships/image" Target="media/image64.jpeg"/><Relationship Id="rId211" Type="http://schemas.openxmlformats.org/officeDocument/2006/relationships/image" Target="media/image63.jpeg"/><Relationship Id="rId210" Type="http://schemas.openxmlformats.org/officeDocument/2006/relationships/image" Target="media/image62.jpeg"/><Relationship Id="rId21" Type="http://schemas.openxmlformats.org/officeDocument/2006/relationships/footer" Target="footer16.xml"/><Relationship Id="rId209" Type="http://schemas.openxmlformats.org/officeDocument/2006/relationships/image" Target="media/image61.png"/><Relationship Id="rId208" Type="http://schemas.openxmlformats.org/officeDocument/2006/relationships/image" Target="media/image60.jpeg"/><Relationship Id="rId207" Type="http://schemas.openxmlformats.org/officeDocument/2006/relationships/image" Target="media/image59.png"/><Relationship Id="rId206" Type="http://schemas.openxmlformats.org/officeDocument/2006/relationships/image" Target="media/image58.png"/><Relationship Id="rId205" Type="http://schemas.openxmlformats.org/officeDocument/2006/relationships/image" Target="media/image57.png"/><Relationship Id="rId204" Type="http://schemas.openxmlformats.org/officeDocument/2006/relationships/image" Target="media/image56.png"/><Relationship Id="rId203" Type="http://schemas.openxmlformats.org/officeDocument/2006/relationships/image" Target="media/image55.png"/><Relationship Id="rId202" Type="http://schemas.openxmlformats.org/officeDocument/2006/relationships/image" Target="media/image54.png"/><Relationship Id="rId201" Type="http://schemas.openxmlformats.org/officeDocument/2006/relationships/image" Target="media/image53.jpeg"/><Relationship Id="rId200" Type="http://schemas.openxmlformats.org/officeDocument/2006/relationships/image" Target="media/image52.png"/><Relationship Id="rId20" Type="http://schemas.openxmlformats.org/officeDocument/2006/relationships/footer" Target="footer15.xml"/><Relationship Id="rId2" Type="http://schemas.openxmlformats.org/officeDocument/2006/relationships/settings" Target="settings.xml"/><Relationship Id="rId199" Type="http://schemas.openxmlformats.org/officeDocument/2006/relationships/image" Target="media/image51.jpeg"/><Relationship Id="rId198" Type="http://schemas.openxmlformats.org/officeDocument/2006/relationships/image" Target="media/image50.jpeg"/><Relationship Id="rId197" Type="http://schemas.openxmlformats.org/officeDocument/2006/relationships/image" Target="media/image49.jpeg"/><Relationship Id="rId196" Type="http://schemas.openxmlformats.org/officeDocument/2006/relationships/image" Target="media/image48.jpeg"/><Relationship Id="rId195" Type="http://schemas.openxmlformats.org/officeDocument/2006/relationships/image" Target="media/image47.png"/><Relationship Id="rId194" Type="http://schemas.openxmlformats.org/officeDocument/2006/relationships/image" Target="media/image46.png"/><Relationship Id="rId193" Type="http://schemas.openxmlformats.org/officeDocument/2006/relationships/image" Target="media/image45.png"/><Relationship Id="rId192" Type="http://schemas.openxmlformats.org/officeDocument/2006/relationships/image" Target="media/image44.png"/><Relationship Id="rId191" Type="http://schemas.openxmlformats.org/officeDocument/2006/relationships/image" Target="media/image43.png"/><Relationship Id="rId190" Type="http://schemas.openxmlformats.org/officeDocument/2006/relationships/image" Target="media/image42.png"/><Relationship Id="rId19" Type="http://schemas.openxmlformats.org/officeDocument/2006/relationships/footer" Target="footer14.xml"/><Relationship Id="rId189" Type="http://schemas.openxmlformats.org/officeDocument/2006/relationships/image" Target="media/image41.png"/><Relationship Id="rId188" Type="http://schemas.openxmlformats.org/officeDocument/2006/relationships/image" Target="media/image40.jpeg"/><Relationship Id="rId187" Type="http://schemas.openxmlformats.org/officeDocument/2006/relationships/image" Target="media/image39.jpeg"/><Relationship Id="rId186" Type="http://schemas.openxmlformats.org/officeDocument/2006/relationships/image" Target="media/image38.jpeg"/><Relationship Id="rId185" Type="http://schemas.openxmlformats.org/officeDocument/2006/relationships/image" Target="media/image37.jpeg"/><Relationship Id="rId184" Type="http://schemas.openxmlformats.org/officeDocument/2006/relationships/image" Target="media/image36.png"/><Relationship Id="rId183" Type="http://schemas.openxmlformats.org/officeDocument/2006/relationships/image" Target="media/image35.jpeg"/><Relationship Id="rId182" Type="http://schemas.openxmlformats.org/officeDocument/2006/relationships/image" Target="media/image34.jpeg"/><Relationship Id="rId181" Type="http://schemas.openxmlformats.org/officeDocument/2006/relationships/image" Target="media/image33.jpeg"/><Relationship Id="rId180" Type="http://schemas.openxmlformats.org/officeDocument/2006/relationships/image" Target="media/image32.jpeg"/><Relationship Id="rId18" Type="http://schemas.openxmlformats.org/officeDocument/2006/relationships/footer" Target="footer13.xml"/><Relationship Id="rId179" Type="http://schemas.openxmlformats.org/officeDocument/2006/relationships/image" Target="media/image31.jpeg"/><Relationship Id="rId178" Type="http://schemas.openxmlformats.org/officeDocument/2006/relationships/image" Target="media/image30.png"/><Relationship Id="rId177" Type="http://schemas.openxmlformats.org/officeDocument/2006/relationships/image" Target="media/image29.png"/><Relationship Id="rId176" Type="http://schemas.openxmlformats.org/officeDocument/2006/relationships/image" Target="media/image28.png"/><Relationship Id="rId175" Type="http://schemas.openxmlformats.org/officeDocument/2006/relationships/image" Target="media/image27.jpeg"/><Relationship Id="rId174" Type="http://schemas.openxmlformats.org/officeDocument/2006/relationships/theme" Target="theme/theme1.xml"/><Relationship Id="rId173" Type="http://schemas.openxmlformats.org/officeDocument/2006/relationships/footer" Target="footer141.xml"/><Relationship Id="rId172" Type="http://schemas.openxmlformats.org/officeDocument/2006/relationships/footer" Target="footer140.xml"/><Relationship Id="rId171" Type="http://schemas.openxmlformats.org/officeDocument/2006/relationships/footer" Target="footer139.xml"/><Relationship Id="rId170" Type="http://schemas.openxmlformats.org/officeDocument/2006/relationships/footer" Target="footer138.xml"/><Relationship Id="rId17" Type="http://schemas.openxmlformats.org/officeDocument/2006/relationships/footer" Target="footer12.xml"/><Relationship Id="rId169" Type="http://schemas.openxmlformats.org/officeDocument/2006/relationships/footer" Target="footer137.xml"/><Relationship Id="rId168" Type="http://schemas.openxmlformats.org/officeDocument/2006/relationships/footer" Target="footer136.xml"/><Relationship Id="rId167" Type="http://schemas.openxmlformats.org/officeDocument/2006/relationships/footer" Target="footer135.xml"/><Relationship Id="rId166" Type="http://schemas.openxmlformats.org/officeDocument/2006/relationships/footer" Target="footer134.xml"/><Relationship Id="rId165" Type="http://schemas.openxmlformats.org/officeDocument/2006/relationships/footer" Target="footer133.xml"/><Relationship Id="rId164" Type="http://schemas.openxmlformats.org/officeDocument/2006/relationships/footer" Target="footer132.xml"/><Relationship Id="rId163" Type="http://schemas.openxmlformats.org/officeDocument/2006/relationships/footer" Target="footer131.xml"/><Relationship Id="rId162" Type="http://schemas.openxmlformats.org/officeDocument/2006/relationships/footer" Target="footer130.xml"/><Relationship Id="rId161" Type="http://schemas.openxmlformats.org/officeDocument/2006/relationships/footer" Target="footer129.xml"/><Relationship Id="rId160" Type="http://schemas.openxmlformats.org/officeDocument/2006/relationships/footer" Target="footer128.xml"/><Relationship Id="rId16" Type="http://schemas.openxmlformats.org/officeDocument/2006/relationships/footer" Target="footer11.xml"/><Relationship Id="rId159" Type="http://schemas.openxmlformats.org/officeDocument/2006/relationships/footer" Target="footer127.xml"/><Relationship Id="rId158" Type="http://schemas.openxmlformats.org/officeDocument/2006/relationships/footer" Target="footer126.xml"/><Relationship Id="rId157" Type="http://schemas.openxmlformats.org/officeDocument/2006/relationships/footer" Target="footer125.xml"/><Relationship Id="rId156" Type="http://schemas.openxmlformats.org/officeDocument/2006/relationships/header" Target="header28.xml"/><Relationship Id="rId155" Type="http://schemas.openxmlformats.org/officeDocument/2006/relationships/header" Target="header27.xml"/><Relationship Id="rId154" Type="http://schemas.openxmlformats.org/officeDocument/2006/relationships/header" Target="header26.xml"/><Relationship Id="rId153" Type="http://schemas.openxmlformats.org/officeDocument/2006/relationships/header" Target="header25.xml"/><Relationship Id="rId152" Type="http://schemas.openxmlformats.org/officeDocument/2006/relationships/header" Target="header24.xml"/><Relationship Id="rId151" Type="http://schemas.openxmlformats.org/officeDocument/2006/relationships/header" Target="header23.xml"/><Relationship Id="rId150" Type="http://schemas.openxmlformats.org/officeDocument/2006/relationships/header" Target="header22.xml"/><Relationship Id="rId15" Type="http://schemas.openxmlformats.org/officeDocument/2006/relationships/footer" Target="footer10.xml"/><Relationship Id="rId149" Type="http://schemas.openxmlformats.org/officeDocument/2006/relationships/header" Target="header21.xml"/><Relationship Id="rId148" Type="http://schemas.openxmlformats.org/officeDocument/2006/relationships/header" Target="header20.xml"/><Relationship Id="rId147" Type="http://schemas.openxmlformats.org/officeDocument/2006/relationships/header" Target="header19.xml"/><Relationship Id="rId146" Type="http://schemas.openxmlformats.org/officeDocument/2006/relationships/header" Target="header18.xml"/><Relationship Id="rId145" Type="http://schemas.openxmlformats.org/officeDocument/2006/relationships/header" Target="header17.xml"/><Relationship Id="rId144" Type="http://schemas.openxmlformats.org/officeDocument/2006/relationships/header" Target="header16.xml"/><Relationship Id="rId143" Type="http://schemas.openxmlformats.org/officeDocument/2006/relationships/header" Target="header15.xml"/><Relationship Id="rId142" Type="http://schemas.openxmlformats.org/officeDocument/2006/relationships/header" Target="header14.xml"/><Relationship Id="rId141" Type="http://schemas.openxmlformats.org/officeDocument/2006/relationships/header" Target="header13.xml"/><Relationship Id="rId140" Type="http://schemas.openxmlformats.org/officeDocument/2006/relationships/header" Target="header12.xml"/><Relationship Id="rId14" Type="http://schemas.openxmlformats.org/officeDocument/2006/relationships/footer" Target="footer9.xml"/><Relationship Id="rId139" Type="http://schemas.openxmlformats.org/officeDocument/2006/relationships/header" Target="header11.xml"/><Relationship Id="rId138" Type="http://schemas.openxmlformats.org/officeDocument/2006/relationships/footer" Target="footer124.xml"/><Relationship Id="rId137" Type="http://schemas.openxmlformats.org/officeDocument/2006/relationships/header" Target="header10.xml"/><Relationship Id="rId136" Type="http://schemas.openxmlformats.org/officeDocument/2006/relationships/footer" Target="footer123.xml"/><Relationship Id="rId135" Type="http://schemas.openxmlformats.org/officeDocument/2006/relationships/footer" Target="footer122.xml"/><Relationship Id="rId134" Type="http://schemas.openxmlformats.org/officeDocument/2006/relationships/footer" Target="footer121.xml"/><Relationship Id="rId133" Type="http://schemas.openxmlformats.org/officeDocument/2006/relationships/footer" Target="footer120.xml"/><Relationship Id="rId132" Type="http://schemas.openxmlformats.org/officeDocument/2006/relationships/footer" Target="footer119.xml"/><Relationship Id="rId131" Type="http://schemas.openxmlformats.org/officeDocument/2006/relationships/footer" Target="footer118.xml"/><Relationship Id="rId130" Type="http://schemas.openxmlformats.org/officeDocument/2006/relationships/footer" Target="footer117.xml"/><Relationship Id="rId13" Type="http://schemas.openxmlformats.org/officeDocument/2006/relationships/footer" Target="footer8.xml"/><Relationship Id="rId129" Type="http://schemas.openxmlformats.org/officeDocument/2006/relationships/header" Target="header9.xml"/><Relationship Id="rId128" Type="http://schemas.openxmlformats.org/officeDocument/2006/relationships/header" Target="header8.xml"/><Relationship Id="rId127" Type="http://schemas.openxmlformats.org/officeDocument/2006/relationships/header" Target="header7.xml"/><Relationship Id="rId126" Type="http://schemas.openxmlformats.org/officeDocument/2006/relationships/header" Target="header6.xml"/><Relationship Id="rId125" Type="http://schemas.openxmlformats.org/officeDocument/2006/relationships/header" Target="header5.xml"/><Relationship Id="rId124" Type="http://schemas.openxmlformats.org/officeDocument/2006/relationships/header" Target="header4.xml"/><Relationship Id="rId123" Type="http://schemas.openxmlformats.org/officeDocument/2006/relationships/header" Target="header3.xml"/><Relationship Id="rId122" Type="http://schemas.openxmlformats.org/officeDocument/2006/relationships/header" Target="header2.xml"/><Relationship Id="rId121" Type="http://schemas.openxmlformats.org/officeDocument/2006/relationships/footer" Target="footer116.xml"/><Relationship Id="rId120" Type="http://schemas.openxmlformats.org/officeDocument/2006/relationships/footer" Target="footer115.xml"/><Relationship Id="rId12" Type="http://schemas.openxmlformats.org/officeDocument/2006/relationships/footer" Target="footer7.xml"/><Relationship Id="rId119" Type="http://schemas.openxmlformats.org/officeDocument/2006/relationships/footer" Target="footer114.xml"/><Relationship Id="rId118" Type="http://schemas.openxmlformats.org/officeDocument/2006/relationships/footer" Target="footer113.xml"/><Relationship Id="rId117" Type="http://schemas.openxmlformats.org/officeDocument/2006/relationships/footer" Target="footer112.xml"/><Relationship Id="rId116" Type="http://schemas.openxmlformats.org/officeDocument/2006/relationships/footer" Target="footer111.xml"/><Relationship Id="rId115" Type="http://schemas.openxmlformats.org/officeDocument/2006/relationships/footer" Target="footer110.xml"/><Relationship Id="rId114" Type="http://schemas.openxmlformats.org/officeDocument/2006/relationships/footer" Target="footer109.xml"/><Relationship Id="rId113" Type="http://schemas.openxmlformats.org/officeDocument/2006/relationships/footer" Target="footer108.xml"/><Relationship Id="rId112" Type="http://schemas.openxmlformats.org/officeDocument/2006/relationships/footer" Target="footer107.xml"/><Relationship Id="rId111" Type="http://schemas.openxmlformats.org/officeDocument/2006/relationships/footer" Target="footer106.xml"/><Relationship Id="rId110" Type="http://schemas.openxmlformats.org/officeDocument/2006/relationships/footer" Target="footer105.xml"/><Relationship Id="rId11" Type="http://schemas.openxmlformats.org/officeDocument/2006/relationships/footer" Target="footer6.xml"/><Relationship Id="rId109" Type="http://schemas.openxmlformats.org/officeDocument/2006/relationships/footer" Target="footer104.xml"/><Relationship Id="rId108" Type="http://schemas.openxmlformats.org/officeDocument/2006/relationships/footer" Target="footer103.xml"/><Relationship Id="rId107" Type="http://schemas.openxmlformats.org/officeDocument/2006/relationships/footer" Target="footer102.xml"/><Relationship Id="rId106" Type="http://schemas.openxmlformats.org/officeDocument/2006/relationships/footer" Target="footer101.xml"/><Relationship Id="rId105" Type="http://schemas.openxmlformats.org/officeDocument/2006/relationships/footer" Target="footer100.xml"/><Relationship Id="rId104" Type="http://schemas.openxmlformats.org/officeDocument/2006/relationships/footer" Target="footer99.xml"/><Relationship Id="rId103" Type="http://schemas.openxmlformats.org/officeDocument/2006/relationships/footer" Target="footer98.xml"/><Relationship Id="rId102" Type="http://schemas.openxmlformats.org/officeDocument/2006/relationships/footer" Target="footer97.xml"/><Relationship Id="rId101" Type="http://schemas.openxmlformats.org/officeDocument/2006/relationships/footer" Target="footer96.xml"/><Relationship Id="rId100" Type="http://schemas.openxmlformats.org/officeDocument/2006/relationships/footer" Target="footer95.xml"/><Relationship Id="rId10" Type="http://schemas.openxmlformats.org/officeDocument/2006/relationships/footer" Target="footer5.xml"/><Relationship Id="rId1" Type="http://schemas.openxmlformats.org/officeDocument/2006/relationships/styles" Target="styles.xml"/></Relationships>
</file>

<file path=word/_rels/footer117.xml.rels><?xml version="1.0" encoding="UTF-8" standalone="yes"?>
<Relationships xmlns="http://schemas.openxmlformats.org/package/2006/relationships"><Relationship Id="rId1" Type="http://schemas.openxmlformats.org/officeDocument/2006/relationships/image" Target="media/image7.jpeg"/></Relationships>
</file>

<file path=word/_rels/footer119.xml.rels><?xml version="1.0" encoding="UTF-8" standalone="yes"?>
<Relationships xmlns="http://schemas.openxmlformats.org/package/2006/relationships"><Relationship Id="rId1" Type="http://schemas.openxmlformats.org/officeDocument/2006/relationships/image" Target="media/image8.png"/></Relationships>
</file>

<file path=word/_rels/footer120.xml.rels><?xml version="1.0" encoding="UTF-8" standalone="yes"?>
<Relationships xmlns="http://schemas.openxmlformats.org/package/2006/relationships"><Relationship Id="rId1" Type="http://schemas.openxmlformats.org/officeDocument/2006/relationships/image" Target="media/image7.jpeg"/></Relationships>
</file>

<file path=word/_rels/header10.xml.rels><?xml version="1.0" encoding="UTF-8" standalone="yes"?>
<Relationships xmlns="http://schemas.openxmlformats.org/package/2006/relationships"><Relationship Id="rId1" Type="http://schemas.openxmlformats.org/officeDocument/2006/relationships/image" Target="media/image9.jpeg"/></Relationships>
</file>

<file path=word/_rels/header11.xml.rels><?xml version="1.0" encoding="UTF-8" standalone="yes"?>
<Relationships xmlns="http://schemas.openxmlformats.org/package/2006/relationships"><Relationship Id="rId1" Type="http://schemas.openxmlformats.org/officeDocument/2006/relationships/image" Target="media/image10.jpeg"/></Relationships>
</file>

<file path=word/_rels/header12.xml.rels><?xml version="1.0" encoding="UTF-8" standalone="yes"?>
<Relationships xmlns="http://schemas.openxmlformats.org/package/2006/relationships"><Relationship Id="rId1" Type="http://schemas.openxmlformats.org/officeDocument/2006/relationships/image" Target="media/image11.jpeg"/></Relationships>
</file>

<file path=word/_rels/header13.xml.rels><?xml version="1.0" encoding="UTF-8" standalone="yes"?>
<Relationships xmlns="http://schemas.openxmlformats.org/package/2006/relationships"><Relationship Id="rId1" Type="http://schemas.openxmlformats.org/officeDocument/2006/relationships/image" Target="media/image12.jpeg"/></Relationships>
</file>

<file path=word/_rels/header14.xml.rels><?xml version="1.0" encoding="UTF-8" standalone="yes"?>
<Relationships xmlns="http://schemas.openxmlformats.org/package/2006/relationships"><Relationship Id="rId1" Type="http://schemas.openxmlformats.org/officeDocument/2006/relationships/image" Target="media/image13.jpeg"/></Relationships>
</file>

<file path=word/_rels/header15.xml.rels><?xml version="1.0" encoding="UTF-8" standalone="yes"?>
<Relationships xmlns="http://schemas.openxmlformats.org/package/2006/relationships"><Relationship Id="rId1" Type="http://schemas.openxmlformats.org/officeDocument/2006/relationships/image" Target="media/image14.jpeg"/></Relationships>
</file>

<file path=word/_rels/header16.xml.rels><?xml version="1.0" encoding="UTF-8" standalone="yes"?>
<Relationships xmlns="http://schemas.openxmlformats.org/package/2006/relationships"><Relationship Id="rId1" Type="http://schemas.openxmlformats.org/officeDocument/2006/relationships/image" Target="media/image15.jpeg"/></Relationships>
</file>

<file path=word/_rels/header17.xml.rels><?xml version="1.0" encoding="UTF-8" standalone="yes"?>
<Relationships xmlns="http://schemas.openxmlformats.org/package/2006/relationships"><Relationship Id="rId1" Type="http://schemas.openxmlformats.org/officeDocument/2006/relationships/image" Target="media/image16.jpeg"/></Relationships>
</file>

<file path=word/_rels/header18.xml.rels><?xml version="1.0" encoding="UTF-8" standalone="yes"?>
<Relationships xmlns="http://schemas.openxmlformats.org/package/2006/relationships"><Relationship Id="rId1" Type="http://schemas.openxmlformats.org/officeDocument/2006/relationships/image" Target="media/image17.jpeg"/></Relationships>
</file>

<file path=word/_rels/header19.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19.jpeg"/></Relationships>
</file>

<file path=word/_rels/header21.xml.rels><?xml version="1.0" encoding="UTF-8" standalone="yes"?>
<Relationships xmlns="http://schemas.openxmlformats.org/package/2006/relationships"><Relationship Id="rId1" Type="http://schemas.openxmlformats.org/officeDocument/2006/relationships/image" Target="media/image20.jpeg"/></Relationships>
</file>

<file path=word/_rels/header22.xml.rels><?xml version="1.0" encoding="UTF-8" standalone="yes"?>
<Relationships xmlns="http://schemas.openxmlformats.org/package/2006/relationships"><Relationship Id="rId1" Type="http://schemas.openxmlformats.org/officeDocument/2006/relationships/image" Target="media/image21.jpeg"/></Relationships>
</file>

<file path=word/_rels/header23.xml.rels><?xml version="1.0" encoding="UTF-8" standalone="yes"?>
<Relationships xmlns="http://schemas.openxmlformats.org/package/2006/relationships"><Relationship Id="rId1" Type="http://schemas.openxmlformats.org/officeDocument/2006/relationships/image" Target="media/image22.jpeg"/></Relationships>
</file>

<file path=word/_rels/header24.xml.rels><?xml version="1.0" encoding="UTF-8" standalone="yes"?>
<Relationships xmlns="http://schemas.openxmlformats.org/package/2006/relationships"><Relationship Id="rId1" Type="http://schemas.openxmlformats.org/officeDocument/2006/relationships/image" Target="media/image23.jpeg"/></Relationships>
</file>

<file path=word/_rels/header25.xml.rels><?xml version="1.0" encoding="UTF-8" standalone="yes"?>
<Relationships xmlns="http://schemas.openxmlformats.org/package/2006/relationships"><Relationship Id="rId1" Type="http://schemas.openxmlformats.org/officeDocument/2006/relationships/image" Target="media/image24.jpeg"/></Relationships>
</file>

<file path=word/_rels/header26.xml.rels><?xml version="1.0" encoding="UTF-8" standalone="yes"?>
<Relationships xmlns="http://schemas.openxmlformats.org/package/2006/relationships"><Relationship Id="rId1" Type="http://schemas.openxmlformats.org/officeDocument/2006/relationships/image" Target="media/image25.jpeg"/></Relationships>
</file>

<file path=word/_rels/header27.xml.rels><?xml version="1.0" encoding="UTF-8" standalone="yes"?>
<Relationships xmlns="http://schemas.openxmlformats.org/package/2006/relationships"><Relationship Id="rId1" Type="http://schemas.openxmlformats.org/officeDocument/2006/relationships/image" Target="media/image26.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1027"/>
    <customShpInfo spid="_x0000_s1028"/>
    <customShpInfo spid="_x0000_s1026"/>
    <customShpInfo spid="_x0000_s1029"/>
    <customShpInfo spid="_x0000_s1030"/>
    <customShpInfo spid="_x0000_s1031"/>
    <customShpInfo spid="_x0000_s1032"/>
    <customShpInfo spid="_x0000_s1034"/>
    <customShpInfo spid="_x0000_s1035"/>
    <customShpInfo spid="_x0000_s1033"/>
    <customShpInfo spid="_x0000_s1037"/>
    <customShpInfo spid="_x0000_s1038"/>
    <customShpInfo spid="_x0000_s1036"/>
    <customShpInfo spid="_x0000_s1040"/>
    <customShpInfo spid="_x0000_s1041"/>
    <customShpInfo spid="_x0000_s1039"/>
    <customShpInfo spid="_x0000_s1043"/>
    <customShpInfo spid="_x0000_s1044"/>
    <customShpInfo spid="_x0000_s1045"/>
    <customShpInfo spid="_x0000_s1042"/>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3"/>
    <customShpInfo spid="_x0000_s1084"/>
    <customShpInfo spid="_x0000_s1082"/>
    <customShpInfo spid="_x0000_s1085"/>
    <customShpInfo spid="_x0000_s1087"/>
    <customShpInfo spid="_x0000_s1088"/>
    <customShpInfo spid="_x0000_s1086"/>
    <customShpInfo spid="_x0000_s1090"/>
    <customShpInfo spid="_x0000_s1091"/>
    <customShpInfo spid="_x0000_s1089"/>
    <customShpInfo spid="_x0000_s1093"/>
    <customShpInfo spid="_x0000_s1094"/>
    <customShpInfo spid="_x0000_s1092"/>
    <customShpInfo spid="_x0000_s1096"/>
    <customShpInfo spid="_x0000_s1097"/>
    <customShpInfo spid="_x0000_s1095"/>
    <customShpInfo spid="_x0000_s1099"/>
    <customShpInfo spid="_x0000_s1100"/>
    <customShpInfo spid="_x0000_s1098"/>
    <customShpInfo spid="_x0000_s1102"/>
    <customShpInfo spid="_x0000_s1103"/>
    <customShpInfo spid="_x0000_s1101"/>
    <customShpInfo spid="_x0000_s1105"/>
    <customShpInfo spid="_x0000_s1106"/>
    <customShpInfo spid="_x0000_s1104"/>
    <customShpInfo spid="_x0000_s1108"/>
    <customShpInfo spid="_x0000_s1109"/>
    <customShpInfo spid="_x0000_s1107"/>
    <customShpInfo spid="_x0000_s1111"/>
    <customShpInfo spid="_x0000_s1112"/>
    <customShpInfo spid="_x0000_s1110"/>
    <customShpInfo spid="_x0000_s1114"/>
    <customShpInfo spid="_x0000_s1115"/>
    <customShpInfo spid="_x0000_s1113"/>
    <customShpInfo spid="_x0000_s1117"/>
    <customShpInfo spid="_x0000_s1118"/>
    <customShpInfo spid="_x0000_s1116"/>
    <customShpInfo spid="_x0000_s1120"/>
    <customShpInfo spid="_x0000_s1121"/>
    <customShpInfo spid="_x0000_s1119"/>
    <customShpInfo spid="_x0000_s1123"/>
    <customShpInfo spid="_x0000_s1124"/>
    <customShpInfo spid="_x0000_s1122"/>
    <customShpInfo spid="_x0000_s1125"/>
    <customShpInfo spid="_x0000_s1126"/>
    <customShpInfo spid="_x0000_s1128"/>
    <customShpInfo spid="_x0000_s1129"/>
    <customShpInfo spid="_x0000_s1127"/>
    <customShpInfo spid="_x0000_s1130"/>
    <customShpInfo spid="_x0000_s1132"/>
    <customShpInfo spid="_x0000_s1133"/>
    <customShpInfo spid="_x0000_s1131"/>
    <customShpInfo spid="_x0000_s1134"/>
    <customShpInfo spid="_x0000_s1135"/>
    <customShpInfo spid="_x0000_s1137"/>
    <customShpInfo spid="_x0000_s1138"/>
    <customShpInfo spid="_x0000_s1136"/>
    <customShpInfo spid="_x0000_s1140"/>
    <customShpInfo spid="_x0000_s1141"/>
    <customShpInfo spid="_x0000_s1139"/>
    <customShpInfo spid="_x0000_s1142"/>
    <customShpInfo spid="_x0000_s1143"/>
    <customShpInfo spid="_x0000_s1144"/>
    <customShpInfo spid="_x0000_s1145"/>
    <customShpInfo spid="_x0000_s1146"/>
    <customShpInfo spid="_x0000_s1148"/>
    <customShpInfo spid="_x0000_s1149"/>
    <customShpInfo spid="_x0000_s1150"/>
    <customShpInfo spid="_x0000_s1147"/>
    <customShpInfo spid="_x0000_s1151"/>
    <customShpInfo spid="_x0000_s1152"/>
    <customShpInfo spid="_x0000_s1153"/>
    <customShpInfo spid="_x0000_s1154"/>
    <customShpInfo spid="_x0000_s1156"/>
    <customShpInfo spid="_x0000_s1157"/>
    <customShpInfo spid="_x0000_s1155"/>
    <customShpInfo spid="_x0000_s1158"/>
    <customShpInfo spid="_x0000_s1159"/>
    <customShpInfo spid="_x0000_s1161"/>
    <customShpInfo spid="_x0000_s1162"/>
    <customShpInfo spid="_x0000_s1160"/>
  </customShpExts>
</s:customData>
</file>

<file path=customXml/item2.xml><?xml version="1.0" encoding="utf-8"?>
<contractReview xmlns="http://schemas.wps.cn/vas-ai-hub/contract-review">
  <reviewItems xmlns="http://schemas.wps.cn/vas-ai-hub/contract-review">
    <reviewItem xmlns="http://schemas.wps.cn/vas-ai-hub/contract-review">
      <errorID xmlns="http://schemas.wps.cn/vas-ai-hub/contract-review">9b87a94d-8807-4402-bc4a-5d821111318c</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28377C77</paraID>
      <start xmlns="http://schemas.wps.cn/vas-ai-hub/contract-review">3</start>
      <end xmlns="http://schemas.wps.cn/vas-ai-hub/contract-review">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843c5d25-8c97-4ebb-a431-24e1a70fc32f</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28377C77</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38fcb29a-288c-4ae4-8224-82be2e7f2cd0</errorID>
      <errorWord xmlns="http://schemas.wps.cn/vas-ai-hub/contract-review">无需设置</errorWord>
      <group xmlns="http://schemas.wps.cn/vas-ai-hub/contract-review">L1_Word</group>
      <groupName xmlns="http://schemas.wps.cn/vas-ai-hub/contract-review">字词问题</groupName>
      <ability xmlns="http://schemas.wps.cn/vas-ai-hub/contract-review">L2_Alias</ability>
      <abilityName xmlns="http://schemas.wps.cn/vas-ai-hub/contract-review">也作/曾用词</abilityName>
      <candidateList xmlns="http://schemas.wps.cn/vas-ai-hub/contract-review">
        <item xmlns="http://schemas.wps.cn/vas-ai-hub/contract-review">无须设置</item>
      </candidateList>
      <explain xmlns="http://schemas.wps.cn/vas-ai-hub/contract-review">词汇[无需设置]为不规范表述或旧称，其规范书面表述为[无须设置]。</explain>
      <paraID xmlns="http://schemas.wps.cn/vas-ai-hub/contract-review">6C9EE504</paraID>
      <start xmlns="http://schemas.wps.cn/vas-ai-hub/contract-review">11</start>
      <end xmlns="http://schemas.wps.cn/vas-ai-hub/contract-review">15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cdc9acf6-381f-4adf-b989-c668b0ac4400</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标点符号检查</abilityName>
      <candidateList xmlns="http://schemas.wps.cn/vas-ai-hub/contract-review">
        <item xmlns="http://schemas.wps.cn/vas-ai-hub/contract-review">“</item>
      </candidateList>
      <explain xmlns="http://schemas.wps.cn/vas-ai-hub/contract-review">注意检查双引号的方向是否正确。</explain>
      <paraID xmlns="http://schemas.wps.cn/vas-ai-hub/contract-review">2C1BC009</paraID>
      <start xmlns="http://schemas.wps.cn/vas-ai-hub/contract-review">72</start>
      <end xmlns="http://schemas.wps.cn/vas-ai-hub/contract-review">73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aaad33f5-d5dd-4b32-9c07-0329e988b293</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2C1BC009</paraID>
      <start xmlns="http://schemas.wps.cn/vas-ai-hub/contract-review">138</start>
      <end xmlns="http://schemas.wps.cn/vas-ai-hub/contract-review">139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32aa3e4b-200a-4103-be47-509fa3e44363</errorID>
      <errorWord xmlns="http://schemas.wps.cn/vas-ai-hub/contract-review">目</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目标</item>
      </candidateList>
      <explain xmlns="http://schemas.wps.cn/vas-ai-hub/contract-review">〈名〉❶射击、攻击或寻求的对象：看清～｜发现～。❷想要达到的境地或标准：奋斗～。</explain>
      <paraID xmlns="http://schemas.wps.cn/vas-ai-hub/contract-review">316129DA</paraID>
      <start xmlns="http://schemas.wps.cn/vas-ai-hub/contract-review">8</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eb8a3f48-1fd5-4527-bc84-149556b6e023</errorID>
      <errorWord xmlns="http://schemas.wps.cn/vas-ai-hub/contract-review">目</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目标</item>
      </candidateList>
      <explain xmlns="http://schemas.wps.cn/vas-ai-hub/contract-review">〈名〉❶射击、攻击或寻求的对象：看清～｜发现～。❷想要达到的境地或标准：奋斗～。</explain>
      <paraID xmlns="http://schemas.wps.cn/vas-ai-hub/contract-review">43C063B8</paraID>
      <start xmlns="http://schemas.wps.cn/vas-ai-hub/contract-review">8</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31e87352-e056-4257-ae91-84ca23b70b83</errorID>
      <errorWord xmlns="http://schemas.wps.cn/vas-ai-hub/contract-review">提高</errorWord>
      <group xmlns="http://schemas.wps.cn/vas-ai-hub/contract-review">L1_Grammar</group>
      <groupName xmlns="http://schemas.wps.cn/vas-ai-hub/contract-review">语法问题</groupName>
      <ability xmlns="http://schemas.wps.cn/vas-ai-hub/contract-review">L2_Collocation</ability>
      <abilityName xmlns="http://schemas.wps.cn/vas-ai-hub/contract-review">搭配不当</abilityName>
      <candidateList xmlns="http://schemas.wps.cn/vas-ai-hub/contract-review">
        <item xmlns="http://schemas.wps.cn/vas-ai-hub/contract-review">加大</item>
      </candidateList>
      <explain xmlns="http://schemas.wps.cn/vas-ai-hub/contract-review">句子中可能存在主谓、动宾、定语中心语、状语中心语、补语中心语、关联词搭配不当等问题。</explain>
      <paraID xmlns="http://schemas.wps.cn/vas-ai-hub/contract-review"> 79BACC5</paraID>
      <start xmlns="http://schemas.wps.cn/vas-ai-hub/contract-review">35</start>
      <end xmlns="http://schemas.wps.cn/vas-ai-hub/contract-review">37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c857f3fb-7973-4770-9dd9-167a16f08472</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3B1706BF</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1b79d821-5238-422a-8b3f-36dfe62d87dc</errorID>
      <errorWord xmlns="http://schemas.wps.cn/vas-ai-hub/contract-review">“放管服 ”改革</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“放管服”改革</item>
      </candidateList>
      <explain xmlns="http://schemas.wps.cn/vas-ai-hub/contract-review">词汇““放管服”改革”在特定场景下为固定表述形式，请确认此处的““放管服 ”改革”是否存在不当。</explain>
      <paraID xmlns="http://schemas.wps.cn/vas-ai-hub/contract-review">662619FB</paraID>
      <start xmlns="http://schemas.wps.cn/vas-ai-hub/contract-review">8</start>
      <end xmlns="http://schemas.wps.cn/vas-ai-hub/contract-review">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86e961f9-1b2c-4f38-81e9-00617c2ea767</errorID>
      <errorWord xmlns="http://schemas.wps.cn/vas-ai-hub/contract-review">交有</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交由</item>
      </candidateList>
      <explain xmlns="http://schemas.wps.cn/vas-ai-hub/contract-review"/>
      <paraID xmlns="http://schemas.wps.cn/vas-ai-hub/contract-review">4430191A</paraID>
      <start xmlns="http://schemas.wps.cn/vas-ai-hub/contract-review">203</start>
      <end xmlns="http://schemas.wps.cn/vas-ai-hub/contract-review">205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4fa0cb53-a2e2-4e99-aa06-55705c738e2a</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24A168DE</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84c83885-cfa7-4a4b-9279-1972a9939810</errorID>
      <errorWord xmlns="http://schemas.wps.cn/vas-ai-hub/contract-review">交有</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交由</item>
      </candidateList>
      <explain xmlns="http://schemas.wps.cn/vas-ai-hub/contract-review"/>
      <paraID xmlns="http://schemas.wps.cn/vas-ai-hub/contract-review">7CD9C02B</paraID>
      <start xmlns="http://schemas.wps.cn/vas-ai-hub/contract-review">65</start>
      <end xmlns="http://schemas.wps.cn/vas-ai-hub/contract-review">67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61d77032-9b72-4596-829c-67903566dff9</errorID>
      <errorWord xmlns="http://schemas.wps.cn/vas-ai-hub/contract-review">交有</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交由</item>
      </candidateList>
      <explain xmlns="http://schemas.wps.cn/vas-ai-hub/contract-review">存在发音相同字词的误用。</explain>
      <paraID xmlns="http://schemas.wps.cn/vas-ai-hub/contract-review">59915D4D</paraID>
      <start xmlns="http://schemas.wps.cn/vas-ai-hub/contract-review">65</start>
      <end xmlns="http://schemas.wps.cn/vas-ai-hub/contract-review">67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d8fa981a-7c11-46c1-9afc-7a625df8ffa5</errorID>
      <errorWord xmlns="http://schemas.wps.cn/vas-ai-hub/contract-review">6、</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6.</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6FDB2E7E</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2b9843ad-8500-437a-8e9a-1b7bff621714</errorID>
      <errorWord xmlns="http://schemas.wps.cn/vas-ai-hub/contract-review">围</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围内</item>
      </candidateList>
      <explain xmlns="http://schemas.wps.cn/vas-ai-hub/contract-review"/>
      <paraID xmlns="http://schemas.wps.cn/vas-ai-hub/contract-review">269ACE9D</paraID>
      <start xmlns="http://schemas.wps.cn/vas-ai-hub/contract-review">88</start>
      <end xmlns="http://schemas.wps.cn/vas-ai-hub/contract-review">89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a9367e7c-713e-4a03-bc5e-c43d993cdfe9</errorID>
      <errorWord xmlns="http://schemas.wps.cn/vas-ai-hub/contract-review">构成的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构成</item>
      </candidateList>
      <explain xmlns="http://schemas.wps.cn/vas-ai-hub/contract-review">❶〈动〉〈形〉成；造成：眼镜由镜片和镜架～｜违法情节轻微，还没有～犯罪。❷〈名〉结构▲：研究所目前的人员～不太合理。</explain>
      <paraID xmlns="http://schemas.wps.cn/vas-ai-hub/contract-review">6C0BDC3D</paraID>
      <start xmlns="http://schemas.wps.cn/vas-ai-hub/contract-review">106</start>
      <end xmlns="http://schemas.wps.cn/vas-ai-hub/contract-review">109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6be425fa-d849-4fa8-afaf-52363b8c8a06</errorID>
      <errorWord xmlns="http://schemas.wps.cn/vas-ai-hub/contract-review">少于</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小于</item>
      </candidateList>
      <explain xmlns="http://schemas.wps.cn/vas-ai-hub/contract-review">存在字形相近字词的误用。</explain>
      <paraID xmlns="http://schemas.wps.cn/vas-ai-hub/contract-review">6C0BDC3D</paraID>
      <start xmlns="http://schemas.wps.cn/vas-ai-hub/contract-review">148</start>
      <end xmlns="http://schemas.wps.cn/vas-ai-hub/contract-review">150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9b2f3ff3-99ca-4f4d-ae07-ee8c56de4fd3</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，对</item>
      </candidateList>
      <explain xmlns="http://schemas.wps.cn/vas-ai-hub/contract-review"/>
      <paraID xmlns="http://schemas.wps.cn/vas-ai-hub/contract-review"> BDB181E</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c3ce269c-2a16-4313-8321-206c24ad70ea</errorID>
      <errorWord xmlns="http://schemas.wps.cn/vas-ai-hub/contract-review">束</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束后</item>
      </candidateList>
      <explain xmlns="http://schemas.wps.cn/vas-ai-hub/contract-review"/>
      <paraID xmlns="http://schemas.wps.cn/vas-ai-hub/contract-review">20F90DAE</paraID>
      <start xmlns="http://schemas.wps.cn/vas-ai-hub/contract-review">94</start>
      <end xmlns="http://schemas.wps.cn/vas-ai-hub/contract-review">95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b246fd2f-7d37-45d9-9c05-494fb4f9f68b</errorID>
      <errorWord xmlns="http://schemas.wps.cn/vas-ai-hub/contract-review">堆放区</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堆放</item>
      </candidateList>
      <explain xmlns="http://schemas.wps.cn/vas-ai-hub/contract-review"/>
      <paraID xmlns="http://schemas.wps.cn/vas-ai-hub/contract-review">3B17D826</paraID>
      <start xmlns="http://schemas.wps.cn/vas-ai-hub/contract-review">61</start>
      <end xmlns="http://schemas.wps.cn/vas-ai-hub/contract-review">64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ce7819a2-6b28-4a55-8858-b5dcc862524b</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A75AF7D</paraID>
      <start xmlns="http://schemas.wps.cn/vas-ai-hub/contract-review">3</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5625f758-9423-49cb-9fea-75edfafbb33e</errorID>
      <errorWord xmlns="http://schemas.wps.cn/vas-ai-hub/contract-review">的</errorWord>
      <group xmlns="http://schemas.wps.cn/vas-ai-hub/contract-review">L1_Word</group>
      <groupName xmlns="http://schemas.wps.cn/vas-ai-hub/contract-review">字词问题</groupName>
      <ability xmlns="http://schemas.wps.cn/vas-ai-hub/contract-review">L2_DDD</ability>
      <abilityName xmlns="http://schemas.wps.cn/vas-ai-hub/contract-review">的地得用法</abilityName>
      <candidateList xmlns="http://schemas.wps.cn/vas-ai-hub/contract-review">
        <item xmlns="http://schemas.wps.cn/vas-ai-hub/contract-review">地</item>
      </candidateList>
      <explain xmlns="http://schemas.wps.cn/vas-ai-hub/contract-review">“地”常用于连接修饰语与动词性中心语，表示动作的方式、状态或程度。</explain>
      <paraID xmlns="http://schemas.wps.cn/vas-ai-hub/contract-review"> 237F17D</paraID>
      <start xmlns="http://schemas.wps.cn/vas-ai-hub/contract-review">67</start>
      <end xmlns="http://schemas.wps.cn/vas-ai-hub/contract-review">68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7532cf77-f731-4f3d-9faa-bbe7df4f1884</errorID>
      <errorWord xmlns="http://schemas.wps.cn/vas-ai-hub/contract-review">树立</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竖立</item>
      </candidateList>
      <explain xmlns="http://schemas.wps.cn/vas-ai-hub/contract-review">存在发音相同字词的误用。</explain>
      <paraID xmlns="http://schemas.wps.cn/vas-ai-hub/contract-review">256C38B7</paraID>
      <start xmlns="http://schemas.wps.cn/vas-ai-hub/contract-review">40</start>
      <end xmlns="http://schemas.wps.cn/vas-ai-hub/contract-review">42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0e1a1bfb-ee4b-45c1-bc62-8b5d2babb691</errorID>
      <errorWord xmlns="http://schemas.wps.cn/vas-ai-hub/contract-review">8、</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8.</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29227DD6</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2a480f2a-73fd-4290-b4d9-94272595fa87</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，并</item>
      </candidateList>
      <explain xmlns="http://schemas.wps.cn/vas-ai-hub/contract-review"/>
      <paraID xmlns="http://schemas.wps.cn/vas-ai-hub/contract-review">7BC81F8B</paraID>
      <start xmlns="http://schemas.wps.cn/vas-ai-hub/contract-review">32</start>
      <end xmlns="http://schemas.wps.cn/vas-ai-hub/contract-review">33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2132047f-b53b-43ee-b417-174a9855c32c</errorID>
      <errorWord xmlns="http://schemas.wps.cn/vas-ai-hub/contract-review">上线</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上限</item>
      </candidateList>
      <explain xmlns="http://schemas.wps.cn/vas-ai-hub/contract-review"/>
      <paraID xmlns="http://schemas.wps.cn/vas-ai-hub/contract-review">359A8117</paraID>
      <start xmlns="http://schemas.wps.cn/vas-ai-hub/contract-review">62</start>
      <end xmlns="http://schemas.wps.cn/vas-ai-hub/contract-review">64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491937d7-dfcf-49aa-bab5-2120e8b9df09</errorID>
      <errorWord xmlns="http://schemas.wps.cn/vas-ai-hub/contract-review">根据在</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根据</item>
      </candidateList>
      <explain xmlns="http://schemas.wps.cn/vas-ai-hub/contract-review">❶〈介〉把某种事物作为结论的前提或语言行动的基础：～气象台的预报，明天要下雨｜～大家的意见，把计划修改一下。❷〈名〉作为根据的事物：说话要有～。❸〈动〉以某种事物为依据：财政支出必须～节约的原则。</explain>
      <paraID xmlns="http://schemas.wps.cn/vas-ai-hub/contract-review">7A5A87B0</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b92ebcc9-c074-4d40-8574-7171844edf8c</errorID>
      <errorWord xmlns="http://schemas.wps.cn/vas-ai-hub/contract-review">三线一单</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‘三线一单’</item>
      </candidateList>
      <explain xmlns="http://schemas.wps.cn/vas-ai-hub/contract-review">注意检查当前固定表述标点是否使用规范。</explain>
      <paraID xmlns="http://schemas.wps.cn/vas-ai-hub/contract-review">7A5A87B0</paraID>
      <start xmlns="http://schemas.wps.cn/vas-ai-hub/contract-review">10</start>
      <end xmlns="http://schemas.wps.cn/vas-ai-hub/contract-review">14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707fed9f-6c05-40d4-a59e-f00c08d8964e</errorID>
      <errorWord xmlns="http://schemas.wps.cn/vas-ai-hub/contract-review">控</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控制</item>
      </candidateList>
      <explain xmlns="http://schemas.wps.cn/vas-ai-hub/contract-review"/>
      <paraID xmlns="http://schemas.wps.cn/vas-ai-hub/contract-review">6D608A27</paraID>
      <start xmlns="http://schemas.wps.cn/vas-ai-hub/contract-review">92</start>
      <end xmlns="http://schemas.wps.cn/vas-ai-hub/contract-review">93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3a3e6dcf-9152-4c9c-9469-451675f0a76a</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353D7249</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21e06530-7154-4ecf-821e-7f61bd89ce91</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176A26BA</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03562cbe-8e09-4ace-822d-cf111324b5a9</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，对</item>
      </candidateList>
      <explain xmlns="http://schemas.wps.cn/vas-ai-hub/contract-review"/>
      <paraID xmlns="http://schemas.wps.cn/vas-ai-hub/contract-review">176A26BA</paraID>
      <start xmlns="http://schemas.wps.cn/vas-ai-hub/contract-review">27</start>
      <end xmlns="http://schemas.wps.cn/vas-ai-hub/contract-review">28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2bd66201-b21f-411e-8e36-d6f54a3f1365</errorID>
      <errorWord xmlns="http://schemas.wps.cn/vas-ai-hub/contract-review">10、</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10.</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4630C072</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4682aa56-f32e-4551-9426-71ea38b8e2af</errorID>
      <errorWord xmlns="http://schemas.wps.cn/vas-ai-hub/contract-review">交有</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交由</item>
      </candidateList>
      <explain xmlns="http://schemas.wps.cn/vas-ai-hub/contract-review"/>
      <paraID xmlns="http://schemas.wps.cn/vas-ai-hub/contract-review"> 8738A6B</paraID>
      <start xmlns="http://schemas.wps.cn/vas-ai-hub/contract-review">2</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402d6287-399a-47fb-94f6-864a00999cf6</errorID>
      <errorWord xmlns="http://schemas.wps.cn/vas-ai-hub/contract-review">11、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69DC33F2</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3d486879-d6ab-4f42-86bf-b7153aa1e8b5</errorID>
      <errorWord xmlns="http://schemas.wps.cn/vas-ai-hub/contract-review">交有</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交由</item>
      </candidateList>
      <explain xmlns="http://schemas.wps.cn/vas-ai-hub/contract-review">存在发音相同字词的误用。</explain>
      <paraID xmlns="http://schemas.wps.cn/vas-ai-hub/contract-review">69DC33F2</paraID>
      <start xmlns="http://schemas.wps.cn/vas-ai-hub/contract-review">55</start>
      <end xmlns="http://schemas.wps.cn/vas-ai-hub/contract-review">57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74b4730e-c53a-4f5f-a96c-f5aa4cc3c19b</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1F07EAC9</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c30a6e7b-8094-4dd1-bbf7-43ec7af2b483</errorID>
      <errorWord xmlns="http://schemas.wps.cn/vas-ai-hub/contract-review">程</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程中</item>
      </candidateList>
      <explain xmlns="http://schemas.wps.cn/vas-ai-hub/contract-review"/>
      <paraID xmlns="http://schemas.wps.cn/vas-ai-hub/contract-review">45DF46A1</paraID>
      <start xmlns="http://schemas.wps.cn/vas-ai-hub/contract-review">21</start>
      <end xmlns="http://schemas.wps.cn/vas-ai-hub/contract-review">22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af5d7c06-f1b7-4036-89bb-95874b8793e4</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39426FD3</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2987c86b-a2ec-4f52-ac64-f937f3dd8546</errorID>
      <errorWord xmlns="http://schemas.wps.cn/vas-ai-hub/contract-review">交有</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交由</item>
      </candidateList>
      <explain xmlns="http://schemas.wps.cn/vas-ai-hub/contract-review">存在发音相同字词的误用。</explain>
      <paraID xmlns="http://schemas.wps.cn/vas-ai-hub/contract-review">39426FD3</paraID>
      <start xmlns="http://schemas.wps.cn/vas-ai-hub/contract-review">85</start>
      <end xmlns="http://schemas.wps.cn/vas-ai-hub/contract-review">87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cd19d72d-15a7-428b-8459-f4c556c9cccf</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19261F70</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f904576f-9c22-4349-b603-4b726259b22e</errorID>
      <errorWord xmlns="http://schemas.wps.cn/vas-ai-hub/contract-review">获</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获得</item>
      </candidateList>
      <explain xmlns="http://schemas.wps.cn/vas-ai-hub/contract-review">〈动〉取得；得到（多用于抽象事物）：～好评｜～宝贵的经验｜～显著的成绩。</explain>
      <paraID xmlns="http://schemas.wps.cn/vas-ai-hub/contract-review">2F97161B</paraID>
      <start xmlns="http://schemas.wps.cn/vas-ai-hub/contract-review">155</start>
      <end xmlns="http://schemas.wps.cn/vas-ai-hub/contract-review">156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e4a53655-a6bc-4d60-92d0-55a1467d5ee3</errorID>
      <errorWord xmlns="http://schemas.wps.cn/vas-ai-hub/contract-review">场</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厂</item>
      </candidateList>
      <explain xmlns="http://schemas.wps.cn/vas-ai-hub/contract-review">存在发音相同字词的误用。</explain>
      <paraID xmlns="http://schemas.wps.cn/vas-ai-hub/contract-review">7C2A3D09</paraID>
      <start xmlns="http://schemas.wps.cn/vas-ai-hub/contract-review">0</start>
      <end xmlns="http://schemas.wps.cn/vas-ai-hub/contract-review">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b21baece-4b49-4e42-9b3b-b9639a419600</errorID>
      <errorWord xmlns="http://schemas.wps.cn/vas-ai-hub/contract-review">在井场在井场</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在井场</item>
      </candidateList>
      <explain xmlns="http://schemas.wps.cn/vas-ai-hub/contract-review"/>
      <paraID xmlns="http://schemas.wps.cn/vas-ai-hub/contract-review">265F0636</paraID>
      <start xmlns="http://schemas.wps.cn/vas-ai-hub/contract-review">13</start>
      <end xmlns="http://schemas.wps.cn/vas-ai-hub/contract-review">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0acec6b9-ece3-47b0-8ef2-e12666ff7c59</errorID>
      <errorWord xmlns="http://schemas.wps.cn/vas-ai-hub/contract-review">做</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作</item>
      </candidateList>
      <explain xmlns="http://schemas.wps.cn/vas-ai-hub/contract-review">存在发音相同字词的误用。</explain>
      <paraID xmlns="http://schemas.wps.cn/vas-ai-hub/contract-review">3F50CEFC</paraID>
      <start xmlns="http://schemas.wps.cn/vas-ai-hub/contract-review">3</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daac2434-0134-47ec-ac45-78387ea1d693</errorID>
      <errorWord xmlns="http://schemas.wps.cn/vas-ai-hub/contract-review">做</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作</item>
      </candidateList>
      <explain xmlns="http://schemas.wps.cn/vas-ai-hub/contract-review">存在发音相同字词的误用。</explain>
      <paraID xmlns="http://schemas.wps.cn/vas-ai-hub/contract-review">78C91B0A</paraID>
      <start xmlns="http://schemas.wps.cn/vas-ai-hub/contract-review">3</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a02f411c-d1c8-4356-ae40-9b2c6c31d6d9</errorID>
      <errorWord xmlns="http://schemas.wps.cn/vas-ai-hub/contract-review">粘土</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黏土</item>
      </candidateList>
      <explain xmlns="http://schemas.wps.cn/vas-ai-hub/contract-review">存在发音相同字词的误用。</explain>
      <paraID xmlns="http://schemas.wps.cn/vas-ai-hub/contract-review">3D47B5DF</paraID>
      <start xmlns="http://schemas.wps.cn/vas-ai-hub/contract-review">2</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7a89f293-732d-4d1b-9ed9-b0c12772104c</errorID>
      <errorWord xmlns="http://schemas.wps.cn/vas-ai-hub/contract-review">粘度</errorWord>
      <group xmlns="http://schemas.wps.cn/vas-ai-hub/contract-review">L1_Word</group>
      <groupName xmlns="http://schemas.wps.cn/vas-ai-hub/contract-review">字词问题</groupName>
      <ability xmlns="http://schemas.wps.cn/vas-ai-hub/contract-review">L2_Alias</ability>
      <abilityName xmlns="http://schemas.wps.cn/vas-ai-hub/contract-review">也作/曾用词</abilityName>
      <candidateList xmlns="http://schemas.wps.cn/vas-ai-hub/contract-review">
        <item xmlns="http://schemas.wps.cn/vas-ai-hub/contract-review">黏度</item>
      </candidateList>
      <explain xmlns="http://schemas.wps.cn/vas-ai-hub/contract-review">词汇[粘度]为不规范表述或旧称，其规范书面表述为[黏度]。</explain>
      <paraID xmlns="http://schemas.wps.cn/vas-ai-hub/contract-review">2F52AFA0</paraID>
      <start xmlns="http://schemas.wps.cn/vas-ai-hub/contract-review">7</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9b5fa814-2cf7-49d9-81d3-968967da0067</errorID>
      <errorWord xmlns="http://schemas.wps.cn/vas-ai-hub/contract-review">单项</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单相</item>
      </candidateList>
      <explain xmlns="http://schemas.wps.cn/vas-ai-hub/contract-review">存在发音相同字词的误用。</explain>
      <paraID xmlns="http://schemas.wps.cn/vas-ai-hub/contract-review">6ED51BAA</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92f6963b-8ca7-4784-bf70-72102d0724c7</errorID>
      <errorWord xmlns="http://schemas.wps.cn/vas-ai-hub/contract-review">聚丙烯酰钾</errorWord>
      <group xmlns="http://schemas.wps.cn/vas-ai-hub/contract-review">L1_Knowledge</group>
      <groupName xmlns="http://schemas.wps.cn/vas-ai-hub/contract-review">知识性问题</groupName>
      <ability xmlns="http://schemas.wps.cn/vas-ai-hub/contract-review">L2_Term</ability>
      <abilityName xmlns="http://schemas.wps.cn/vas-ai-hub/contract-review">专业术语</abilityName>
      <candidateList xmlns="http://schemas.wps.cn/vas-ai-hub/contract-review">
        <item xmlns="http://schemas.wps.cn/vas-ai-hub/contract-review">聚丙烯酰胺</item>
      </candidateList>
      <explain xmlns="http://schemas.wps.cn/vas-ai-hub/contract-review"/>
      <paraID xmlns="http://schemas.wps.cn/vas-ai-hub/contract-review"> 3526142</paraID>
      <start xmlns="http://schemas.wps.cn/vas-ai-hub/contract-review">11</start>
      <end xmlns="http://schemas.wps.cn/vas-ai-hub/contract-review">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8300d074-81de-4438-be0f-00ef12fb87e3</errorID>
      <errorWord xmlns="http://schemas.wps.cn/vas-ai-hub/contract-review">其它</errorWord>
      <group xmlns="http://schemas.wps.cn/vas-ai-hub/contract-review">L1_Word</group>
      <groupName xmlns="http://schemas.wps.cn/vas-ai-hub/contract-review">字词问题</groupName>
      <ability xmlns="http://schemas.wps.cn/vas-ai-hub/contract-review">L2_Alias</ability>
      <abilityName xmlns="http://schemas.wps.cn/vas-ai-hub/contract-review">也作/曾用词</abilityName>
      <candidateList xmlns="http://schemas.wps.cn/vas-ai-hub/contract-review">
        <item xmlns="http://schemas.wps.cn/vas-ai-hub/contract-review">其他</item>
      </candidateList>
      <explain xmlns="http://schemas.wps.cn/vas-ai-hub/contract-review">词汇[其它]为不规范表述或旧称，其规范书面表述为[其他]。</explain>
      <paraID xmlns="http://schemas.wps.cn/vas-ai-hub/contract-review"> E00065C</paraID>
      <start xmlns="http://schemas.wps.cn/vas-ai-hub/contract-review">13</start>
      <end xmlns="http://schemas.wps.cn/vas-ai-hub/contract-review">15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2b5e13e7-89da-43f2-b804-6cfff847112f</errorID>
      <errorWord xmlns="http://schemas.wps.cn/vas-ai-hub/contract-review">其它堵漏</errorWord>
      <group xmlns="http://schemas.wps.cn/vas-ai-hub/contract-review">L1_Word</group>
      <groupName xmlns="http://schemas.wps.cn/vas-ai-hub/contract-review">字词问题</groupName>
      <ability xmlns="http://schemas.wps.cn/vas-ai-hub/contract-review">L2_Alias</ability>
      <abilityName xmlns="http://schemas.wps.cn/vas-ai-hub/contract-review">也作/曾用词</abilityName>
      <candidateList xmlns="http://schemas.wps.cn/vas-ai-hub/contract-review">
        <item xmlns="http://schemas.wps.cn/vas-ai-hub/contract-review">其他堵漏</item>
      </candidateList>
      <explain xmlns="http://schemas.wps.cn/vas-ai-hub/contract-review">词汇[其它堵漏]为不规范表述或旧称，其规范书面表述为[其他堵漏]。</explain>
      <paraID xmlns="http://schemas.wps.cn/vas-ai-hub/contract-review">4262485F</paraID>
      <start xmlns="http://schemas.wps.cn/vas-ai-hub/contract-review">7</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c9e4ec4e-412e-43c3-81fc-c17cb5fae3da</errorID>
      <errorWord xmlns="http://schemas.wps.cn/vas-ai-hub/contract-review">低荧光</errorWord>
      <group xmlns="http://schemas.wps.cn/vas-ai-hub/contract-review">L1_Knowledge</group>
      <groupName xmlns="http://schemas.wps.cn/vas-ai-hub/contract-review">知识性问题</groupName>
      <ability xmlns="http://schemas.wps.cn/vas-ai-hub/contract-review">L2_Term</ability>
      <abilityName xmlns="http://schemas.wps.cn/vas-ai-hub/contract-review">专业术语</abilityName>
      <candidateList xmlns="http://schemas.wps.cn/vas-ai-hub/contract-review">
        <item xmlns="http://schemas.wps.cn/vas-ai-hub/contract-review">弱荧光</item>
      </candidateList>
      <explain xmlns="http://schemas.wps.cn/vas-ai-hub/contract-review">医学名词[低荧光]为不规范表述或旧称，其规范书面表述为[弱荧光]。</explain>
      <paraID xmlns="http://schemas.wps.cn/vas-ai-hub/contract-review">417581A9</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8d243fd1-5db8-4bae-84a5-d0784ec5c0ea</errorID>
      <errorWord xmlns="http://schemas.wps.cn/vas-ai-hub/contract-review">70%-90%</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70%—90%</item>
      </candidateList>
      <explain xmlns="http://schemas.wps.cn/vas-ai-hub/contract-review">1. “70%-90%”中的单位“%”仅出现在后一个数字上，容易引起歧义；根据《现代汉语标点符号数字用法规范手册》，数字表示范围两边需要使用统一的格式。2. 根据标点国标 4.13 中的规则，数字、时间或地域连接符应使用（视觉上更长的）“—”或“～”。</explain>
      <paraID xmlns="http://schemas.wps.cn/vas-ai-hub/contract-review">3CCE439D</paraID>
      <start xmlns="http://schemas.wps.cn/vas-ai-hub/contract-review">1</start>
      <end xmlns="http://schemas.wps.cn/vas-ai-hub/contract-review">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80fb5af5-0589-4b18-a3a4-96692eff073b</errorID>
      <errorWord xmlns="http://schemas.wps.cn/vas-ai-hub/contract-review">5%-20%</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5%—20%</item>
      </candidateList>
      <explain xmlns="http://schemas.wps.cn/vas-ai-hub/contract-review">1. “5%-20%”中的单位“%”仅出现在后一个数字上，容易引起歧义；根据《现代汉语标点符号数字用法规范手册》，数字表示范围两边需要使用统一的格式。2. 根据标点国标 4.13 中的规则，数字、时间或地域连接符应使用（视觉上更长的）“—”或“～”。</explain>
      <paraID xmlns="http://schemas.wps.cn/vas-ai-hub/contract-review">74FA330E</paraID>
      <start xmlns="http://schemas.wps.cn/vas-ai-hub/contract-review">1</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5ef6d479-4d9b-4188-93e7-7606dad1ff96</errorID>
      <errorWord xmlns="http://schemas.wps.cn/vas-ai-hub/contract-review">1.2%-20%</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1.2%—20%</item>
      </candidateList>
      <explain xmlns="http://schemas.wps.cn/vas-ai-hub/contract-review">1. “1.2%-20%”中的单位“%”仅出现在后一个数字上，容易引起歧义；根据《现代汉语标点符号数字用法规范手册》，数字表示范围两边需要使用统一的格式。2. 根据标点国标 4.13 中的规则，数字、时间或地域连接符应使用（视觉上更长的）“—”或“～”。</explain>
      <paraID xmlns="http://schemas.wps.cn/vas-ai-hub/contract-review">564CEA61</paraID>
      <start xmlns="http://schemas.wps.cn/vas-ai-hub/contract-review">2</start>
      <end xmlns="http://schemas.wps.cn/vas-ai-hub/contract-review">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27accf13-ad80-4309-90e7-ef4c67fb816d</errorID>
      <errorWord xmlns="http://schemas.wps.cn/vas-ai-hub/contract-review">低荧光</errorWord>
      <group xmlns="http://schemas.wps.cn/vas-ai-hub/contract-review">L1_Knowledge</group>
      <groupName xmlns="http://schemas.wps.cn/vas-ai-hub/contract-review">知识性问题</groupName>
      <ability xmlns="http://schemas.wps.cn/vas-ai-hub/contract-review">L2_Term</ability>
      <abilityName xmlns="http://schemas.wps.cn/vas-ai-hub/contract-review">专业术语</abilityName>
      <candidateList xmlns="http://schemas.wps.cn/vas-ai-hub/contract-review">
        <item xmlns="http://schemas.wps.cn/vas-ai-hub/contract-review">弱荧光</item>
      </candidateList>
      <explain xmlns="http://schemas.wps.cn/vas-ai-hub/contract-review">医学名词[低荧光]为不规范表述或旧称，其规范书面表述为[弱荧光]。</explain>
      <paraID xmlns="http://schemas.wps.cn/vas-ai-hub/contract-review">7F724BD5</paraID>
      <start xmlns="http://schemas.wps.cn/vas-ai-hub/contract-review">8</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9b98d88b-ae9e-432b-8f7e-d2f423513a8a</errorID>
      <errorWord xmlns="http://schemas.wps.cn/vas-ai-hub/contract-review">腐植酸</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腐殖酸</item>
      </candidateList>
      <explain xmlns="http://schemas.wps.cn/vas-ai-hub/contract-review"/>
      <paraID xmlns="http://schemas.wps.cn/vas-ai-hub/contract-review">305CBCA9</paraID>
      <start xmlns="http://schemas.wps.cn/vas-ai-hub/contract-review">2</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0e582697-113b-4a6f-973b-2e505e97633d</errorID>
      <errorWord xmlns="http://schemas.wps.cn/vas-ai-hub/contract-review">腐植</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腐殖</item>
      </candidateList>
      <explain xmlns="http://schemas.wps.cn/vas-ai-hub/contract-review">存在发音相同字词的误用。</explain>
      <paraID xmlns="http://schemas.wps.cn/vas-ai-hub/contract-review">4EB7BCC8</paraID>
      <start xmlns="http://schemas.wps.cn/vas-ai-hub/contract-review">8</start>
      <end xmlns="http://schemas.wps.cn/vas-ai-hub/contract-review">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29570090-d74c-429c-8e46-27448ca694ea</errorID>
      <errorWord xmlns="http://schemas.wps.cn/vas-ai-hub/contract-review">后对</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后</item>
      </candidateList>
      <explain xmlns="http://schemas.wps.cn/vas-ai-hub/contract-review">❶君主的妻子：皇～｜～妃。❷古代称君主：商之先～。❸（Hòu）〈名〉姓。</explain>
      <paraID xmlns="http://schemas.wps.cn/vas-ai-hub/contract-review">74439326</paraID>
      <start xmlns="http://schemas.wps.cn/vas-ai-hub/contract-review">70</start>
      <end xmlns="http://schemas.wps.cn/vas-ai-hub/contract-review">72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7cfc3e61-524a-4633-bb32-f96bf91deb06</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3ACA5AB7</paraID>
      <start xmlns="http://schemas.wps.cn/vas-ai-hub/contract-review">14</start>
      <end xmlns="http://schemas.wps.cn/vas-ai-hub/contract-review">15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9858c81e-ec8e-4d03-bb79-bfea1685d920</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5A8649C4</paraID>
      <start xmlns="http://schemas.wps.cn/vas-ai-hub/contract-review">14</start>
      <end xmlns="http://schemas.wps.cn/vas-ai-hub/contract-review">15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972fbcc4-4ef7-453c-8037-a33bb0fb8bd4</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7D42DF33</paraID>
      <start xmlns="http://schemas.wps.cn/vas-ai-hub/contract-review">14</start>
      <end xmlns="http://schemas.wps.cn/vas-ai-hub/contract-review">15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0252eac5-10ee-4da1-9cd7-38f528ea6473</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7751EE1E</paraID>
      <start xmlns="http://schemas.wps.cn/vas-ai-hub/contract-review">14</start>
      <end xmlns="http://schemas.wps.cn/vas-ai-hub/contract-review">15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daa64adc-20fb-4211-a6bf-6248b9af072f</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63C55503</paraID>
      <start xmlns="http://schemas.wps.cn/vas-ai-hub/contract-review">14</start>
      <end xmlns="http://schemas.wps.cn/vas-ai-hub/contract-review">15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95fee845-68ac-404b-adb4-c32a2d9caa9b</errorID>
      <errorWord xmlns="http://schemas.wps.cn/vas-ai-hub/contract-review">计</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计算</item>
      </candidateList>
      <explain xmlns="http://schemas.wps.cn/vas-ai-hub/contract-review"/>
      <paraID xmlns="http://schemas.wps.cn/vas-ai-hub/contract-review">670EC1B5</paraID>
      <start xmlns="http://schemas.wps.cn/vas-ai-hub/contract-review">22</start>
      <end xmlns="http://schemas.wps.cn/vas-ai-hub/contract-review">23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1cc68eb3-7a46-4167-9735-d2c288046d83</errorID>
      <errorWord xmlns="http://schemas.wps.cn/vas-ai-hub/contract-review">公</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公司</item>
      </candidateList>
      <explain xmlns="http://schemas.wps.cn/vas-ai-hub/contract-review">〈名〉依法设立，以营利为目的，独立承担民事责任的从事生产或服务性业务的经济实体。分为有限责任公司和股份有限公司。</explain>
      <paraID xmlns="http://schemas.wps.cn/vas-ai-hub/contract-review">7D53E996</paraID>
      <start xmlns="http://schemas.wps.cn/vas-ai-hub/contract-review">14</start>
      <end xmlns="http://schemas.wps.cn/vas-ai-hub/contract-review">15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375461db-e80b-404d-b86f-c90ee6cd50e7</errorID>
      <errorWord xmlns="http://schemas.wps.cn/vas-ai-hub/contract-review">系</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系统</item>
      </candidateList>
      <explain xmlns="http://schemas.wps.cn/vas-ai-hub/contract-review">❶〈名〉同类事物按一定的关系组成的整体：～化｜组织～｜灌溉～。❷〈形〉有条理的；有系统的：～学习｜～研究｜资料不够。</explain>
      <paraID xmlns="http://schemas.wps.cn/vas-ai-hub/contract-review">3587B17D</paraID>
      <start xmlns="http://schemas.wps.cn/vas-ai-hub/contract-review">16</start>
      <end xmlns="http://schemas.wps.cn/vas-ai-hub/contract-review">17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74ddcf4f-e135-4ad6-85ed-a097e2a8290d</errorID>
      <errorWord xmlns="http://schemas.wps.cn/vas-ai-hub/contract-review">系统</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统</item>
      </candidateList>
      <explain xmlns="http://schemas.wps.cn/vas-ai-hub/contract-review"/>
      <paraID xmlns="http://schemas.wps.cn/vas-ai-hub/contract-review">3587B17D</paraID>
      <start xmlns="http://schemas.wps.cn/vas-ai-hub/contract-review">17</start>
      <end xmlns="http://schemas.wps.cn/vas-ai-hub/contract-review">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b9a50bfd-8853-4bc9-901f-7a0968d349e8</errorID>
      <errorWord xmlns="http://schemas.wps.cn/vas-ai-hub/contract-review">于</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与</item>
      </candidateList>
      <explain xmlns="http://schemas.wps.cn/vas-ai-hub/contract-review">（舆）yù参与：～会。</explain>
      <paraID xmlns="http://schemas.wps.cn/vas-ai-hub/contract-review">28701B5E</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a8f93422-e9a5-4e77-8933-8e9b5c395a1a</errorID>
      <errorWord xmlns="http://schemas.wps.cn/vas-ai-hub/contract-review">&gt;</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标点符号检查</abilityName>
      <candidateList xmlns="http://schemas.wps.cn/vas-ai-hub/contract-review"/>
      <explain xmlns="http://schemas.wps.cn/vas-ai-hub/contract-review"/>
      <paraID xmlns="http://schemas.wps.cn/vas-ai-hub/contract-review">68EF28BA</paraID>
      <start xmlns="http://schemas.wps.cn/vas-ai-hub/contract-review">0</start>
      <end xmlns="http://schemas.wps.cn/vas-ai-hub/contract-review">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e4daf83c-3744-4b0b-b6b9-059cca66fa08</errorID>
      <errorWord xmlns="http://schemas.wps.cn/vas-ai-hub/contract-review">&gt;</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标点符号检查</abilityName>
      <candidateList xmlns="http://schemas.wps.cn/vas-ai-hub/contract-review"/>
      <explain xmlns="http://schemas.wps.cn/vas-ai-hub/contract-review"/>
      <paraID xmlns="http://schemas.wps.cn/vas-ai-hub/contract-review">2C9AE3B8</paraID>
      <start xmlns="http://schemas.wps.cn/vas-ai-hub/contract-review">0</start>
      <end xmlns="http://schemas.wps.cn/vas-ai-hub/contract-review">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29fd6daa-a08d-4a53-8df7-bed40446182c</errorID>
      <errorWord xmlns="http://schemas.wps.cn/vas-ai-hub/contract-review">&gt;</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标点符号检查</abilityName>
      <candidateList xmlns="http://schemas.wps.cn/vas-ai-hub/contract-review"/>
      <explain xmlns="http://schemas.wps.cn/vas-ai-hub/contract-review"/>
      <paraID xmlns="http://schemas.wps.cn/vas-ai-hub/contract-review">194E7B4E</paraID>
      <start xmlns="http://schemas.wps.cn/vas-ai-hub/contract-review">0</start>
      <end xmlns="http://schemas.wps.cn/vas-ai-hub/contract-review">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154d24b6-25bc-4ad5-9ab3-d0d3378270f6</errorID>
      <errorWord xmlns="http://schemas.wps.cn/vas-ai-hub/contract-review">&gt;</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标点符号检查</abilityName>
      <candidateList xmlns="http://schemas.wps.cn/vas-ai-hub/contract-review"/>
      <explain xmlns="http://schemas.wps.cn/vas-ai-hub/contract-review"/>
      <paraID xmlns="http://schemas.wps.cn/vas-ai-hub/contract-review">57BFF29C</paraID>
      <start xmlns="http://schemas.wps.cn/vas-ai-hub/contract-review">0</start>
      <end xmlns="http://schemas.wps.cn/vas-ai-hub/contract-review">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8752a01f-554a-4658-86cf-994af3b8fe66</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 9E782C8</paraID>
      <start xmlns="http://schemas.wps.cn/vas-ai-hub/contract-review">29</start>
      <end xmlns="http://schemas.wps.cn/vas-ai-hub/contract-review">30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583d92e2-17b8-4771-94ae-a3eaf7bb13f9</errorID>
      <errorWord xmlns="http://schemas.wps.cn/vas-ai-hub/contract-review">编制</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编织</item>
      </candidateList>
      <explain xmlns="http://schemas.wps.cn/vas-ai-hub/contract-review">存在发音相同字词的误用。</explain>
      <paraID xmlns="http://schemas.wps.cn/vas-ai-hub/contract-review">4F013773</paraID>
      <start xmlns="http://schemas.wps.cn/vas-ai-hub/contract-review">41</start>
      <end xmlns="http://schemas.wps.cn/vas-ai-hub/contract-review">43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b9c3a076-6eb7-424e-91af-f3b997c97a12</errorID>
      <errorWord xmlns="http://schemas.wps.cn/vas-ai-hub/contract-review">交有</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交由</item>
      </candidateList>
      <explain xmlns="http://schemas.wps.cn/vas-ai-hub/contract-review">存在发音相同字词的误用。</explain>
      <paraID xmlns="http://schemas.wps.cn/vas-ai-hub/contract-review"> C243D5B</paraID>
      <start xmlns="http://schemas.wps.cn/vas-ai-hub/contract-review">109</start>
      <end xmlns="http://schemas.wps.cn/vas-ai-hub/contract-review">111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3dae342d-559b-4a3e-94c5-c5b108558fdb</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，以</item>
      </candidateList>
      <explain xmlns="http://schemas.wps.cn/vas-ai-hub/contract-review"/>
      <paraID xmlns="http://schemas.wps.cn/vas-ai-hub/contract-review"> 2ECE6F6</paraID>
      <start xmlns="http://schemas.wps.cn/vas-ai-hub/contract-review">149</start>
      <end xmlns="http://schemas.wps.cn/vas-ai-hub/contract-review">150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37a9f9ae-af33-43be-b138-54c4da12c36c</errorID>
      <errorWord xmlns="http://schemas.wps.cn/vas-ai-hub/contract-review">种植植</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种植</item>
      </candidateList>
      <explain xmlns="http://schemas.wps.cn/vas-ai-hub/contract-review"/>
      <paraID xmlns="http://schemas.wps.cn/vas-ai-hub/contract-review">5778C24B</paraID>
      <start xmlns="http://schemas.wps.cn/vas-ai-hub/contract-review">29</start>
      <end xmlns="http://schemas.wps.cn/vas-ai-hub/contract-review">32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32b8ed4c-3d15-4ee7-82c1-7f9b789c6b4e</errorID>
      <errorWord xmlns="http://schemas.wps.cn/vas-ai-hub/contract-review">伴人</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伴生</item>
      </candidateList>
      <explain xmlns="http://schemas.wps.cn/vas-ai-hub/contract-review"/>
      <paraID xmlns="http://schemas.wps.cn/vas-ai-hub/contract-review">3181ECFC</paraID>
      <start xmlns="http://schemas.wps.cn/vas-ai-hub/contract-review">32</start>
      <end xmlns="http://schemas.wps.cn/vas-ai-hub/contract-review">34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0d1388af-b419-49e7-b417-13e53bf723f1</errorID>
      <errorWord xmlns="http://schemas.wps.cn/vas-ai-hub/contract-review">物</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物数</item>
      </candidateList>
      <explain xmlns="http://schemas.wps.cn/vas-ai-hub/contract-review"/>
      <paraID xmlns="http://schemas.wps.cn/vas-ai-hub/contract-review">3181ECFC</paraID>
      <start xmlns="http://schemas.wps.cn/vas-ai-hub/contract-review">78</start>
      <end xmlns="http://schemas.wps.cn/vas-ai-hub/contract-review">79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fefb99f2-c618-450f-828b-5f8f5b22fb91</errorID>
      <errorWord xmlns="http://schemas.wps.cn/vas-ai-hub/contract-review">的</errorWord>
      <group xmlns="http://schemas.wps.cn/vas-ai-hub/contract-review">L1_Word</group>
      <groupName xmlns="http://schemas.wps.cn/vas-ai-hub/contract-review">字词问题</groupName>
      <ability xmlns="http://schemas.wps.cn/vas-ai-hub/contract-review">L2_DDD</ability>
      <abilityName xmlns="http://schemas.wps.cn/vas-ai-hub/contract-review">的地得用法</abilityName>
      <candidateList xmlns="http://schemas.wps.cn/vas-ai-hub/contract-review">
        <item xmlns="http://schemas.wps.cn/vas-ai-hub/contract-review">地</item>
      </candidateList>
      <explain xmlns="http://schemas.wps.cn/vas-ai-hub/contract-review">“地”常用于连接修饰语与动词性中心语，表示动作的方式、状态或程度。</explain>
      <paraID xmlns="http://schemas.wps.cn/vas-ai-hub/contract-review">4B6E4D40</paraID>
      <start xmlns="http://schemas.wps.cn/vas-ai-hub/contract-review">93</start>
      <end xmlns="http://schemas.wps.cn/vas-ai-hub/contract-review">94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b91d9baf-bcf4-4335-9b46-e9b5165d162a</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77889544</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025b4a08-ffbb-4d3e-b144-25f01d330572</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7100F365</paraID>
      <start xmlns="http://schemas.wps.cn/vas-ai-hub/contract-review">17</start>
      <end xmlns="http://schemas.wps.cn/vas-ai-hub/contract-review">18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ee6b13ef-c99e-4b40-bd92-d4f18ab72e2e</errorID>
      <errorWord xmlns="http://schemas.wps.cn/vas-ai-hub/contract-review">IV</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Ⅳ</item>
      </candidateList>
      <explain xmlns="http://schemas.wps.cn/vas-ai-hub/contract-review">中文环境下罗马数字格式错误。</explain>
      <paraID xmlns="http://schemas.wps.cn/vas-ai-hub/contract-review"> EC633E9</paraID>
      <start xmlns="http://schemas.wps.cn/vas-ai-hub/contract-review">73</start>
      <end xmlns="http://schemas.wps.cn/vas-ai-hub/contract-review">75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b22c6934-d4fb-46ec-a199-aac174c80c3b</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7C12DD37</paraID>
      <start xmlns="http://schemas.wps.cn/vas-ai-hub/contract-review">0</start>
      <end xmlns="http://schemas.wps.cn/vas-ai-hub/contract-review">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d21d3d00-d627-4756-bada-780adc7b1e5e</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7C12DD37</paraID>
      <start xmlns="http://schemas.wps.cn/vas-ai-hub/contract-review">2</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b20b4402-a537-42ed-85f6-d43a679c4bb4</errorID>
      <errorWord xmlns="http://schemas.wps.cn/vas-ai-hub/contract-review">目</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目标</item>
      </candidateList>
      <explain xmlns="http://schemas.wps.cn/vas-ai-hub/contract-review">〈名〉❶射击、攻击或寻求的对象：看清～｜发现～。❷想要达到的境地或标准：奋斗～。</explain>
      <paraID xmlns="http://schemas.wps.cn/vas-ai-hub/contract-review">7B859D19</paraID>
      <start xmlns="http://schemas.wps.cn/vas-ai-hub/contract-review">21</start>
      <end xmlns="http://schemas.wps.cn/vas-ai-hub/contract-review">22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7556f3d5-3a11-4993-9ddd-0429c56f179a</errorID>
      <errorWord xmlns="http://schemas.wps.cn/vas-ai-hub/contract-review">作</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作物</item>
      </candidateList>
      <explain xmlns="http://schemas.wps.cn/vas-ai-hub/contract-review"/>
      <paraID xmlns="http://schemas.wps.cn/vas-ai-hub/contract-review">17E908A9</paraID>
      <start xmlns="http://schemas.wps.cn/vas-ai-hub/contract-review">20</start>
      <end xmlns="http://schemas.wps.cn/vas-ai-hub/contract-review">21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09276dd5-9686-43f3-b486-f1169437e6c1</errorID>
      <errorWord xmlns="http://schemas.wps.cn/vas-ai-hub/contract-review">和</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种</item>
      </candidateList>
      <explain xmlns="http://schemas.wps.cn/vas-ai-hub/contract-review">存在字形相近字词的误用。</explain>
      <paraID xmlns="http://schemas.wps.cn/vas-ai-hub/contract-review">719319E5</paraID>
      <start xmlns="http://schemas.wps.cn/vas-ai-hub/contract-review">20</start>
      <end xmlns="http://schemas.wps.cn/vas-ai-hub/contract-review">21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08fc8234-5b0b-45fb-9aff-423ffbff8f48</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22623C2B</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4900714c-a321-4590-8972-8da347142388</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550C0018</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ff148b20-92b7-4742-b926-c15bd1620e10</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）等</item>
      </candidateList>
      <explain xmlns="http://schemas.wps.cn/vas-ai-hub/contract-review"/>
      <paraID xmlns="http://schemas.wps.cn/vas-ai-hub/contract-review">2A1B47CD</paraID>
      <start xmlns="http://schemas.wps.cn/vas-ai-hub/contract-review">63</start>
      <end xmlns="http://schemas.wps.cn/vas-ai-hub/contract-review">64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ef7be10e-525d-45fe-8f67-af0ae35ed38d</errorID>
      <errorWord xmlns="http://schemas.wps.cn/vas-ai-hub/contract-review">程</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程中</item>
      </candidateList>
      <explain xmlns="http://schemas.wps.cn/vas-ai-hub/contract-review"/>
      <paraID xmlns="http://schemas.wps.cn/vas-ai-hub/contract-review">7B3AD990</paraID>
      <start xmlns="http://schemas.wps.cn/vas-ai-hub/contract-review">42</start>
      <end xmlns="http://schemas.wps.cn/vas-ai-hub/contract-review">43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7e75b0ce-e22c-4462-98ef-72911b6df3bf</errorID>
      <errorWord xmlns="http://schemas.wps.cn/vas-ai-hub/contract-review">过程会</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过程</item>
      </candidateList>
      <explain xmlns="http://schemas.wps.cn/vas-ai-hub/contract-review"/>
      <paraID xmlns="http://schemas.wps.cn/vas-ai-hub/contract-review"> DEC47E0</paraID>
      <start xmlns="http://schemas.wps.cn/vas-ai-hub/contract-review">179</start>
      <end xmlns="http://schemas.wps.cn/vas-ai-hub/contract-review">182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14afc725-43fd-4bd8-a76f-5970360a5535</errorID>
      <errorWord xmlns="http://schemas.wps.cn/vas-ai-hub/contract-review">其它</errorWord>
      <group xmlns="http://schemas.wps.cn/vas-ai-hub/contract-review">L1_Word</group>
      <groupName xmlns="http://schemas.wps.cn/vas-ai-hub/contract-review">字词问题</groupName>
      <ability xmlns="http://schemas.wps.cn/vas-ai-hub/contract-review">L2_Alias</ability>
      <abilityName xmlns="http://schemas.wps.cn/vas-ai-hub/contract-review">也作/曾用词</abilityName>
      <candidateList xmlns="http://schemas.wps.cn/vas-ai-hub/contract-review">
        <item xmlns="http://schemas.wps.cn/vas-ai-hub/contract-review">其他</item>
      </candidateList>
      <explain xmlns="http://schemas.wps.cn/vas-ai-hub/contract-review">词汇[其它]为不规范表述或旧称，其规范书面表述为[其他]。</explain>
      <paraID xmlns="http://schemas.wps.cn/vas-ai-hub/contract-review">24FC2DFC</paraID>
      <start xmlns="http://schemas.wps.cn/vas-ai-hub/contract-review">22</start>
      <end xmlns="http://schemas.wps.cn/vas-ai-hub/contract-review">24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be39758e-a967-40f8-97ba-346e3a60b2e5</errorID>
      <errorWord xmlns="http://schemas.wps.cn/vas-ai-hub/contract-review">其它</errorWord>
      <group xmlns="http://schemas.wps.cn/vas-ai-hub/contract-review">L1_Word</group>
      <groupName xmlns="http://schemas.wps.cn/vas-ai-hub/contract-review">字词问题</groupName>
      <ability xmlns="http://schemas.wps.cn/vas-ai-hub/contract-review">L2_Alias</ability>
      <abilityName xmlns="http://schemas.wps.cn/vas-ai-hub/contract-review">也作/曾用词</abilityName>
      <candidateList xmlns="http://schemas.wps.cn/vas-ai-hub/contract-review">
        <item xmlns="http://schemas.wps.cn/vas-ai-hub/contract-review">其他</item>
      </candidateList>
      <explain xmlns="http://schemas.wps.cn/vas-ai-hub/contract-review">词汇[其它]为不规范表述或旧称，其规范书面表述为[其他]。</explain>
      <paraID xmlns="http://schemas.wps.cn/vas-ai-hub/contract-review">21CDCA51</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3cbdfac7-beb4-45c9-80a5-34f7dcbb4a2b</errorID>
      <errorWord xmlns="http://schemas.wps.cn/vas-ai-hub/contract-review">计</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计算</item>
      </candidateList>
      <explain xmlns="http://schemas.wps.cn/vas-ai-hub/contract-review"/>
      <paraID xmlns="http://schemas.wps.cn/vas-ai-hub/contract-review">3572582F</paraID>
      <start xmlns="http://schemas.wps.cn/vas-ai-hub/contract-review">72</start>
      <end xmlns="http://schemas.wps.cn/vas-ai-hub/contract-review">73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d6327da0-3979-4c1b-b428-21409e96a67c</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1B3443D9</paraID>
      <start xmlns="http://schemas.wps.cn/vas-ai-hub/contract-review">2</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b8cefbf6-1574-42cb-878d-3c9d0fd9817d</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1B3443D9</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feaff6ce-4ae0-4f4e-a11b-3b758e43b646</errorID>
      <errorWord xmlns="http://schemas.wps.cn/vas-ai-hub/contract-review">涉及到</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涉及</item>
      </candidateList>
      <explain xmlns="http://schemas.wps.cn/vas-ai-hub/contract-review">该表达中的“涉及到”存在语义重复。【词汇解析】涉及：牵涉到，关联到。包含了“到”的意思。</explain>
      <paraID xmlns="http://schemas.wps.cn/vas-ai-hub/contract-review">5F949C19</paraID>
      <start xmlns="http://schemas.wps.cn/vas-ai-hub/contract-review">9</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124eee5c-8322-4360-957b-09d9ce4cea95</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6DD5AECF</paraID>
      <start xmlns="http://schemas.wps.cn/vas-ai-hub/contract-review">15</start>
      <end xmlns="http://schemas.wps.cn/vas-ai-hub/contract-review">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6d1320a5-3005-499b-a547-131a748d884a</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6DD5AECF</paraID>
      <start xmlns="http://schemas.wps.cn/vas-ai-hub/contract-review">23</start>
      <end xmlns="http://schemas.wps.cn/vas-ai-hub/contract-review">24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a9c59eba-8b98-4a50-b5ec-800688d0f648</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2C24CF58</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ae01756a-03a1-49c8-93b5-f8fe31c62e3d</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281127DB</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7e69cae6-0ad7-4da8-9434-2d608601dc9c</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6B7FA9E4</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97a0ece1-515e-4433-aca7-5d728fc075f0</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2FB2BB3F</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2987cb3a-62e0-4de8-9c75-1bdb6f45046d</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32BF4031</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d6b07088-1bb7-4225-8dcc-d5c145a53002</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7B13179A</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c9ee80f0-f090-4bb2-a233-59c5d393aba6</errorID>
      <errorWord xmlns="http://schemas.wps.cn/vas-ai-hub/contract-review">交有</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交由</item>
      </candidateList>
      <explain xmlns="http://schemas.wps.cn/vas-ai-hub/contract-review"/>
      <paraID xmlns="http://schemas.wps.cn/vas-ai-hub/contract-review">73284B3B</paraID>
      <start xmlns="http://schemas.wps.cn/vas-ai-hub/contract-review">31</start>
      <end xmlns="http://schemas.wps.cn/vas-ai-hub/contract-review">33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a3bd3e09-3c41-462c-95d6-97e9c891cc8b</errorID>
      <errorWord xmlns="http://schemas.wps.cn/vas-ai-hub/contract-review">交有</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交由</item>
      </candidateList>
      <explain xmlns="http://schemas.wps.cn/vas-ai-hub/contract-review">存在发音相同字词的误用。</explain>
      <paraID xmlns="http://schemas.wps.cn/vas-ai-hub/contract-review">35279D7D</paraID>
      <start xmlns="http://schemas.wps.cn/vas-ai-hub/contract-review">162</start>
      <end xmlns="http://schemas.wps.cn/vas-ai-hub/contract-review">164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fc2e7f31-8ab3-4fa5-8d33-20a68211e43c</errorID>
      <errorWord xmlns="http://schemas.wps.cn/vas-ai-hub/contract-review">粘土</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黏土</item>
      </candidateList>
      <explain xmlns="http://schemas.wps.cn/vas-ai-hub/contract-review">存在发音相同字词的误用。</explain>
      <paraID xmlns="http://schemas.wps.cn/vas-ai-hub/contract-review">24CCDCC9</paraID>
      <start xmlns="http://schemas.wps.cn/vas-ai-hub/contract-review">2</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121784b7-80f8-480e-97af-8cebf8e74e9b</errorID>
      <errorWord xmlns="http://schemas.wps.cn/vas-ai-hub/contract-review">II</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Ⅱ</item>
      </candidateList>
      <explain xmlns="http://schemas.wps.cn/vas-ai-hub/contract-review">中文环境下罗马数字格式错误。</explain>
      <paraID xmlns="http://schemas.wps.cn/vas-ai-hub/contract-review">73EE20DD</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10bf3300-4fb8-4749-941d-6175c2ad55ea</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全半角检查</abilityName>
      <candidateList xmlns="http://schemas.wps.cn/vas-ai-hub/contract-review">
        <item xmlns="http://schemas.wps.cn/vas-ai-hub/contract-review">, </item>
      </candidateList>
      <explain xmlns="http://schemas.wps.cn/vas-ai-hub/contract-review">文本全半角错误。</explain>
      <paraID xmlns="http://schemas.wps.cn/vas-ai-hub/contract-review">211D7260</paraID>
      <start xmlns="http://schemas.wps.cn/vas-ai-hub/contract-review">2</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6b99ecbf-8b69-4fad-8ab1-ffaffc696bc9</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全半角检查</abilityName>
      <candidateList xmlns="http://schemas.wps.cn/vas-ai-hub/contract-review">
        <item xmlns="http://schemas.wps.cn/vas-ai-hub/contract-review">, </item>
      </candidateList>
      <explain xmlns="http://schemas.wps.cn/vas-ai-hub/contract-review">文本全半角错误。</explain>
      <paraID xmlns="http://schemas.wps.cn/vas-ai-hub/contract-review">3A5DDE60</paraID>
      <start xmlns="http://schemas.wps.cn/vas-ai-hub/contract-review">2</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79ba73b3-abed-4442-9b6d-a1ffb0b9e511</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全半角检查</abilityName>
      <candidateList xmlns="http://schemas.wps.cn/vas-ai-hub/contract-review">
        <item xmlns="http://schemas.wps.cn/vas-ai-hub/contract-review">, </item>
      </candidateList>
      <explain xmlns="http://schemas.wps.cn/vas-ai-hub/contract-review">文本全半角错误。</explain>
      <paraID xmlns="http://schemas.wps.cn/vas-ai-hub/contract-review">1FB0B375</paraID>
      <start xmlns="http://schemas.wps.cn/vas-ai-hub/contract-review">2</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028dda2c-cbbf-4b53-ab58-ad21fedef792</errorID>
      <errorWord xmlns="http://schemas.wps.cn/vas-ai-hub/contract-review">三线一单</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‘三线一单’</item>
      </candidateList>
      <explain xmlns="http://schemas.wps.cn/vas-ai-hub/contract-review">注意检查当前固定表述标点是否使用规范。</explain>
      <paraID xmlns="http://schemas.wps.cn/vas-ai-hub/contract-review">74C5A49B</paraID>
      <start xmlns="http://schemas.wps.cn/vas-ai-hub/contract-review">24</start>
      <end xmlns="http://schemas.wps.cn/vas-ai-hub/contract-review">28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a6aedef6-76cd-4987-a101-0dcae3a755e7</errorID>
      <errorWord xmlns="http://schemas.wps.cn/vas-ai-hub/contract-review">三线一单</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‘三线一单’</item>
      </candidateList>
      <explain xmlns="http://schemas.wps.cn/vas-ai-hub/contract-review">注意检查当前固定表述标点是否使用规范。</explain>
      <paraID xmlns="http://schemas.wps.cn/vas-ai-hub/contract-review">18B08EBE</paraID>
      <start xmlns="http://schemas.wps.cn/vas-ai-hub/contract-review">19</start>
      <end xmlns="http://schemas.wps.cn/vas-ai-hub/contract-review">23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8855cdfd-8fad-45ea-a3fc-25a930e4a986</errorID>
      <errorWord xmlns="http://schemas.wps.cn/vas-ai-hub/contract-review">产生的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产生</item>
      </candidateList>
      <explain xmlns="http://schemas.wps.cn/vas-ai-hub/contract-review"/>
      <paraID xmlns="http://schemas.wps.cn/vas-ai-hub/contract-review"> 50FB85B</paraID>
      <start xmlns="http://schemas.wps.cn/vas-ai-hub/contract-review">128</start>
      <end xmlns="http://schemas.wps.cn/vas-ai-hub/contract-review">131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7d56821e-ec21-43f5-a286-ea64b7bd8885</errorID>
      <errorWord xmlns="http://schemas.wps.cn/vas-ai-hub/contract-review">进入到</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进入</item>
      </candidateList>
      <explain xmlns="http://schemas.wps.cn/vas-ai-hub/contract-review">〈动〉支进到某个范围或某个时期里：～学校｜～新阶段◇～角色。</explain>
      <paraID xmlns="http://schemas.wps.cn/vas-ai-hub/contract-review">4F344314</paraID>
      <start xmlns="http://schemas.wps.cn/vas-ai-hub/contract-review">122</start>
      <end xmlns="http://schemas.wps.cn/vas-ai-hub/contract-review">125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0d8d4b2b-3f2e-444b-86d3-9add1a90b9d7</errorID>
      <errorWord xmlns="http://schemas.wps.cn/vas-ai-hub/contract-review">为对</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为</item>
      </candidateList>
      <explain xmlns="http://schemas.wps.cn/vas-ai-hub/contract-review">（爲、為）wèi❶〈书〉帮助；卫护：～吕氏者右袒，～刘氏者左袒。❷〈介〉表示行为的对象；替：～你庆幸｜～人民服务｜～这本书写一篇序。❸〈介〉表示原因、目的：大家都～这件事高兴｜～建设伟大祖国而奋斗。❹〈书〉〈介〉对；向：不足～外人道。</explain>
      <paraID xmlns="http://schemas.wps.cn/vas-ai-hub/contract-review">36C4FF23</paraID>
      <start xmlns="http://schemas.wps.cn/vas-ai-hub/contract-review">22</start>
      <end xmlns="http://schemas.wps.cn/vas-ai-hub/contract-review">24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bb0f9366-dcf5-4a30-8c50-2cae3a9e1d97</errorID>
      <errorWord xmlns="http://schemas.wps.cn/vas-ai-hub/contract-review">践踏</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踩踏</item>
      </candidateList>
      <explain xmlns="http://schemas.wps.cn/vas-ai-hub/contract-review"/>
      <paraID xmlns="http://schemas.wps.cn/vas-ai-hub/contract-review"> D9EFD0D</paraID>
      <start xmlns="http://schemas.wps.cn/vas-ai-hub/contract-review">21</start>
      <end xmlns="http://schemas.wps.cn/vas-ai-hub/contract-review">23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15eede3b-9c18-4cba-ad5e-3848afeb5018</errorID>
      <errorWord xmlns="http://schemas.wps.cn/vas-ai-hub/contract-review">因此在</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因此</item>
      </candidateList>
      <explain xmlns="http://schemas.wps.cn/vas-ai-hub/contract-review"/>
      <paraID xmlns="http://schemas.wps.cn/vas-ai-hub/contract-review">251C3887</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9d7cf52d-ae0b-4cff-a7c5-cb5575715d21</errorID>
      <errorWord xmlns="http://schemas.wps.cn/vas-ai-hub/contract-review">一、二年</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标点符号检查</abilityName>
      <candidateList xmlns="http://schemas.wps.cn/vas-ai-hub/contract-review">
        <item xmlns="http://schemas.wps.cn/vas-ai-hub/contract-review">一二年</item>
      </candidateList>
      <explain xmlns="http://schemas.wps.cn/vas-ai-hub/contract-review"/>
      <paraID xmlns="http://schemas.wps.cn/vas-ai-hub/contract-review">7D47B491</paraID>
      <start xmlns="http://schemas.wps.cn/vas-ai-hub/contract-review">6</start>
      <end xmlns="http://schemas.wps.cn/vas-ai-hub/contract-review">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5bd12616-2c1e-4497-bec0-7e81a769f519</errorID>
      <errorWord xmlns="http://schemas.wps.cn/vas-ai-hub/contract-review">措施后</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措施</item>
      </candidateList>
      <explain xmlns="http://schemas.wps.cn/vas-ai-hub/contract-review">〈名〉针对某种情况而采取的处理办法（用于较大的事情）：计划已经订出，～应该跟上。</explain>
      <paraID xmlns="http://schemas.wps.cn/vas-ai-hub/contract-review">6876C85D</paraID>
      <start xmlns="http://schemas.wps.cn/vas-ai-hub/contract-review">51</start>
      <end xmlns="http://schemas.wps.cn/vas-ai-hub/contract-review">54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9507dfd3-ba94-44d4-8a98-359c11e48ffc</errorID>
      <errorWord xmlns="http://schemas.wps.cn/vas-ai-hub/contract-review">程</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程中</item>
      </candidateList>
      <explain xmlns="http://schemas.wps.cn/vas-ai-hub/contract-review"/>
      <paraID xmlns="http://schemas.wps.cn/vas-ai-hub/contract-review">49E41EA3</paraID>
      <start xmlns="http://schemas.wps.cn/vas-ai-hub/contract-review">23</start>
      <end xmlns="http://schemas.wps.cn/vas-ai-hub/contract-review">24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e07eb679-9a72-4d4f-8dea-721d918d75a2</errorID>
      <errorWord xmlns="http://schemas.wps.cn/vas-ai-hub/contract-review">生态系统生产能力</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生态系统碳汇能力</item>
      </candidateList>
      <explain xmlns="http://schemas.wps.cn/vas-ai-hub/contract-review">词汇“生态系统碳汇能力”在特定场景下为固定表述形式，请确认此处的“生态系统生产能力”是否存在不当。</explain>
      <paraID xmlns="http://schemas.wps.cn/vas-ai-hub/contract-review">6B8511EC</paraID>
      <start xmlns="http://schemas.wps.cn/vas-ai-hub/contract-review">90</start>
      <end xmlns="http://schemas.wps.cn/vas-ai-hub/contract-review">98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a2449007-2113-4d72-8009-aea83dcad7dc</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全半角检查</abilityName>
      <candidateList xmlns="http://schemas.wps.cn/vas-ai-hub/contract-review">
        <item xmlns="http://schemas.wps.cn/vas-ai-hub/contract-review">; </item>
      </candidateList>
      <explain xmlns="http://schemas.wps.cn/vas-ai-hub/contract-review">文本全半角错误。</explain>
      <paraID xmlns="http://schemas.wps.cn/vas-ai-hub/contract-review">4113F5BE</paraID>
      <start xmlns="http://schemas.wps.cn/vas-ai-hub/contract-review">9</start>
      <end xmlns="http://schemas.wps.cn/vas-ai-hub/contract-review">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595add31-cf4d-471e-a7b0-8e9c17c2b6c4</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5FFC1CDD</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426526cd-10cb-43b9-b74f-ab2c110dd110</errorID>
      <errorWord xmlns="http://schemas.wps.cn/vas-ai-hub/contract-review">&gt;</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6B1621C2</paraID>
      <start xmlns="http://schemas.wps.cn/vas-ai-hub/contract-review">22</start>
      <end xmlns="http://schemas.wps.cn/vas-ai-hub/contract-review">23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26054bf2-e158-41ea-8f12-6113149037d6</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3AA9E262</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72d48feb-2142-41d9-9c17-08385aeef001</errorID>
      <errorWord xmlns="http://schemas.wps.cn/vas-ai-hub/contract-review">四氧化氮</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四氧化二氮</item>
      </candidateList>
      <explain xmlns="http://schemas.wps.cn/vas-ai-hub/contract-review"/>
      <paraID xmlns="http://schemas.wps.cn/vas-ai-hub/contract-review">5F5214C9</paraID>
      <start xmlns="http://schemas.wps.cn/vas-ai-hub/contract-review">0</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f40fe2e4-29c9-4fd2-8776-dd855992c720</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47301428</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2e0c7e2a-79cf-4724-bc5a-ec5f4129ee36</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47301428</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b8cb97ff-952d-4851-b3c8-558d26921327</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1339F4C3</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a3ba047e-aafb-4ed3-bd13-4824786dc722</errorID>
      <errorWord xmlns="http://schemas.wps.cn/vas-ai-hub/contract-review">，按</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item>
      </candidateList>
      <explain xmlns="http://schemas.wps.cn/vas-ai-hub/contract-review"/>
      <paraID xmlns="http://schemas.wps.cn/vas-ai-hub/contract-review"> 10C7813</paraID>
      <start xmlns="http://schemas.wps.cn/vas-ai-hub/contract-review">12</start>
      <end xmlns="http://schemas.wps.cn/vas-ai-hub/contract-review">14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446c7104-0a9b-4947-8f42-6acb8758ea29</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45521BCC</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467b0068-10c8-4c64-a5f5-57bcdcbd98bc</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5B68886</paraID>
      <start xmlns="http://schemas.wps.cn/vas-ai-hub/contract-review">3</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f45abff7-6a8b-4265-bba6-6fa4b6a48978</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40B9C8FC</paraID>
      <start xmlns="http://schemas.wps.cn/vas-ai-hub/contract-review">3</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0828abbb-9a9a-4c02-bdf9-88bd2573dd2a</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5AB92311</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990383e3-a1c5-4dd7-a0e6-2d36b1bfe7cd</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5AB92311</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1250b942-40d4-41a8-8730-82164fb4b2c7</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11884DEA</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86a2f883-3f2a-49f4-98e2-4e487c725b84</errorID>
      <errorWord xmlns="http://schemas.wps.cn/vas-ai-hub/contract-review">刺激症</errorWord>
      <group xmlns="http://schemas.wps.cn/vas-ai-hub/contract-review">L1_Knowledge</group>
      <groupName xmlns="http://schemas.wps.cn/vas-ai-hub/contract-review">知识性问题</groupName>
      <ability xmlns="http://schemas.wps.cn/vas-ai-hub/contract-review">L2_Term</ability>
      <abilityName xmlns="http://schemas.wps.cn/vas-ai-hub/contract-review">专业术语</abilityName>
      <candidateList xmlns="http://schemas.wps.cn/vas-ai-hub/contract-review">
        <item xmlns="http://schemas.wps.cn/vas-ai-hub/contract-review">刺激征</item>
      </candidateList>
      <explain xmlns="http://schemas.wps.cn/vas-ai-hub/contract-review">医学名词[刺激症]为不规范表述或旧称，其规范书面表述为[刺激征]。</explain>
      <paraID xmlns="http://schemas.wps.cn/vas-ai-hub/contract-review">1B135A4A</paraID>
      <start xmlns="http://schemas.wps.cn/vas-ai-hub/contract-review">46</start>
      <end xmlns="http://schemas.wps.cn/vas-ai-hub/contract-review">49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bb2baf2a-8262-4fb1-86da-e0ca26e35161</errorID>
      <errorWord xmlns="http://schemas.wps.cn/vas-ai-hub/contract-review">，按</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item>
      </candidateList>
      <explain xmlns="http://schemas.wps.cn/vas-ai-hub/contract-review"/>
      <paraID xmlns="http://schemas.wps.cn/vas-ai-hub/contract-review">5EBDDB6E</paraID>
      <start xmlns="http://schemas.wps.cn/vas-ai-hub/contract-review">12</start>
      <end xmlns="http://schemas.wps.cn/vas-ai-hub/contract-review">14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b7269c0c-7396-4f64-9411-cdc9a34a1d45</errorID>
      <errorWord xmlns="http://schemas.wps.cn/vas-ai-hub/contract-review">溶点</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熔点</item>
      </candidateList>
      <explain xmlns="http://schemas.wps.cn/vas-ai-hub/contract-review"/>
      <paraID xmlns="http://schemas.wps.cn/vas-ai-hub/contract-review">5383F3DA</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3512565a-d875-4bf6-bb96-798a7976a57d</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5383F3DA</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02ebf1fa-e39b-4c32-a2f6-afd3288940fa</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5383F3DA</paraID>
      <start xmlns="http://schemas.wps.cn/vas-ai-hub/contract-review">49</start>
      <end xmlns="http://schemas.wps.cn/vas-ai-hub/contract-review">50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102c6b43-6d74-40a5-8137-04aa5d563a47</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41A8D135</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945ae6a1-6c86-488b-84d3-e95e036c7b52</errorID>
      <errorWord xmlns="http://schemas.wps.cn/vas-ai-hub/contract-review">25～30％</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25％～30％</item>
      </candidateList>
      <explain xmlns="http://schemas.wps.cn/vas-ai-hub/contract-review">1. “25～30％”中的单位“％”仅出现在后一个数字上，容易引起歧义；根据《现代汉语标点符号数字用法规范手册》，数字表示范围两边需要使用统一的格式。2. 根据标点国标 4.13 中的规则，数字、时间或地域连接符应使用（视觉上更长的）“—”或“～”。</explain>
      <paraID xmlns="http://schemas.wps.cn/vas-ai-hub/contract-review">16C42461</paraID>
      <start xmlns="http://schemas.wps.cn/vas-ai-hub/contract-review">24</start>
      <end xmlns="http://schemas.wps.cn/vas-ai-hub/contract-review">30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9ade6c17-0ca0-4004-80c5-19999a9778f1</errorID>
      <errorWord xmlns="http://schemas.wps.cn/vas-ai-hub/contract-review">其它高浓度区作业</errorWord>
      <group xmlns="http://schemas.wps.cn/vas-ai-hub/contract-review">L1_Word</group>
      <groupName xmlns="http://schemas.wps.cn/vas-ai-hub/contract-review">字词问题</groupName>
      <ability xmlns="http://schemas.wps.cn/vas-ai-hub/contract-review">L2_Alias</ability>
      <abilityName xmlns="http://schemas.wps.cn/vas-ai-hub/contract-review">也作/曾用词</abilityName>
      <candidateList xmlns="http://schemas.wps.cn/vas-ai-hub/contract-review">
        <item xmlns="http://schemas.wps.cn/vas-ai-hub/contract-review">其他高浓度区作业</item>
      </candidateList>
      <explain xmlns="http://schemas.wps.cn/vas-ai-hub/contract-review">词汇[其它高浓度区作业]为不规范表述或旧称，其规范书面表述为[其他高浓度区作业]。</explain>
      <paraID xmlns="http://schemas.wps.cn/vas-ai-hub/contract-review">5D84281B</paraID>
      <start xmlns="http://schemas.wps.cn/vas-ai-hub/contract-review">22</start>
      <end xmlns="http://schemas.wps.cn/vas-ai-hub/contract-review">30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4a79af10-f1da-41d4-95e2-3771331f59d5</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615FDC65</paraID>
      <start xmlns="http://schemas.wps.cn/vas-ai-hub/contract-review">14</start>
      <end xmlns="http://schemas.wps.cn/vas-ai-hub/contract-review">15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8f47a613-b46d-4c9f-adc0-d4ae4341106d</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D0E64CD</paraID>
      <start xmlns="http://schemas.wps.cn/vas-ai-hub/contract-review">9</start>
      <end xmlns="http://schemas.wps.cn/vas-ai-hub/contract-review">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78fbf0d4-fe0c-42d0-a243-b0a34aa61e5d</errorID>
      <errorWord xmlns="http://schemas.wps.cn/vas-ai-hub/contract-review">其它</errorWord>
      <group xmlns="http://schemas.wps.cn/vas-ai-hub/contract-review">L1_Word</group>
      <groupName xmlns="http://schemas.wps.cn/vas-ai-hub/contract-review">字词问题</groupName>
      <ability xmlns="http://schemas.wps.cn/vas-ai-hub/contract-review">L2_Alias</ability>
      <abilityName xmlns="http://schemas.wps.cn/vas-ai-hub/contract-review">也作/曾用词</abilityName>
      <candidateList xmlns="http://schemas.wps.cn/vas-ai-hub/contract-review">
        <item xmlns="http://schemas.wps.cn/vas-ai-hub/contract-review">其他</item>
      </candidateList>
      <explain xmlns="http://schemas.wps.cn/vas-ai-hub/contract-review">词汇[其它]为不规范表述或旧称，其规范书面表述为[其他]。</explain>
      <paraID xmlns="http://schemas.wps.cn/vas-ai-hub/contract-review">53231A5C</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d42d0ee6-dae7-4985-97e2-8151b1b45773</errorID>
      <errorWord xmlns="http://schemas.wps.cn/vas-ai-hub/contract-review">火宅</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火灾</item>
      </candidateList>
      <explain xmlns="http://schemas.wps.cn/vas-ai-hub/contract-review"/>
      <paraID xmlns="http://schemas.wps.cn/vas-ai-hub/contract-review">71FAEEB5</paraID>
      <start xmlns="http://schemas.wps.cn/vas-ai-hub/contract-review">17</start>
      <end xmlns="http://schemas.wps.cn/vas-ai-hub/contract-review">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fda8cd7b-901d-4f0e-8107-b9821b21a533</errorID>
      <errorWord xmlns="http://schemas.wps.cn/vas-ai-hub/contract-review">大</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到</item>
      </candidateList>
      <explain xmlns="http://schemas.wps.cn/vas-ai-hub/contract-review">存在发音相近字词的误用。</explain>
      <paraID xmlns="http://schemas.wps.cn/vas-ai-hub/contract-review">785DA851</paraID>
      <start xmlns="http://schemas.wps.cn/vas-ai-hub/contract-review">50</start>
      <end xmlns="http://schemas.wps.cn/vas-ai-hub/contract-review">51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8f59b61c-fec9-45d6-9afe-5523c78da9f6</errorID>
      <errorWord xmlns="http://schemas.wps.cn/vas-ai-hub/contract-review">排</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排放</item>
      </candidateList>
      <explain xmlns="http://schemas.wps.cn/vas-ai-hub/contract-review"/>
      <paraID xmlns="http://schemas.wps.cn/vas-ai-hub/contract-review">334C535F</paraID>
      <start xmlns="http://schemas.wps.cn/vas-ai-hub/contract-review">50</start>
      <end xmlns="http://schemas.wps.cn/vas-ai-hub/contract-review">51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18822353-e11d-424a-8d31-58ca22e82e21</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，对</item>
      </candidateList>
      <explain xmlns="http://schemas.wps.cn/vas-ai-hub/contract-review"/>
      <paraID xmlns="http://schemas.wps.cn/vas-ai-hub/contract-review">6AD3A5D1</paraID>
      <start xmlns="http://schemas.wps.cn/vas-ai-hub/contract-review">44</start>
      <end xmlns="http://schemas.wps.cn/vas-ai-hub/contract-review">45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1e7b901a-11cb-404a-acaf-d2029d185441</errorID>
      <errorWord xmlns="http://schemas.wps.cn/vas-ai-hub/contract-review">较</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较为</item>
      </candidateList>
      <explain xmlns="http://schemas.wps.cn/vas-ai-hub/contract-review"/>
      <paraID xmlns="http://schemas.wps.cn/vas-ai-hub/contract-review">3A483DEA</paraID>
      <start xmlns="http://schemas.wps.cn/vas-ai-hub/contract-review">20</start>
      <end xmlns="http://schemas.wps.cn/vas-ai-hub/contract-review">21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b41d9681-3087-47c6-8c3f-94a46319aa7e</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3A483DEA</paraID>
      <start xmlns="http://schemas.wps.cn/vas-ai-hub/contract-review">154</start>
      <end xmlns="http://schemas.wps.cn/vas-ai-hub/contract-review">155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5a3d1750-c077-463d-951c-b87c5bb86611</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3D0D5565</paraID>
      <start xmlns="http://schemas.wps.cn/vas-ai-hub/contract-review">3</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93421b60-51d0-40bc-8a3f-5ed5189827eb</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3D0D5565</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d153a235-2e8f-4a5a-a914-9e3df22c33cf</errorID>
      <errorWord xmlns="http://schemas.wps.cn/vas-ai-hub/contract-review">交有</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交由</item>
      </candidateList>
      <explain xmlns="http://schemas.wps.cn/vas-ai-hub/contract-review">存在发音相同字词的误用。</explain>
      <paraID xmlns="http://schemas.wps.cn/vas-ai-hub/contract-review">31916697</paraID>
      <start xmlns="http://schemas.wps.cn/vas-ai-hub/contract-review">35</start>
      <end xmlns="http://schemas.wps.cn/vas-ai-hub/contract-review">37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1a4db89e-e06e-43c3-8762-286599cee62c</errorID>
      <errorWord xmlns="http://schemas.wps.cn/vas-ai-hub/contract-review">基本均</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基本</item>
      </candidateList>
      <explain xmlns="http://schemas.wps.cn/vas-ai-hub/contract-review">❶〈名〉根本：人民是国家的～。❷〈形〉属性词。根本的：～矛盾｜～原理。❸〈形〉属性词。主要的：～条件｜～群众。❹〈副〉大体上：质量～合格｜大坝工程已经～完成。</explain>
      <paraID xmlns="http://schemas.wps.cn/vas-ai-hub/contract-review">76B34430</paraID>
      <start xmlns="http://schemas.wps.cn/vas-ai-hub/contract-review">10</start>
      <end xmlns="http://schemas.wps.cn/vas-ai-hub/contract-review">13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ef7caed0-e896-4a24-9f1f-e8346ab1382d</errorID>
      <errorWord xmlns="http://schemas.wps.cn/vas-ai-hub/contract-review">的</errorWord>
      <group xmlns="http://schemas.wps.cn/vas-ai-hub/contract-review">L1_Word</group>
      <groupName xmlns="http://schemas.wps.cn/vas-ai-hub/contract-review">字词问题</groupName>
      <ability xmlns="http://schemas.wps.cn/vas-ai-hub/contract-review">L2_DDD</ability>
      <abilityName xmlns="http://schemas.wps.cn/vas-ai-hub/contract-review">的地得用法</abilityName>
      <candidateList xmlns="http://schemas.wps.cn/vas-ai-hub/contract-review">
        <item xmlns="http://schemas.wps.cn/vas-ai-hub/contract-review">地</item>
      </candidateList>
      <explain xmlns="http://schemas.wps.cn/vas-ai-hub/contract-review">“地”常用于连接修饰语与动词性中心语，表示动作的方式、状态或程度。</explain>
      <paraID xmlns="http://schemas.wps.cn/vas-ai-hub/contract-review">6CC29F56</paraID>
      <start xmlns="http://schemas.wps.cn/vas-ai-hub/contract-review">31</start>
      <end xmlns="http://schemas.wps.cn/vas-ai-hub/contract-review">32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3e814909-157f-4971-842d-ff038cf44d6a</errorID>
      <errorWord xmlns="http://schemas.wps.cn/vas-ai-hub/contract-review">漂移</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飘移</item>
      </candidateList>
      <explain xmlns="http://schemas.wps.cn/vas-ai-hub/contract-review">存在发音相同字词的误用。</explain>
      <paraID xmlns="http://schemas.wps.cn/vas-ai-hub/contract-review">31976DA2</paraID>
      <start xmlns="http://schemas.wps.cn/vas-ai-hub/contract-review">9</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c9b9377f-00b7-44e0-b0e9-88a5bef66d4b</errorID>
      <errorWord xmlns="http://schemas.wps.cn/vas-ai-hub/contract-review">的</errorWord>
      <group xmlns="http://schemas.wps.cn/vas-ai-hub/contract-review">L1_Word</group>
      <groupName xmlns="http://schemas.wps.cn/vas-ai-hub/contract-review">字词问题</groupName>
      <ability xmlns="http://schemas.wps.cn/vas-ai-hub/contract-review">L2_DDD</ability>
      <abilityName xmlns="http://schemas.wps.cn/vas-ai-hub/contract-review">的地得用法</abilityName>
      <candidateList xmlns="http://schemas.wps.cn/vas-ai-hub/contract-review">
        <item xmlns="http://schemas.wps.cn/vas-ai-hub/contract-review">地</item>
      </candidateList>
      <explain xmlns="http://schemas.wps.cn/vas-ai-hub/contract-review">“地”常用于连接修饰语与动词性中心语，表示动作的方式、状态或程度。</explain>
      <paraID xmlns="http://schemas.wps.cn/vas-ai-hub/contract-review">31976DA2</paraID>
      <start xmlns="http://schemas.wps.cn/vas-ai-hub/contract-review">155</start>
      <end xmlns="http://schemas.wps.cn/vas-ai-hub/contract-review">156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4a5888c6-860d-4392-9329-60e33977af81</errorID>
      <errorWord xmlns="http://schemas.wps.cn/vas-ai-hub/contract-review">程</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程中</item>
      </candidateList>
      <explain xmlns="http://schemas.wps.cn/vas-ai-hub/contract-review"/>
      <paraID xmlns="http://schemas.wps.cn/vas-ai-hub/contract-review"> 7D90FEC</paraID>
      <start xmlns="http://schemas.wps.cn/vas-ai-hub/contract-review">52</start>
      <end xmlns="http://schemas.wps.cn/vas-ai-hub/contract-review">53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3ee08b18-b075-4485-8313-f2e9a0d0bcbd</errorID>
      <errorWord xmlns="http://schemas.wps.cn/vas-ai-hub/contract-review">期</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期间</item>
      </candidateList>
      <explain xmlns="http://schemas.wps.cn/vas-ai-hub/contract-review">〈名〉某个时期里面：农忙～｜春节～｜抗战～。</explain>
      <paraID xmlns="http://schemas.wps.cn/vas-ai-hub/contract-review">619AA709</paraID>
      <start xmlns="http://schemas.wps.cn/vas-ai-hub/contract-review">2</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723186e9-4610-4bc8-943f-2da521477b9f</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，对</item>
      </candidateList>
      <explain xmlns="http://schemas.wps.cn/vas-ai-hub/contract-review"/>
      <paraID xmlns="http://schemas.wps.cn/vas-ai-hub/contract-review">619AA709</paraID>
      <start xmlns="http://schemas.wps.cn/vas-ai-hub/contract-review">115</start>
      <end xmlns="http://schemas.wps.cn/vas-ai-hub/contract-review">116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e0f9f905-9e05-4337-a5a3-efecbccd0e23</errorID>
      <errorWord xmlns="http://schemas.wps.cn/vas-ai-hub/contract-review">定期地</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定期</item>
      </candidateList>
      <explain xmlns="http://schemas.wps.cn/vas-ai-hub/contract-review"/>
      <paraID xmlns="http://schemas.wps.cn/vas-ai-hub/contract-review">5F50463E</paraID>
      <start xmlns="http://schemas.wps.cn/vas-ai-hub/contract-review">12</start>
      <end xmlns="http://schemas.wps.cn/vas-ai-hub/contract-review">15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317eb8cb-3ac8-495f-8db5-43113c18771e</errorID>
      <errorWord xmlns="http://schemas.wps.cn/vas-ai-hub/contract-review">交有</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交由</item>
      </candidateList>
      <explain xmlns="http://schemas.wps.cn/vas-ai-hub/contract-review">存在发音相同字词的误用。</explain>
      <paraID xmlns="http://schemas.wps.cn/vas-ai-hub/contract-review">1E957448</paraID>
      <start xmlns="http://schemas.wps.cn/vas-ai-hub/contract-review">78</start>
      <end xmlns="http://schemas.wps.cn/vas-ai-hub/contract-review">80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706edc29-3751-4deb-ab7b-4f0f9e919dab</errorID>
      <errorWord xmlns="http://schemas.wps.cn/vas-ai-hub/contract-review">交有</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交由</item>
      </candidateList>
      <explain xmlns="http://schemas.wps.cn/vas-ai-hub/contract-review">存在发音相同字词的误用。</explain>
      <paraID xmlns="http://schemas.wps.cn/vas-ai-hub/contract-review">34207602</paraID>
      <start xmlns="http://schemas.wps.cn/vas-ai-hub/contract-review">133</start>
      <end xmlns="http://schemas.wps.cn/vas-ai-hub/contract-review">135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3548ead9-791a-48e7-ab14-62eb337604c9</errorID>
      <errorWord xmlns="http://schemas.wps.cn/vas-ai-hub/contract-review">配</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配备</item>
      </candidateList>
      <explain xmlns="http://schemas.wps.cn/vas-ai-hub/contract-review">❶〈动〉根据需要分配（人力或物力）：～骨干力量｜～三辆吉普车。❷〈动〉布置（兵力）：按地形～火力。❸〈名〉成套的设备、装备等：现代化的～。</explain>
      <paraID xmlns="http://schemas.wps.cn/vas-ai-hub/contract-review">2E3BA885</paraID>
      <start xmlns="http://schemas.wps.cn/vas-ai-hub/contract-review">223</start>
      <end xmlns="http://schemas.wps.cn/vas-ai-hub/contract-review">224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4d61af36-67a5-4d87-95e5-023f85b0af49</errorID>
      <errorWord xmlns="http://schemas.wps.cn/vas-ai-hub/contract-review">交有</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交由</item>
      </candidateList>
      <explain xmlns="http://schemas.wps.cn/vas-ai-hub/contract-review"/>
      <paraID xmlns="http://schemas.wps.cn/vas-ai-hub/contract-review"> 9DC69A3</paraID>
      <start xmlns="http://schemas.wps.cn/vas-ai-hub/contract-review">213</start>
      <end xmlns="http://schemas.wps.cn/vas-ai-hub/contract-review">215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8e6ab7dc-54e4-46ca-b294-37efe9e1d35f</errorID>
      <errorWord xmlns="http://schemas.wps.cn/vas-ai-hub/contract-review">交有</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交由</item>
      </candidateList>
      <explain xmlns="http://schemas.wps.cn/vas-ai-hub/contract-review"/>
      <paraID xmlns="http://schemas.wps.cn/vas-ai-hub/contract-review">194B7F93</paraID>
      <start xmlns="http://schemas.wps.cn/vas-ai-hub/contract-review">12</start>
      <end xmlns="http://schemas.wps.cn/vas-ai-hub/contract-review">14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fbbebbd4-b54c-4b0f-a200-d79edeacc1e9</errorID>
      <errorWord xmlns="http://schemas.wps.cn/vas-ai-hub/contract-review">减小</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减少</item>
      </candidateList>
      <explain xmlns="http://schemas.wps.cn/vas-ai-hub/contract-review">〈动〉减去一部分：～人员｜～麻烦｜工作中的缺点～了。</explain>
      <paraID xmlns="http://schemas.wps.cn/vas-ai-hub/contract-review">2C260068</paraID>
      <start xmlns="http://schemas.wps.cn/vas-ai-hub/contract-review">33</start>
      <end xmlns="http://schemas.wps.cn/vas-ai-hub/contract-review">35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edf184eb-6352-4563-8d1d-e9bed43063c1</errorID>
      <errorWord xmlns="http://schemas.wps.cn/vas-ai-hub/contract-review">只是</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只</item>
      </candidateList>
      <explain xmlns="http://schemas.wps.cn/vas-ai-hub/contract-review">（衹、祇）zhǐ〈副〉❶表示仅限于某个范围：～知其一，不知其二｜在几种棋类中，他～会下象棋。❷只有；仅有：家里～我一个人。</explain>
      <paraID xmlns="http://schemas.wps.cn/vas-ai-hub/contract-review">5B87C63D</paraID>
      <start xmlns="http://schemas.wps.cn/vas-ai-hub/contract-review">103</start>
      <end xmlns="http://schemas.wps.cn/vas-ai-hub/contract-review">105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ea60b260-21a5-4fac-9e6a-a9b2ee8ae15f</errorID>
      <errorWord xmlns="http://schemas.wps.cn/vas-ai-hub/contract-review">交有</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交由</item>
      </candidateList>
      <explain xmlns="http://schemas.wps.cn/vas-ai-hub/contract-review">存在发音相同字词的误用。</explain>
      <paraID xmlns="http://schemas.wps.cn/vas-ai-hub/contract-review">5759D6D1</paraID>
      <start xmlns="http://schemas.wps.cn/vas-ai-hub/contract-review">60</start>
      <end xmlns="http://schemas.wps.cn/vas-ai-hub/contract-review">62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13d33688-9e57-4aeb-8ae2-5574c266dd14</errorID>
      <errorWord xmlns="http://schemas.wps.cn/vas-ai-hub/contract-review">场外地</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场外</item>
      </candidateList>
      <explain xmlns="http://schemas.wps.cn/vas-ai-hub/contract-review"/>
      <paraID xmlns="http://schemas.wps.cn/vas-ai-hub/contract-review">4FB37E06</paraID>
      <start xmlns="http://schemas.wps.cn/vas-ai-hub/contract-review">59</start>
      <end xmlns="http://schemas.wps.cn/vas-ai-hub/contract-review">62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9849e037-56ec-46a2-8cab-d3ac2487f82a</errorID>
      <errorWord xmlns="http://schemas.wps.cn/vas-ai-hub/contract-review">&lt;</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6BBDC66F</paraID>
      <start xmlns="http://schemas.wps.cn/vas-ai-hub/contract-review">46</start>
      <end xmlns="http://schemas.wps.cn/vas-ai-hub/contract-review">47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b09c4819-b72f-4b51-8229-c41a67d1f729</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标点符号检查</abilityName>
      <candidateList xmlns="http://schemas.wps.cn/vas-ai-hub/contract-review"/>
      <explain xmlns="http://schemas.wps.cn/vas-ai-hub/contract-review">此处标点可能未正确匹配，请检查句子中是否存在标点冗余、缺失或使用错误的情况。</explain>
      <paraID xmlns="http://schemas.wps.cn/vas-ai-hub/contract-review">6BBDC66F</paraID>
      <start xmlns="http://schemas.wps.cn/vas-ai-hub/contract-review">54</start>
      <end xmlns="http://schemas.wps.cn/vas-ai-hub/contract-review">55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935cf7fb-1f46-4a27-ac2d-82830113a864</errorID>
      <errorWord xmlns="http://schemas.wps.cn/vas-ai-hub/contract-review">联通</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连通</item>
      </candidateList>
      <explain xmlns="http://schemas.wps.cn/vas-ai-hub/contract-review"/>
      <paraID xmlns="http://schemas.wps.cn/vas-ai-hub/contract-review">339B2506</paraID>
      <start xmlns="http://schemas.wps.cn/vas-ai-hub/contract-review">49</start>
      <end xmlns="http://schemas.wps.cn/vas-ai-hub/contract-review">51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c85614c5-ab3c-493a-b2a6-1f36cf9c397f</errorID>
      <errorWord xmlns="http://schemas.wps.cn/vas-ai-hub/contract-review">回覆</errorWord>
      <group xmlns="http://schemas.wps.cn/vas-ai-hub/contract-review">L1_Word</group>
      <groupName xmlns="http://schemas.wps.cn/vas-ai-hub/contract-review">字词问题</groupName>
      <ability xmlns="http://schemas.wps.cn/vas-ai-hub/contract-review">L2_Fanti</ability>
      <abilityName xmlns="http://schemas.wps.cn/vas-ai-hub/contract-review">繁转简</abilityName>
      <candidateList xmlns="http://schemas.wps.cn/vas-ai-hub/contract-review">
        <item xmlns="http://schemas.wps.cn/vas-ai-hub/contract-review">回复</item>
      </candidateList>
      <explain xmlns="http://schemas.wps.cn/vas-ai-hub/contract-review"/>
      <paraID xmlns="http://schemas.wps.cn/vas-ai-hub/contract-review">1CCC545D</paraID>
      <start xmlns="http://schemas.wps.cn/vas-ai-hub/contract-review">17</start>
      <end xmlns="http://schemas.wps.cn/vas-ai-hub/contract-review">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c3c678c1-8add-4808-959f-8d0c13c5ac3b</errorID>
      <errorWord xmlns="http://schemas.wps.cn/vas-ai-hub/contract-review">的</errorWord>
      <group xmlns="http://schemas.wps.cn/vas-ai-hub/contract-review">L1_Word</group>
      <groupName xmlns="http://schemas.wps.cn/vas-ai-hub/contract-review">字词问题</groupName>
      <ability xmlns="http://schemas.wps.cn/vas-ai-hub/contract-review">L2_DDD</ability>
      <abilityName xmlns="http://schemas.wps.cn/vas-ai-hub/contract-review">的地得用法</abilityName>
      <candidateList xmlns="http://schemas.wps.cn/vas-ai-hub/contract-review">
        <item xmlns="http://schemas.wps.cn/vas-ai-hub/contract-review">地</item>
      </candidateList>
      <explain xmlns="http://schemas.wps.cn/vas-ai-hub/contract-review">“地”常用于连接修饰语与动词性中心语，表示动作的方式、状态或程度。</explain>
      <paraID xmlns="http://schemas.wps.cn/vas-ai-hub/contract-review">1CCC545D</paraID>
      <start xmlns="http://schemas.wps.cn/vas-ai-hub/contract-review">33</start>
      <end xmlns="http://schemas.wps.cn/vas-ai-hub/contract-review">34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39c1a7ee-d938-4924-beb1-50bd58ca677f</errorID>
      <errorWord xmlns="http://schemas.wps.cn/vas-ai-hub/contract-review">开</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开展</item>
      </candidateList>
      <explain xmlns="http://schemas.wps.cn/vas-ai-hub/contract-review">〈动〉展览会开始展出：一年一度的春节花展明天～。</explain>
      <paraID xmlns="http://schemas.wps.cn/vas-ai-hub/contract-review">3DBE4D2D</paraID>
      <start xmlns="http://schemas.wps.cn/vas-ai-hub/contract-review">26</start>
      <end xmlns="http://schemas.wps.cn/vas-ai-hub/contract-review">27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76315a71-9858-4fcf-a5bb-b335579968ad</errorID>
      <errorWord xmlns="http://schemas.wps.cn/vas-ai-hub/contract-review">使用点</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使用</item>
      </candidateList>
      <explain xmlns="http://schemas.wps.cn/vas-ai-hub/contract-review">〈动〉使人员、器物、资金等为某种目的服务：～干部｜合理～资金。</explain>
      <paraID xmlns="http://schemas.wps.cn/vas-ai-hub/contract-review">55EE71EC</paraID>
      <start xmlns="http://schemas.wps.cn/vas-ai-hub/contract-review">63</start>
      <end xmlns="http://schemas.wps.cn/vas-ai-hub/contract-review">66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8f15ccdb-dce9-4d31-8b8e-a21c42fe95ae</errorID>
      <errorWord xmlns="http://schemas.wps.cn/vas-ai-hub/contract-review">产层</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产生</item>
      </candidateList>
      <explain xmlns="http://schemas.wps.cn/vas-ai-hub/contract-review"/>
      <paraID xmlns="http://schemas.wps.cn/vas-ai-hub/contract-review">40197FFC</paraID>
      <start xmlns="http://schemas.wps.cn/vas-ai-hub/contract-review">31</start>
      <end xmlns="http://schemas.wps.cn/vas-ai-hub/contract-review">33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f58ae24a-5eb2-4d51-ba2d-2f8ed890f6a6</errorID>
      <errorWord xmlns="http://schemas.wps.cn/vas-ai-hub/contract-review">粘度</errorWord>
      <group xmlns="http://schemas.wps.cn/vas-ai-hub/contract-review">L1_Word</group>
      <groupName xmlns="http://schemas.wps.cn/vas-ai-hub/contract-review">字词问题</groupName>
      <ability xmlns="http://schemas.wps.cn/vas-ai-hub/contract-review">L2_Alias</ability>
      <abilityName xmlns="http://schemas.wps.cn/vas-ai-hub/contract-review">也作/曾用词</abilityName>
      <candidateList xmlns="http://schemas.wps.cn/vas-ai-hub/contract-review">
        <item xmlns="http://schemas.wps.cn/vas-ai-hub/contract-review">黏度</item>
      </candidateList>
      <explain xmlns="http://schemas.wps.cn/vas-ai-hub/contract-review">词汇[粘度]为不规范表述或旧称，其规范书面表述为[黏度]。</explain>
      <paraID xmlns="http://schemas.wps.cn/vas-ai-hub/contract-review">524D6C0A</paraID>
      <start xmlns="http://schemas.wps.cn/vas-ai-hub/contract-review">28</start>
      <end xmlns="http://schemas.wps.cn/vas-ai-hub/contract-review">30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3354ab3c-2688-4407-8bea-1c0c87e8ed50</errorID>
      <errorWord xmlns="http://schemas.wps.cn/vas-ai-hub/contract-review">相联</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相连</item>
      </candidateList>
      <explain xmlns="http://schemas.wps.cn/vas-ai-hub/contract-review">存在发音相同字词的误用。</explain>
      <paraID xmlns="http://schemas.wps.cn/vas-ai-hub/contract-review">380AF534</paraID>
      <start xmlns="http://schemas.wps.cn/vas-ai-hub/contract-review">37</start>
      <end xmlns="http://schemas.wps.cn/vas-ai-hub/contract-review">39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1bb0d747-1748-43d3-95ec-5efc33fe32eb</errorID>
      <errorWord xmlns="http://schemas.wps.cn/vas-ai-hub/contract-review">只是</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只</item>
      </candidateList>
      <explain xmlns="http://schemas.wps.cn/vas-ai-hub/contract-review">（衹、祇）zhǐ〈副〉❶表示仅限于某个范围：～知其一，不知其二｜在几种棋类中，他～会下象棋。❷只有；仅有：家里～我一个人。</explain>
      <paraID xmlns="http://schemas.wps.cn/vas-ai-hub/contract-review">1D32E699</paraID>
      <start xmlns="http://schemas.wps.cn/vas-ai-hub/contract-review">106</start>
      <end xmlns="http://schemas.wps.cn/vas-ai-hub/contract-review">108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23024035-264b-4956-82cb-3516b2b883a6</errorID>
      <errorWord xmlns="http://schemas.wps.cn/vas-ai-hub/contract-review">，应</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item>
      </candidateList>
      <explain xmlns="http://schemas.wps.cn/vas-ai-hub/contract-review"/>
      <paraID xmlns="http://schemas.wps.cn/vas-ai-hub/contract-review">57BBC87E</paraID>
      <start xmlns="http://schemas.wps.cn/vas-ai-hub/contract-review">22</start>
      <end xmlns="http://schemas.wps.cn/vas-ai-hub/contract-review">24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4888194f-e864-41c7-b7f5-0b4f7c01eae6</errorID>
      <errorWord xmlns="http://schemas.wps.cn/vas-ai-hub/contract-review">的</errorWord>
      <group xmlns="http://schemas.wps.cn/vas-ai-hub/contract-review">L1_Word</group>
      <groupName xmlns="http://schemas.wps.cn/vas-ai-hub/contract-review">字词问题</groupName>
      <ability xmlns="http://schemas.wps.cn/vas-ai-hub/contract-review">L2_DDD</ability>
      <abilityName xmlns="http://schemas.wps.cn/vas-ai-hub/contract-review">的地得用法</abilityName>
      <candidateList xmlns="http://schemas.wps.cn/vas-ai-hub/contract-review">
        <item xmlns="http://schemas.wps.cn/vas-ai-hub/contract-review">地</item>
      </candidateList>
      <explain xmlns="http://schemas.wps.cn/vas-ai-hub/contract-review">“地”常用于连接修饰语与动词性中心语，表示动作的方式、状态或程度。</explain>
      <paraID xmlns="http://schemas.wps.cn/vas-ai-hub/contract-review">400D2579</paraID>
      <start xmlns="http://schemas.wps.cn/vas-ai-hub/contract-review">84</start>
      <end xmlns="http://schemas.wps.cn/vas-ai-hub/contract-review">85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183a3338-1aea-4913-865f-9ac72d7c87be</errorID>
      <errorWord xmlns="http://schemas.wps.cn/vas-ai-hub/contract-review">临近</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邻近</item>
      </candidateList>
      <explain xmlns="http://schemas.wps.cn/vas-ai-hub/contract-review">存在发音相同字词的误用。</explain>
      <paraID xmlns="http://schemas.wps.cn/vas-ai-hub/contract-review">7903E1B3</paraID>
      <start xmlns="http://schemas.wps.cn/vas-ai-hub/contract-review">67</start>
      <end xmlns="http://schemas.wps.cn/vas-ai-hub/contract-review">69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adbbc99a-dfd7-4ad6-b32d-5689c7822352</errorID>
      <errorWord xmlns="http://schemas.wps.cn/vas-ai-hub/contract-review">临近</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邻近</item>
      </candidateList>
      <explain xmlns="http://schemas.wps.cn/vas-ai-hub/contract-review">存在发音相同字词的误用。</explain>
      <paraID xmlns="http://schemas.wps.cn/vas-ai-hub/contract-review">288A7712</paraID>
      <start xmlns="http://schemas.wps.cn/vas-ai-hub/contract-review">6</start>
      <end xmlns="http://schemas.wps.cn/vas-ai-hub/contract-review">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00118011-bcac-4f0c-ba7d-58458cb4658e</errorID>
      <errorWord xmlns="http://schemas.wps.cn/vas-ai-hub/contract-review">区</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区域</item>
      </candidateList>
      <explain xmlns="http://schemas.wps.cn/vas-ai-hub/contract-review"/>
      <paraID xmlns="http://schemas.wps.cn/vas-ai-hub/contract-review">3E3A8A98</paraID>
      <start xmlns="http://schemas.wps.cn/vas-ai-hub/contract-review">9</start>
      <end xmlns="http://schemas.wps.cn/vas-ai-hub/contract-review">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7edc439d-2d61-4b10-8d5c-12034b4755ba</errorID>
      <errorWord xmlns="http://schemas.wps.cn/vas-ai-hub/contract-review">束</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束后</item>
      </candidateList>
      <explain xmlns="http://schemas.wps.cn/vas-ai-hub/contract-review"/>
      <paraID xmlns="http://schemas.wps.cn/vas-ai-hub/contract-review">19B29D69</paraID>
      <start xmlns="http://schemas.wps.cn/vas-ai-hub/contract-review">65</start>
      <end xmlns="http://schemas.wps.cn/vas-ai-hub/contract-review">66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c8060c21-313d-498d-941e-78569b17427a</errorID>
      <errorWord xmlns="http://schemas.wps.cn/vas-ai-hub/contract-review">场</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厂</item>
      </candidateList>
      <explain xmlns="http://schemas.wps.cn/vas-ai-hub/contract-review">存在发音相同字词的误用。</explain>
      <paraID xmlns="http://schemas.wps.cn/vas-ai-hub/contract-review"> BDD3148</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22c38aec-7012-4491-9955-94f68d7f4568</errorID>
      <errorWord xmlns="http://schemas.wps.cn/vas-ai-hub/contract-review">、及</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及</item>
      </candidateList>
      <explain xmlns="http://schemas.wps.cn/vas-ai-hub/contract-review">〈连〉连接并列的名词或名词性词组：图书、仪器、标本～其他。注意用“及”连接的成分多在意义上有主次之分，主要的成分放在“及”的前面。</explain>
      <paraID xmlns="http://schemas.wps.cn/vas-ai-hub/contract-review">1B4519E9</paraID>
      <start xmlns="http://schemas.wps.cn/vas-ai-hub/contract-review">17</start>
      <end xmlns="http://schemas.wps.cn/vas-ai-hub/contract-review">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441d9572-8f00-42b8-8b6e-6a576311bd26</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F4AD738</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07ccebd8-641c-4e08-b3a8-6b21c626b114</errorID>
      <errorWord xmlns="http://schemas.wps.cn/vas-ai-hub/contract-review">所</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所以</item>
      </candidateList>
      <explain xmlns="http://schemas.wps.cn/vas-ai-hub/contract-review"/>
      <paraID xmlns="http://schemas.wps.cn/vas-ai-hub/contract-review">4C67C01A</paraID>
      <start xmlns="http://schemas.wps.cn/vas-ai-hub/contract-review">0</start>
      <end xmlns="http://schemas.wps.cn/vas-ai-hub/contract-review">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7ce1d04a-7fc6-4a1d-98c9-420c45149fe0</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1261C9E1</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a2653b2b-a147-4803-83cb-9d4f4372f7cb</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576410B8</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f99f5cdb-40b6-45ae-8a7d-ee0192b4532a</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7EE11726</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0c0b50e2-7c2b-40e9-89df-d2a819a813d2</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48A658B2</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ed36a679-068a-475e-83aa-3d2d03c0c581</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7BFF09F8</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cf8c1c85-e560-41f5-b2fd-b0038c501b6b</errorID>
      <errorWord xmlns="http://schemas.wps.cn/vas-ai-hub/contract-review">的</errorWord>
      <group xmlns="http://schemas.wps.cn/vas-ai-hub/contract-review">L1_Word</group>
      <groupName xmlns="http://schemas.wps.cn/vas-ai-hub/contract-review">字词问题</groupName>
      <ability xmlns="http://schemas.wps.cn/vas-ai-hub/contract-review">L2_DDD</ability>
      <abilityName xmlns="http://schemas.wps.cn/vas-ai-hub/contract-review">的地得用法</abilityName>
      <candidateList xmlns="http://schemas.wps.cn/vas-ai-hub/contract-review">
        <item xmlns="http://schemas.wps.cn/vas-ai-hub/contract-review">地</item>
      </candidateList>
      <explain xmlns="http://schemas.wps.cn/vas-ai-hub/contract-review">“地”常用于连接修饰语与动词性中心语，表示动作的方式、状态或程度。</explain>
      <paraID xmlns="http://schemas.wps.cn/vas-ai-hub/contract-review">411C2224</paraID>
      <start xmlns="http://schemas.wps.cn/vas-ai-hub/contract-review">27</start>
      <end xmlns="http://schemas.wps.cn/vas-ai-hub/contract-review">28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7a8b8eb6-8c10-4f7e-b65e-20bbe1ad8f54</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3C2CC48F</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253a3708-96b5-4a52-a65b-195f0aa246c7</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258B67D8</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651d6b94-d376-4822-9398-427d2580d4f4</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771878D8</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9f644acd-d2e3-4884-a520-f1e122801665</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3F89E1EA</paraID>
      <start xmlns="http://schemas.wps.cn/vas-ai-hub/contract-review">8</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15d779b8-40c0-4c4d-a0bd-5996e3c07603</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2212A09E</paraID>
      <start xmlns="http://schemas.wps.cn/vas-ai-hub/contract-review">2</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a9963a6c-3118-499c-84b2-46e4eb7fe2bc</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2212A09E</paraID>
      <start xmlns="http://schemas.wps.cn/vas-ai-hub/contract-review">17</start>
      <end xmlns="http://schemas.wps.cn/vas-ai-hub/contract-review">18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7ee4bb01-1a9e-4e16-ab49-89d29aded1ad</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标点符号检查</abilityName>
      <candidateList xmlns="http://schemas.wps.cn/vas-ai-hub/contract-review"/>
      <explain xmlns="http://schemas.wps.cn/vas-ai-hub/contract-review">此处标点可能未正确匹配，请检查句子中是否存在标点冗余、缺失或使用错误的情况。</explain>
      <paraID xmlns="http://schemas.wps.cn/vas-ai-hub/contract-review">575399C0</paraID>
      <start xmlns="http://schemas.wps.cn/vas-ai-hub/contract-review">14</start>
      <end xmlns="http://schemas.wps.cn/vas-ai-hub/contract-review">15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ccb391f7-1d06-4b55-9dcf-517ced824e61</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7EAB8432</paraID>
      <start xmlns="http://schemas.wps.cn/vas-ai-hub/contract-review">48</start>
      <end xmlns="http://schemas.wps.cn/vas-ai-hub/contract-review">51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5e987eaf-8564-40ba-8bd5-fb08b8a520b5</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7EAB8432</paraID>
      <start xmlns="http://schemas.wps.cn/vas-ai-hub/contract-review">167</start>
      <end xmlns="http://schemas.wps.cn/vas-ai-hub/contract-review">168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ac1b6802-3969-465f-8a49-7d5f086280e3</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7EAB8432</paraID>
      <start xmlns="http://schemas.wps.cn/vas-ai-hub/contract-review">173</start>
      <end xmlns="http://schemas.wps.cn/vas-ai-hub/contract-review">174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7e66ff09-cc24-4ccb-a618-e3bfe5b15924</errorID>
      <errorWord xmlns="http://schemas.wps.cn/vas-ai-hub/contract-review">(三)</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（三）</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67135F7C</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fa525fce-f20c-4b6c-a576-cc2e83941e63</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DB9D7AE</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ab2a5867-aeea-4bc6-8ba0-fbb7ae864ee0</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DB9D7AE</paraID>
      <start xmlns="http://schemas.wps.cn/vas-ai-hub/contract-review">15</start>
      <end xmlns="http://schemas.wps.cn/vas-ai-hub/contract-review">17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19a2358e-a920-414b-aa3c-acd7c1d64ec0</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6578A23B</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c7f2c002-056d-4a08-92b5-e01df1a3388a</errorID>
      <errorWord xmlns="http://schemas.wps.cn/vas-ai-hub/contract-review">少至</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至少</item>
      </candidateList>
      <explain xmlns="http://schemas.wps.cn/vas-ai-hub/contract-review"/>
      <paraID xmlns="http://schemas.wps.cn/vas-ai-hub/contract-review">10E626C7</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ee46398e-eed8-4786-a3fc-d8ded69bf125</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60F470FD</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7930b7a9-5a8e-4c01-92c8-8ecd3129d5bf</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6512AE6</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13b482aa-a7c0-414c-80da-6239a91e21c7</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BE7162A</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80139732-315e-4e4d-b8d6-cc8c9f53fcf0</errorID>
      <errorWord xmlns="http://schemas.wps.cn/vas-ai-hub/contract-review">采取基础减震</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采取基础减振</item>
      </candidateList>
      <explain xmlns="http://schemas.wps.cn/vas-ai-hub/contract-review"/>
      <paraID xmlns="http://schemas.wps.cn/vas-ai-hub/contract-review">605818B5</paraID>
      <start xmlns="http://schemas.wps.cn/vas-ai-hub/contract-review">41</start>
      <end xmlns="http://schemas.wps.cn/vas-ai-hub/contract-review">47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b83afecf-ea89-494a-8bbe-8e295b621f96</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6EB00A86</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7900b4fc-10a5-4fbe-b3b8-c286c68d13e6</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F71EFC2</paraID>
      <start xmlns="http://schemas.wps.cn/vas-ai-hub/contract-review">116</start>
      <end xmlns="http://schemas.wps.cn/vas-ai-hub/contract-review">117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b360b46a-3358-4ae1-bc42-ca4d96cd2230</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F71EFC2</paraID>
      <start xmlns="http://schemas.wps.cn/vas-ai-hub/contract-review">159</start>
      <end xmlns="http://schemas.wps.cn/vas-ai-hub/contract-review">160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4684b6b3-1e88-4205-8716-82a00c6acbb7</errorID>
      <errorWord xmlns="http://schemas.wps.cn/vas-ai-hub/contract-review">站站</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站</item>
      </candidateList>
      <explain xmlns="http://schemas.wps.cn/vas-ai-hub/contract-review"/>
      <paraID xmlns="http://schemas.wps.cn/vas-ai-hub/contract-review">6004EDC0</paraID>
      <start xmlns="http://schemas.wps.cn/vas-ai-hub/contract-review">263</start>
      <end xmlns="http://schemas.wps.cn/vas-ai-hub/contract-review">265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2d08a911-fd22-4efe-a19c-3d7d03c1cb10</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标点符号检查</abilityName>
      <candidateList xmlns="http://schemas.wps.cn/vas-ai-hub/contract-review"/>
      <explain xmlns="http://schemas.wps.cn/vas-ai-hub/contract-review">同一形式括号套用。</explain>
      <paraID xmlns="http://schemas.wps.cn/vas-ai-hub/contract-review">6C7B3667</paraID>
      <start xmlns="http://schemas.wps.cn/vas-ai-hub/contract-review">156</start>
      <end xmlns="http://schemas.wps.cn/vas-ai-hub/contract-review">157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29a433aa-f2e2-4fdb-b6c4-b9b1f08dc89e</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标点符号检查</abilityName>
      <candidateList xmlns="http://schemas.wps.cn/vas-ai-hub/contract-review"/>
      <explain xmlns="http://schemas.wps.cn/vas-ai-hub/contract-review">同一形式括号套用。</explain>
      <paraID xmlns="http://schemas.wps.cn/vas-ai-hub/contract-review">6C7B3667</paraID>
      <start xmlns="http://schemas.wps.cn/vas-ai-hub/contract-review">159</start>
      <end xmlns="http://schemas.wps.cn/vas-ai-hub/contract-review">160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efab5323-3382-4652-8c4a-6569e1ee6beb</errorID>
      <errorWord xmlns="http://schemas.wps.cn/vas-ai-hub/contract-review">II</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Ⅱ</item>
      </candidateList>
      <explain xmlns="http://schemas.wps.cn/vas-ai-hub/contract-review">中文环境下罗马数字格式错误。</explain>
      <paraID xmlns="http://schemas.wps.cn/vas-ai-hub/contract-review">2423EBDF</paraID>
      <start xmlns="http://schemas.wps.cn/vas-ai-hub/contract-review">66</start>
      <end xmlns="http://schemas.wps.cn/vas-ai-hub/contract-review">68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a340c5b6-8ed9-4feb-b85c-fc1404d79cb7</errorID>
      <errorWord xmlns="http://schemas.wps.cn/vas-ai-hub/contract-review">II</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Ⅱ</item>
      </candidateList>
      <explain xmlns="http://schemas.wps.cn/vas-ai-hub/contract-review">中文环境下罗马数字格式错误。</explain>
      <paraID xmlns="http://schemas.wps.cn/vas-ai-hub/contract-review">2423EBDF</paraID>
      <start xmlns="http://schemas.wps.cn/vas-ai-hub/contract-review">104</start>
      <end xmlns="http://schemas.wps.cn/vas-ai-hub/contract-review">106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7d932437-5850-475e-8bea-1867944d6287</errorID>
      <errorWord xmlns="http://schemas.wps.cn/vas-ai-hub/contract-review">6、</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6.</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46B8285</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2b10b8b2-aba8-4338-8d38-656cec5e15b2</errorID>
      <errorWord xmlns="http://schemas.wps.cn/vas-ai-hub/contract-review">7、</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7.</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30BCFA9E</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ace03dc2-a3c8-43b3-8619-d83ae29d4022</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303C359B</paraID>
      <start xmlns="http://schemas.wps.cn/vas-ai-hub/contract-review">68</start>
      <end xmlns="http://schemas.wps.cn/vas-ai-hub/contract-review">69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1478489d-219c-4ffc-9eac-527f0c24b550</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303C359B</paraID>
      <start xmlns="http://schemas.wps.cn/vas-ai-hub/contract-review">71</start>
      <end xmlns="http://schemas.wps.cn/vas-ai-hub/contract-review">72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189e5580-65c0-43f0-b1f8-bd5ab7df606d</errorID>
      <errorWord xmlns="http://schemas.wps.cn/vas-ai-hub/contract-review">9、</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9.</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18A1B8B0</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b01afa45-9ae1-4911-9c61-7a253415e5ac</errorID>
      <errorWord xmlns="http://schemas.wps.cn/vas-ai-hub/contract-review">进行了</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进行</item>
      </candidateList>
      <explain xmlns="http://schemas.wps.cn/vas-ai-hub/contract-review">〈动〉❶从事（某种活动）：～讨论｜～工作｜～教育和批评｜会议正在～。注意“进行”总是用在持续性的和正式、严肃的行为，短暂性的和日常生活中的行为不用“进行”，例如不说“进行午睡”，“进行叫喊”。❷前进：～曲。</explain>
      <paraID xmlns="http://schemas.wps.cn/vas-ai-hub/contract-review">246ECC57</paraID>
      <start xmlns="http://schemas.wps.cn/vas-ai-hub/contract-review">53</start>
      <end xmlns="http://schemas.wps.cn/vas-ai-hub/contract-review">56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0da0ef93-de95-4095-a026-c1b896857e9c</errorID>
      <errorWord xmlns="http://schemas.wps.cn/vas-ai-hub/contract-review">来自于</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来自</item>
      </candidateList>
      <explain xmlns="http://schemas.wps.cn/vas-ai-hub/contract-review">该表达中的“来自于”存在语义重复。【词汇解析】来自：表示“来源于”。包含了“于”的意思。</explain>
      <paraID xmlns="http://schemas.wps.cn/vas-ai-hub/contract-review">799B4659</paraID>
      <start xmlns="http://schemas.wps.cn/vas-ai-hub/contract-review">8</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9dc4cd96-102a-4d71-b7e3-017afd1f300f</errorID>
      <errorWord xmlns="http://schemas.wps.cn/vas-ai-hub/contract-review">进行了</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进行</item>
      </candidateList>
      <explain xmlns="http://schemas.wps.cn/vas-ai-hub/contract-review">〈动〉❶从事（某种活动）：～讨论｜～工作｜～教育和批评｜会议正在～。注意“进行”总是用在持续性的和正式、严肃的行为，短暂性的和日常生活中的行为不用“进行”，例如不说“进行午睡”，“进行叫喊”。❷前进：～曲。</explain>
      <paraID xmlns="http://schemas.wps.cn/vas-ai-hub/contract-review">799B4659</paraID>
      <start xmlns="http://schemas.wps.cn/vas-ai-hub/contract-review">50</start>
      <end xmlns="http://schemas.wps.cn/vas-ai-hub/contract-review">53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9d9a1b6d-55d8-4a47-8a46-334b9a39eef2</errorID>
      <errorWord xmlns="http://schemas.wps.cn/vas-ai-hub/contract-review">配置</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配制</item>
      </candidateList>
      <explain xmlns="http://schemas.wps.cn/vas-ai-hub/contract-review">存在发音相同字词的误用。</explain>
      <paraID xmlns="http://schemas.wps.cn/vas-ai-hub/contract-review">3081AA1E</paraID>
      <start xmlns="http://schemas.wps.cn/vas-ai-hub/contract-review">83</start>
      <end xmlns="http://schemas.wps.cn/vas-ai-hub/contract-review">85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40a6c3dd-347d-4fee-a52a-a7cf9696d3e4</errorID>
      <errorWord xmlns="http://schemas.wps.cn/vas-ai-hub/contract-review">程</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程中</item>
      </candidateList>
      <explain xmlns="http://schemas.wps.cn/vas-ai-hub/contract-review"/>
      <paraID xmlns="http://schemas.wps.cn/vas-ai-hub/contract-review">23A62C46</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675b9b19-b7d9-42a4-9ca8-57e0e4911d26</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75196E3C</paraID>
      <start xmlns="http://schemas.wps.cn/vas-ai-hub/contract-review">26</start>
      <end xmlns="http://schemas.wps.cn/vas-ai-hub/contract-review">27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61a4158f-fa46-438f-ac15-ea0ec0712752</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59588725</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49751413-ea18-4347-9db8-fdedc933381a</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48E8A732</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06126252-8c69-417c-8895-493c1a71a918</errorID>
      <errorWord xmlns="http://schemas.wps.cn/vas-ai-hub/contract-review">最小</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最低</item>
      </candidateList>
      <explain xmlns="http://schemas.wps.cn/vas-ai-hub/contract-review"/>
      <paraID xmlns="http://schemas.wps.cn/vas-ai-hub/contract-review">5143D695</paraID>
      <start xmlns="http://schemas.wps.cn/vas-ai-hub/contract-review">104</start>
      <end xmlns="http://schemas.wps.cn/vas-ai-hub/contract-review">106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39e514d0-7a85-4d88-9c73-402c4b20228e</errorID>
      <errorWord xmlns="http://schemas.wps.cn/vas-ai-hub/contract-review">2025年05月12日</errorWord>
      <group xmlns="http://schemas.wps.cn/vas-ai-hub/contract-review">L1_Knowledge</group>
      <groupName xmlns="http://schemas.wps.cn/vas-ai-hub/contract-review">知识性问题</groupName>
      <ability xmlns="http://schemas.wps.cn/vas-ai-hub/contract-review">L2_Time</ability>
      <abilityName xmlns="http://schemas.wps.cn/vas-ai-hub/contract-review">日期时间</abilityName>
      <candidateList xmlns="http://schemas.wps.cn/vas-ai-hub/contract-review">
        <item xmlns="http://schemas.wps.cn/vas-ai-hub/contract-review">2025年5月12日</item>
      </candidateList>
      <explain xmlns="http://schemas.wps.cn/vas-ai-hub/contract-review">根据日常书写习惯，月份一般会省略前导零。</explain>
      <paraID xmlns="http://schemas.wps.cn/vas-ai-hub/contract-review">6359355E</paraID>
      <start xmlns="http://schemas.wps.cn/vas-ai-hub/contract-review">5</start>
      <end xmlns="http://schemas.wps.cn/vas-ai-hub/contract-review">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6bf0668c-4681-48f6-8beb-df52c12c9404</errorID>
      <errorWord xmlns="http://schemas.wps.cn/vas-ai-hub/contract-review">2025年05月12日</errorWord>
      <group xmlns="http://schemas.wps.cn/vas-ai-hub/contract-review">L1_Knowledge</group>
      <groupName xmlns="http://schemas.wps.cn/vas-ai-hub/contract-review">知识性问题</groupName>
      <ability xmlns="http://schemas.wps.cn/vas-ai-hub/contract-review">L2_Time</ability>
      <abilityName xmlns="http://schemas.wps.cn/vas-ai-hub/contract-review">日期时间</abilityName>
      <candidateList xmlns="http://schemas.wps.cn/vas-ai-hub/contract-review">
        <item xmlns="http://schemas.wps.cn/vas-ai-hub/contract-review">2025年5月12日</item>
      </candidateList>
      <explain xmlns="http://schemas.wps.cn/vas-ai-hub/contract-review">根据日常书写习惯，月份一般会省略前导零。</explain>
      <paraID xmlns="http://schemas.wps.cn/vas-ai-hub/contract-review">1DBC9B41</paraID>
      <start xmlns="http://schemas.wps.cn/vas-ai-hub/contract-review">6</start>
      <end xmlns="http://schemas.wps.cn/vas-ai-hub/contract-review">17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a124ea89-8273-4357-bd12-974584ce7796</errorID>
      <errorWord xmlns="http://schemas.wps.cn/vas-ai-hub/contract-review">2030年05月11日</errorWord>
      <group xmlns="http://schemas.wps.cn/vas-ai-hub/contract-review">L1_Knowledge</group>
      <groupName xmlns="http://schemas.wps.cn/vas-ai-hub/contract-review">知识性问题</groupName>
      <ability xmlns="http://schemas.wps.cn/vas-ai-hub/contract-review">L2_Time</ability>
      <abilityName xmlns="http://schemas.wps.cn/vas-ai-hub/contract-review">日期时间</abilityName>
      <candidateList xmlns="http://schemas.wps.cn/vas-ai-hub/contract-review">
        <item xmlns="http://schemas.wps.cn/vas-ai-hub/contract-review">2030年5月11日</item>
      </candidateList>
      <explain xmlns="http://schemas.wps.cn/vas-ai-hub/contract-review">根据日常书写习惯，月份一般会省略前导零。</explain>
      <paraID xmlns="http://schemas.wps.cn/vas-ai-hub/contract-review">1DBC9B41</paraID>
      <start xmlns="http://schemas.wps.cn/vas-ai-hub/contract-review">18</start>
      <end xmlns="http://schemas.wps.cn/vas-ai-hub/contract-review">29</end>
      <status xmlns="http://schemas.wps.cn/vas-ai-hub/contract-review">unmodified</status>
      <modifiedWord xmlns="http://schemas.wps.cn/vas-ai-hub/contract-review"/>
      <trackRevisions xmlns="http://schemas.wps.cn/vas-ai-hub/contract-review">false</trackRevisions>
    </reviewItem>
  </reviewItems>
  <config xmlns="http://schemas.wps.cn/vas-ai-hub/contract-review"/>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4bc2a8e-1435-4f40-93a2-2e51609a8efb}">
  <ds:schemaRefs/>
</ds:datastoreItem>
</file>

<file path=docProps/app.xml><?xml version="1.0" encoding="utf-8"?>
<Properties xmlns="http://schemas.openxmlformats.org/officeDocument/2006/extended-properties" xmlns:vt="http://schemas.openxmlformats.org/officeDocument/2006/docPropsVTypes">
  <Pages>313</Pages>
  <Words>21486</Words>
  <Characters>22306</Characters>
  <TotalTime>1</TotalTime>
  <ScaleCrop>false</ScaleCrop>
  <LinksUpToDate>false</LinksUpToDate>
  <CharactersWithSpaces>22817</CharactersWithSpaces>
  <Application>WPS Office_12.1.2.23578_F1E327BC-269C-435d-A152-05C5408002CA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2026-06-10T01:32:00Z</dcterms:created>
  <dc:creator>PC</dc:creator>
  <cp:lastModifiedBy>WPS_1729516128</cp:lastModifiedBy>
  <dcterms:modified xsi:type="dcterms:W3CDTF">2026-06-10T15:38:50Z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wqlLaW5nc29mdCBQREYgdG8gV1BTIDEyMA</vt:lpwstr>
  </property>
  <property fmtid="{D5CDD505-2E9C-101B-9397-08002B2CF9AE}" pid="3" name="Created">
    <vt:filetime>2026-06-09T17:33:11Z</vt:filetime>
  </property>
  <property fmtid="{D5CDD505-2E9C-101B-9397-08002B2CF9AE}" pid="4" name="KSOTemplateDocerSaveRecord">
    <vt:lpwstr>eyJoZGlkIjoiNGZhOWMzZTRmZDMzNzhiODg2NDIwNjcwNTE0NWRmNmUiLCJ1c2VySWQiOiI2MTE2MjMwOTIifQ==</vt:lpwstr>
  </property>
  <property fmtid="{D5CDD505-2E9C-101B-9397-08002B2CF9AE}" pid="5" name="KSOProductBuildVer">
    <vt:lpwstr>2052-12.1.2.23578</vt:lpwstr>
  </property>
  <property fmtid="{D5CDD505-2E9C-101B-9397-08002B2CF9AE}" pid="6" name="ICV">
    <vt:lpwstr>E542321315C32B378A14296A73E1D335_43</vt:lpwstr>
  </property>
</Properties>
</file>