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kinsoku/>
        <w:overflowPunct/>
        <w:topLinePunct w:val="0"/>
        <w:autoSpaceDE/>
        <w:autoSpaceDN/>
        <w:bidi w:val="0"/>
        <w:adjustRightInd/>
        <w:snapToGrid/>
        <w:spacing w:beforeAutospacing="0" w:afterAutospacing="0" w:line="560" w:lineRule="exact"/>
        <w:jc w:val="center"/>
        <w:textAlignment w:val="auto"/>
        <w:rPr>
          <w:rFonts w:hint="eastAsia" w:ascii="黑体" w:hAnsi="黑体" w:eastAsia="黑体" w:cs="微软雅黑"/>
          <w:b/>
          <w:color w:val="000000"/>
          <w:sz w:val="44"/>
          <w:szCs w:val="44"/>
        </w:rPr>
      </w:pPr>
    </w:p>
    <w:p>
      <w:pPr>
        <w:pStyle w:val="4"/>
        <w:keepNext w:val="0"/>
        <w:keepLines w:val="0"/>
        <w:pageBreakBefore w:val="0"/>
        <w:widowControl/>
        <w:kinsoku/>
        <w:overflowPunct/>
        <w:topLinePunct w:val="0"/>
        <w:autoSpaceDE/>
        <w:autoSpaceDN/>
        <w:bidi w:val="0"/>
        <w:adjustRightInd/>
        <w:snapToGrid/>
        <w:spacing w:beforeAutospacing="0" w:afterAutospacing="0" w:line="560" w:lineRule="exact"/>
        <w:jc w:val="center"/>
        <w:textAlignment w:val="auto"/>
        <w:rPr>
          <w:rFonts w:hint="eastAsia" w:ascii="黑体" w:hAnsi="黑体" w:eastAsia="黑体" w:cs="微软雅黑"/>
          <w:b/>
          <w:color w:val="000000"/>
          <w:sz w:val="44"/>
          <w:szCs w:val="44"/>
        </w:rPr>
      </w:pPr>
    </w:p>
    <w:p>
      <w:pPr>
        <w:pStyle w:val="4"/>
        <w:keepNext w:val="0"/>
        <w:keepLines w:val="0"/>
        <w:pageBreakBefore w:val="0"/>
        <w:widowControl/>
        <w:kinsoku/>
        <w:overflowPunct/>
        <w:topLinePunct w:val="0"/>
        <w:autoSpaceDE/>
        <w:autoSpaceDN/>
        <w:bidi w:val="0"/>
        <w:adjustRightInd/>
        <w:snapToGrid/>
        <w:spacing w:beforeAutospacing="0" w:afterAutospacing="0" w:line="560" w:lineRule="exact"/>
        <w:jc w:val="center"/>
        <w:textAlignment w:val="auto"/>
        <w:rPr>
          <w:rFonts w:hint="eastAsia" w:ascii="黑体" w:hAnsi="黑体" w:eastAsia="黑体" w:cs="微软雅黑"/>
          <w:b/>
          <w:color w:val="000000"/>
          <w:sz w:val="44"/>
          <w:szCs w:val="44"/>
        </w:rPr>
      </w:pPr>
    </w:p>
    <w:p>
      <w:pPr>
        <w:pStyle w:val="4"/>
        <w:keepNext w:val="0"/>
        <w:keepLines w:val="0"/>
        <w:pageBreakBefore w:val="0"/>
        <w:widowControl/>
        <w:kinsoku/>
        <w:overflowPunct/>
        <w:topLinePunct w:val="0"/>
        <w:autoSpaceDE/>
        <w:autoSpaceDN/>
        <w:bidi w:val="0"/>
        <w:adjustRightInd/>
        <w:snapToGrid/>
        <w:spacing w:beforeAutospacing="0" w:afterAutospacing="0" w:line="560" w:lineRule="exact"/>
        <w:jc w:val="center"/>
        <w:textAlignment w:val="auto"/>
        <w:rPr>
          <w:rFonts w:hint="eastAsia" w:ascii="黑体" w:hAnsi="黑体" w:eastAsia="黑体" w:cs="微软雅黑"/>
          <w:b/>
          <w:color w:val="000000"/>
          <w:sz w:val="44"/>
          <w:szCs w:val="44"/>
        </w:rPr>
      </w:pPr>
    </w:p>
    <w:p>
      <w:pPr>
        <w:pStyle w:val="4"/>
        <w:keepNext w:val="0"/>
        <w:keepLines w:val="0"/>
        <w:pageBreakBefore w:val="0"/>
        <w:widowControl/>
        <w:kinsoku/>
        <w:overflowPunct/>
        <w:topLinePunct w:val="0"/>
        <w:autoSpaceDE/>
        <w:autoSpaceDN/>
        <w:bidi w:val="0"/>
        <w:adjustRightInd/>
        <w:snapToGrid/>
        <w:spacing w:beforeAutospacing="0" w:afterAutospacing="0" w:line="560" w:lineRule="exact"/>
        <w:jc w:val="center"/>
        <w:textAlignment w:val="auto"/>
        <w:rPr>
          <w:rFonts w:hint="eastAsia" w:ascii="黑体" w:hAnsi="黑体" w:eastAsia="黑体" w:cs="微软雅黑"/>
          <w:b/>
          <w:color w:val="000000"/>
          <w:sz w:val="44"/>
          <w:szCs w:val="44"/>
        </w:rPr>
      </w:pPr>
    </w:p>
    <w:p>
      <w:pPr>
        <w:pStyle w:val="4"/>
        <w:keepNext w:val="0"/>
        <w:keepLines w:val="0"/>
        <w:pageBreakBefore w:val="0"/>
        <w:widowControl/>
        <w:kinsoku/>
        <w:overflowPunct/>
        <w:topLinePunct w:val="0"/>
        <w:autoSpaceDE/>
        <w:autoSpaceDN/>
        <w:bidi w:val="0"/>
        <w:adjustRightInd/>
        <w:snapToGrid/>
        <w:spacing w:beforeAutospacing="0" w:afterAutospacing="0" w:line="560" w:lineRule="exact"/>
        <w:jc w:val="center"/>
        <w:textAlignment w:val="auto"/>
        <w:rPr>
          <w:rFonts w:hint="eastAsia" w:ascii="黑体" w:hAnsi="黑体" w:eastAsia="黑体" w:cs="微软雅黑"/>
          <w:b/>
          <w:color w:val="000000"/>
          <w:sz w:val="44"/>
          <w:szCs w:val="44"/>
        </w:rPr>
      </w:pPr>
    </w:p>
    <w:p>
      <w:pPr>
        <w:pStyle w:val="4"/>
        <w:keepNext w:val="0"/>
        <w:keepLines w:val="0"/>
        <w:pageBreakBefore w:val="0"/>
        <w:widowControl/>
        <w:kinsoku/>
        <w:overflowPunct/>
        <w:topLinePunct w:val="0"/>
        <w:autoSpaceDE/>
        <w:autoSpaceDN/>
        <w:bidi w:val="0"/>
        <w:adjustRightInd/>
        <w:snapToGrid/>
        <w:spacing w:beforeAutospacing="0" w:afterAutospacing="0" w:line="560" w:lineRule="exact"/>
        <w:jc w:val="center"/>
        <w:textAlignment w:val="auto"/>
        <w:rPr>
          <w:rFonts w:hint="eastAsia" w:ascii="仿宋_GB2312" w:hAnsi="黑体" w:eastAsia="仿宋_GB2312" w:cs="微软雅黑"/>
          <w:b/>
          <w:color w:val="000000"/>
          <w:sz w:val="32"/>
          <w:szCs w:val="32"/>
        </w:rPr>
      </w:pPr>
    </w:p>
    <w:p>
      <w:pPr>
        <w:pStyle w:val="4"/>
        <w:keepNext w:val="0"/>
        <w:keepLines w:val="0"/>
        <w:pageBreakBefore w:val="0"/>
        <w:widowControl/>
        <w:kinsoku/>
        <w:overflowPunct/>
        <w:topLinePunct w:val="0"/>
        <w:autoSpaceDE/>
        <w:autoSpaceDN/>
        <w:bidi w:val="0"/>
        <w:adjustRightInd/>
        <w:snapToGrid/>
        <w:spacing w:beforeAutospacing="0" w:afterAutospacing="0" w:line="560" w:lineRule="exact"/>
        <w:jc w:val="center"/>
        <w:textAlignment w:val="auto"/>
        <w:rPr>
          <w:rFonts w:hint="eastAsia" w:ascii="仿宋_GB2312" w:hAnsi="黑体" w:eastAsia="仿宋_GB2312" w:cs="微软雅黑"/>
          <w:b/>
          <w:color w:val="000000"/>
          <w:sz w:val="32"/>
          <w:szCs w:val="32"/>
        </w:rPr>
      </w:pPr>
    </w:p>
    <w:p>
      <w:pPr>
        <w:pStyle w:val="4"/>
        <w:keepNext w:val="0"/>
        <w:keepLines w:val="0"/>
        <w:pageBreakBefore w:val="0"/>
        <w:widowControl/>
        <w:kinsoku/>
        <w:overflowPunct/>
        <w:topLinePunct w:val="0"/>
        <w:autoSpaceDE/>
        <w:autoSpaceDN/>
        <w:bidi w:val="0"/>
        <w:adjustRightInd/>
        <w:snapToGrid/>
        <w:spacing w:beforeAutospacing="0" w:afterAutospacing="0" w:line="560" w:lineRule="exact"/>
        <w:jc w:val="center"/>
        <w:textAlignment w:val="auto"/>
        <w:rPr>
          <w:rFonts w:hint="eastAsia" w:ascii="仿宋_GB2312" w:hAnsi="黑体" w:eastAsia="仿宋_GB2312" w:cs="微软雅黑"/>
          <w:b w:val="0"/>
          <w:bCs/>
          <w:color w:val="000000"/>
          <w:sz w:val="32"/>
          <w:szCs w:val="32"/>
        </w:rPr>
      </w:pPr>
      <w:r>
        <w:rPr>
          <w:rFonts w:hint="eastAsia" w:ascii="仿宋_GB2312" w:hAnsi="黑体" w:eastAsia="仿宋_GB2312" w:cs="微软雅黑"/>
          <w:b w:val="0"/>
          <w:bCs/>
          <w:color w:val="000000"/>
          <w:sz w:val="32"/>
          <w:szCs w:val="32"/>
        </w:rPr>
        <w:t>磴财采管【2022】136号</w:t>
      </w:r>
    </w:p>
    <w:p>
      <w:pPr>
        <w:pStyle w:val="4"/>
        <w:keepNext w:val="0"/>
        <w:keepLines w:val="0"/>
        <w:pageBreakBefore w:val="0"/>
        <w:widowControl/>
        <w:kinsoku/>
        <w:overflowPunct/>
        <w:topLinePunct w:val="0"/>
        <w:autoSpaceDE/>
        <w:autoSpaceDN/>
        <w:bidi w:val="0"/>
        <w:adjustRightInd/>
        <w:snapToGrid/>
        <w:spacing w:beforeAutospacing="0" w:afterAutospacing="0" w:line="560" w:lineRule="exact"/>
        <w:jc w:val="center"/>
        <w:textAlignment w:val="auto"/>
        <w:rPr>
          <w:rFonts w:hint="eastAsia" w:ascii="黑体" w:hAnsi="黑体" w:eastAsia="黑体" w:cs="微软雅黑"/>
          <w:b/>
          <w:color w:val="000000"/>
          <w:sz w:val="44"/>
          <w:szCs w:val="44"/>
        </w:rPr>
      </w:pPr>
    </w:p>
    <w:p>
      <w:pPr>
        <w:pStyle w:val="4"/>
        <w:keepNext w:val="0"/>
        <w:keepLines w:val="0"/>
        <w:pageBreakBefore w:val="0"/>
        <w:widowControl/>
        <w:kinsoku/>
        <w:overflowPunct/>
        <w:topLinePunct w:val="0"/>
        <w:autoSpaceDE/>
        <w:autoSpaceDN/>
        <w:bidi w:val="0"/>
        <w:adjustRightInd/>
        <w:snapToGrid/>
        <w:spacing w:beforeAutospacing="0" w:afterAutospacing="0" w:line="640" w:lineRule="exact"/>
        <w:jc w:val="center"/>
        <w:textAlignment w:val="auto"/>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rPr>
        <w:t>关于进一步规范政府采购保证金管理 加快推进电子保函工作的通知</w:t>
      </w:r>
    </w:p>
    <w:p>
      <w:pPr>
        <w:pStyle w:val="4"/>
        <w:keepNext w:val="0"/>
        <w:keepLines w:val="0"/>
        <w:pageBreakBefore w:val="0"/>
        <w:widowControl/>
        <w:kinsoku/>
        <w:wordWrap/>
        <w:overflowPunct/>
        <w:topLinePunct w:val="0"/>
        <w:autoSpaceDE/>
        <w:autoSpaceDN/>
        <w:bidi w:val="0"/>
        <w:adjustRightInd/>
        <w:snapToGrid/>
        <w:spacing w:beforeAutospacing="0" w:afterAutospacing="0" w:line="640" w:lineRule="exact"/>
        <w:jc w:val="right"/>
        <w:textAlignment w:val="auto"/>
        <w:rPr>
          <w:rFonts w:ascii="仿宋_GB2312" w:hAnsi="宋体" w:eastAsia="仿宋_GB2312" w:cs="宋体"/>
          <w:color w:val="333333"/>
          <w:sz w:val="32"/>
          <w:szCs w:val="32"/>
        </w:rPr>
      </w:pPr>
    </w:p>
    <w:p>
      <w:pPr>
        <w:pStyle w:val="4"/>
        <w:keepNext w:val="0"/>
        <w:keepLines w:val="0"/>
        <w:pageBreakBefore w:val="0"/>
        <w:widowControl/>
        <w:kinsoku/>
        <w:wordWrap w:val="0"/>
        <w:overflowPunct/>
        <w:topLinePunct w:val="0"/>
        <w:autoSpaceDE/>
        <w:autoSpaceDN/>
        <w:bidi w:val="0"/>
        <w:adjustRightInd/>
        <w:snapToGrid/>
        <w:spacing w:beforeAutospacing="0" w:afterAutospacing="0" w:line="640" w:lineRule="exact"/>
        <w:textAlignment w:val="auto"/>
        <w:rPr>
          <w:rFonts w:ascii="仿宋_GB2312" w:eastAsia="仿宋_GB2312"/>
          <w:sz w:val="32"/>
          <w:szCs w:val="32"/>
        </w:rPr>
      </w:pPr>
      <w:r>
        <w:rPr>
          <w:rFonts w:hint="eastAsia" w:ascii="仿宋_GB2312" w:hAnsi="宋体" w:eastAsia="仿宋_GB2312" w:cs="宋体"/>
          <w:color w:val="333333"/>
          <w:sz w:val="32"/>
          <w:szCs w:val="32"/>
        </w:rPr>
        <w:t>各苏木镇、县直各预算单位：</w:t>
      </w:r>
    </w:p>
    <w:p>
      <w:pPr>
        <w:pStyle w:val="4"/>
        <w:keepNext w:val="0"/>
        <w:keepLines w:val="0"/>
        <w:pageBreakBefore w:val="0"/>
        <w:widowControl/>
        <w:kinsoku/>
        <w:wordWrap w:val="0"/>
        <w:overflowPunct/>
        <w:topLinePunct w:val="0"/>
        <w:autoSpaceDE/>
        <w:autoSpaceDN/>
        <w:bidi w:val="0"/>
        <w:adjustRightInd/>
        <w:snapToGrid/>
        <w:spacing w:beforeAutospacing="0" w:afterAutospacing="0" w:line="640" w:lineRule="exact"/>
        <w:ind w:firstLine="640" w:firstLineChars="200"/>
        <w:textAlignment w:val="auto"/>
        <w:rPr>
          <w:rFonts w:ascii="仿宋_GB2312" w:eastAsia="仿宋_GB2312"/>
          <w:sz w:val="32"/>
          <w:szCs w:val="32"/>
        </w:rPr>
      </w:pPr>
      <w:r>
        <w:rPr>
          <w:rFonts w:hint="eastAsia" w:ascii="仿宋_GB2312" w:hAnsi="宋体" w:eastAsia="仿宋_GB2312" w:cs="宋体"/>
          <w:color w:val="333333"/>
          <w:sz w:val="32"/>
          <w:szCs w:val="32"/>
        </w:rPr>
        <w:t>根据《中华人民共和国政府采购法》及其实施条例等法律法规和规范性文件、《内蒙古自治区人民政府关于印发自治区以更优营商环境服务市场主体行动方案的通知》（内政发〔2022〕4号）和《内蒙古自治区财政厅关于进一步做好优化政府采购领域营商环境工作的通知》（内财购〔2021〕1421号）要求，为进一步规范政府采购投标（履约）保证金管理，加快推进政府采购领域电子保函应用工作，保护政府采购当事人的合法权益，切实减轻企业负担、降低交易成本，营造良好的营商环境，维护政府采购领域公平竞争的市场秩序，现将有关事项通知如下：</w:t>
      </w:r>
    </w:p>
    <w:p>
      <w:pPr>
        <w:pStyle w:val="4"/>
        <w:keepNext w:val="0"/>
        <w:keepLines w:val="0"/>
        <w:pageBreakBefore w:val="0"/>
        <w:widowControl/>
        <w:kinsoku/>
        <w:wordWrap w:val="0"/>
        <w:overflowPunct/>
        <w:topLinePunct w:val="0"/>
        <w:autoSpaceDE/>
        <w:autoSpaceDN/>
        <w:bidi w:val="0"/>
        <w:adjustRightInd/>
        <w:snapToGrid/>
        <w:spacing w:beforeAutospacing="0" w:afterAutospacing="0" w:line="640" w:lineRule="exact"/>
        <w:ind w:firstLine="640" w:firstLineChars="200"/>
        <w:textAlignment w:val="auto"/>
        <w:rPr>
          <w:rFonts w:ascii="黑体" w:hAnsi="黑体" w:eastAsia="黑体"/>
          <w:b w:val="0"/>
          <w:bCs/>
          <w:sz w:val="32"/>
          <w:szCs w:val="32"/>
        </w:rPr>
      </w:pPr>
      <w:r>
        <w:rPr>
          <w:rStyle w:val="7"/>
          <w:rFonts w:hint="eastAsia" w:ascii="黑体" w:hAnsi="黑体" w:eastAsia="黑体" w:cs="宋体"/>
          <w:b w:val="0"/>
          <w:bCs/>
          <w:color w:val="333333"/>
          <w:sz w:val="32"/>
          <w:szCs w:val="32"/>
        </w:rPr>
        <w:t>一、依法依规规范保证金收取</w:t>
      </w:r>
    </w:p>
    <w:p>
      <w:pPr>
        <w:pStyle w:val="4"/>
        <w:keepNext w:val="0"/>
        <w:keepLines w:val="0"/>
        <w:pageBreakBefore w:val="0"/>
        <w:widowControl/>
        <w:kinsoku/>
        <w:wordWrap w:val="0"/>
        <w:overflowPunct/>
        <w:topLinePunct w:val="0"/>
        <w:autoSpaceDE/>
        <w:autoSpaceDN/>
        <w:bidi w:val="0"/>
        <w:adjustRightInd/>
        <w:snapToGrid/>
        <w:spacing w:beforeAutospacing="0" w:afterAutospacing="0" w:line="640" w:lineRule="exact"/>
        <w:ind w:firstLine="640" w:firstLineChars="200"/>
        <w:textAlignment w:val="auto"/>
        <w:rPr>
          <w:rFonts w:ascii="仿宋_GB2312" w:eastAsia="仿宋_GB2312"/>
          <w:sz w:val="32"/>
          <w:szCs w:val="32"/>
        </w:rPr>
      </w:pPr>
      <w:r>
        <w:rPr>
          <w:rFonts w:hint="eastAsia" w:ascii="仿宋_GB2312" w:hAnsi="宋体" w:eastAsia="仿宋_GB2312" w:cs="宋体"/>
          <w:color w:val="333333"/>
          <w:sz w:val="32"/>
          <w:szCs w:val="32"/>
        </w:rPr>
        <w:t>采购人、采购代理机构对收取政府采购投标保证金（竞争性谈判或者询价采购中要求参加谈判或者询价的供应商提交保证金的，参照执行）、履约保证金不搞“一刀切”，应当严格执行涉企保证金目录清单制度，一律不得收取没有法律、行政法规依据或未经国务院批准的涉企保证金。采购人、采购代理机构应依托</w:t>
      </w:r>
      <w:r>
        <w:rPr>
          <w:rStyle w:val="7"/>
          <w:rFonts w:hint="eastAsia" w:ascii="仿宋_GB2312" w:hAnsi="宋体" w:eastAsia="仿宋_GB2312" w:cs="宋体"/>
          <w:b w:val="0"/>
          <w:color w:val="333333"/>
          <w:sz w:val="32"/>
          <w:szCs w:val="32"/>
        </w:rPr>
        <w:t>内蒙古自治区政府采购云平台诚信管理系统</w:t>
      </w:r>
      <w:r>
        <w:rPr>
          <w:rFonts w:hint="eastAsia" w:ascii="仿宋_GB2312" w:hAnsi="宋体" w:eastAsia="仿宋_GB2312" w:cs="宋体"/>
          <w:b/>
          <w:color w:val="333333"/>
          <w:sz w:val="32"/>
          <w:szCs w:val="32"/>
        </w:rPr>
        <w:t>，</w:t>
      </w:r>
      <w:r>
        <w:rPr>
          <w:rFonts w:hint="eastAsia" w:ascii="仿宋_GB2312" w:hAnsi="宋体" w:eastAsia="仿宋_GB2312" w:cs="宋体"/>
          <w:color w:val="333333"/>
          <w:sz w:val="32"/>
          <w:szCs w:val="32"/>
        </w:rPr>
        <w:t>推进采购信用评价结果应用，鼓励采购人综合考虑项目特点、供应商资信等情况，对诚信记录好的免收保证金或降低收取比例（额度），并在采购文件中予以明确。</w:t>
      </w:r>
    </w:p>
    <w:p>
      <w:pPr>
        <w:pStyle w:val="4"/>
        <w:keepNext w:val="0"/>
        <w:keepLines w:val="0"/>
        <w:pageBreakBefore w:val="0"/>
        <w:widowControl/>
        <w:kinsoku/>
        <w:wordWrap w:val="0"/>
        <w:overflowPunct/>
        <w:topLinePunct w:val="0"/>
        <w:autoSpaceDE/>
        <w:autoSpaceDN/>
        <w:bidi w:val="0"/>
        <w:adjustRightInd/>
        <w:snapToGrid/>
        <w:spacing w:beforeAutospacing="0" w:afterAutospacing="0" w:line="640" w:lineRule="exact"/>
        <w:ind w:firstLine="640" w:firstLineChars="200"/>
        <w:textAlignment w:val="auto"/>
        <w:rPr>
          <w:rFonts w:ascii="仿宋_GB2312" w:eastAsia="仿宋_GB2312"/>
          <w:sz w:val="32"/>
          <w:szCs w:val="32"/>
        </w:rPr>
      </w:pPr>
      <w:r>
        <w:rPr>
          <w:rFonts w:hint="eastAsia" w:ascii="仿宋_GB2312" w:hAnsi="宋体" w:eastAsia="仿宋_GB2312" w:cs="宋体"/>
          <w:color w:val="333333"/>
          <w:sz w:val="32"/>
          <w:szCs w:val="32"/>
        </w:rPr>
        <w:t>采购人委托采购代理机构代为管理投标（响应）保证金的，应当与采购代理机构签订委托协议，明确委托事项和管理责任，对投标（响应）保证金收取、退还和违约责任等作出具体约定。对于需要收取履约保证金的项目，采购人应当在采购合同中与供应商约定履约保证金退还的方式、时间、条件和不予退还的情形，明确逾期退还履约保证金的违约责任。采购人应按照“谁采购、谁负责”原则，监督委托的代理机构按照规定收取、存放及按时足额退还保证金。</w:t>
      </w:r>
    </w:p>
    <w:p>
      <w:pPr>
        <w:pStyle w:val="4"/>
        <w:keepNext w:val="0"/>
        <w:keepLines w:val="0"/>
        <w:pageBreakBefore w:val="0"/>
        <w:widowControl/>
        <w:kinsoku/>
        <w:wordWrap w:val="0"/>
        <w:overflowPunct/>
        <w:topLinePunct w:val="0"/>
        <w:autoSpaceDE/>
        <w:autoSpaceDN/>
        <w:bidi w:val="0"/>
        <w:adjustRightInd/>
        <w:snapToGrid/>
        <w:spacing w:beforeAutospacing="0" w:afterAutospacing="0" w:line="640" w:lineRule="exact"/>
        <w:ind w:firstLine="640" w:firstLineChars="200"/>
        <w:textAlignment w:val="auto"/>
        <w:rPr>
          <w:rFonts w:ascii="黑体" w:hAnsi="黑体" w:eastAsia="黑体"/>
          <w:b w:val="0"/>
          <w:bCs/>
          <w:sz w:val="32"/>
          <w:szCs w:val="32"/>
        </w:rPr>
      </w:pPr>
      <w:r>
        <w:rPr>
          <w:rStyle w:val="7"/>
          <w:rFonts w:hint="eastAsia" w:ascii="黑体" w:hAnsi="黑体" w:eastAsia="黑体" w:cs="宋体"/>
          <w:b w:val="0"/>
          <w:bCs/>
          <w:color w:val="333333"/>
          <w:sz w:val="32"/>
          <w:szCs w:val="32"/>
        </w:rPr>
        <w:t>二、全面推广电子保函替代应用</w:t>
      </w:r>
    </w:p>
    <w:p>
      <w:pPr>
        <w:pStyle w:val="4"/>
        <w:keepNext w:val="0"/>
        <w:keepLines w:val="0"/>
        <w:pageBreakBefore w:val="0"/>
        <w:widowControl/>
        <w:kinsoku/>
        <w:wordWrap w:val="0"/>
        <w:overflowPunct/>
        <w:topLinePunct w:val="0"/>
        <w:autoSpaceDE/>
        <w:autoSpaceDN/>
        <w:bidi w:val="0"/>
        <w:adjustRightInd/>
        <w:snapToGrid/>
        <w:spacing w:beforeAutospacing="0" w:afterAutospacing="0" w:line="640" w:lineRule="exact"/>
        <w:ind w:firstLine="640" w:firstLineChars="200"/>
        <w:textAlignment w:val="auto"/>
        <w:rPr>
          <w:rFonts w:ascii="仿宋_GB2312" w:eastAsia="仿宋_GB2312"/>
          <w:sz w:val="32"/>
          <w:szCs w:val="32"/>
        </w:rPr>
      </w:pPr>
      <w:r>
        <w:rPr>
          <w:rFonts w:hint="eastAsia" w:ascii="仿宋_GB2312" w:hAnsi="宋体" w:eastAsia="仿宋_GB2312" w:cs="宋体"/>
          <w:color w:val="333333"/>
          <w:sz w:val="32"/>
          <w:szCs w:val="32"/>
        </w:rPr>
        <w:t>采购人、采购代理机构应当允许供应商以支票、汇票、本票或者电子保函等非现金形式缴纳保证金。应充分利用政府采购“全区一张网”的制度和技术优势，依托内蒙古自治区政府采购云平台电子保函系统，</w:t>
      </w:r>
      <w:r>
        <w:rPr>
          <w:rStyle w:val="7"/>
          <w:rFonts w:hint="eastAsia" w:ascii="仿宋_GB2312" w:hAnsi="宋体" w:eastAsia="仿宋_GB2312" w:cs="宋体"/>
          <w:b w:val="0"/>
          <w:color w:val="333333"/>
          <w:sz w:val="32"/>
          <w:szCs w:val="32"/>
        </w:rPr>
        <w:t>在全区范围内推广投标（履约）电子保函替代现金缴纳涉企保证金</w:t>
      </w:r>
      <w:r>
        <w:rPr>
          <w:rFonts w:hint="eastAsia" w:ascii="仿宋_GB2312" w:hAnsi="宋体" w:eastAsia="仿宋_GB2312" w:cs="宋体"/>
          <w:b/>
          <w:color w:val="333333"/>
          <w:sz w:val="32"/>
          <w:szCs w:val="32"/>
        </w:rPr>
        <w:t>，</w:t>
      </w:r>
      <w:r>
        <w:rPr>
          <w:rFonts w:hint="eastAsia" w:ascii="仿宋_GB2312" w:hAnsi="宋体" w:eastAsia="仿宋_GB2312" w:cs="宋体"/>
          <w:color w:val="333333"/>
          <w:sz w:val="32"/>
          <w:szCs w:val="32"/>
        </w:rPr>
        <w:t>应积极推动投标（履约）电子保函在政府采购项目中的应用，推荐供应商使用电子保函代替其他非现金方式缴纳保证金。采购人、采购代理机构不得差别对待使用电子保函参与投标的供应商，不得以指定、授意、暗示等方式，干预供应商自主选择开具电子保函的金融机构。</w:t>
      </w:r>
    </w:p>
    <w:p>
      <w:pPr>
        <w:pStyle w:val="4"/>
        <w:keepNext w:val="0"/>
        <w:keepLines w:val="0"/>
        <w:pageBreakBefore w:val="0"/>
        <w:widowControl/>
        <w:kinsoku/>
        <w:wordWrap w:val="0"/>
        <w:overflowPunct/>
        <w:topLinePunct w:val="0"/>
        <w:autoSpaceDE/>
        <w:autoSpaceDN/>
        <w:bidi w:val="0"/>
        <w:adjustRightInd/>
        <w:snapToGrid/>
        <w:spacing w:beforeAutospacing="0" w:afterAutospacing="0" w:line="640" w:lineRule="exact"/>
        <w:ind w:firstLine="640" w:firstLineChars="200"/>
        <w:textAlignment w:val="auto"/>
        <w:rPr>
          <w:rFonts w:ascii="黑体" w:hAnsi="黑体" w:eastAsia="黑体"/>
          <w:b w:val="0"/>
          <w:bCs/>
          <w:sz w:val="32"/>
          <w:szCs w:val="32"/>
        </w:rPr>
      </w:pPr>
      <w:r>
        <w:rPr>
          <w:rStyle w:val="7"/>
          <w:rFonts w:hint="eastAsia" w:ascii="黑体" w:hAnsi="黑体" w:eastAsia="黑体" w:cs="宋体"/>
          <w:b w:val="0"/>
          <w:bCs/>
          <w:color w:val="333333"/>
          <w:sz w:val="32"/>
          <w:szCs w:val="32"/>
        </w:rPr>
        <w:t>三、规定期限内及时退还保证金</w:t>
      </w:r>
    </w:p>
    <w:p>
      <w:pPr>
        <w:pStyle w:val="4"/>
        <w:keepNext w:val="0"/>
        <w:keepLines w:val="0"/>
        <w:pageBreakBefore w:val="0"/>
        <w:widowControl/>
        <w:kinsoku/>
        <w:wordWrap w:val="0"/>
        <w:overflowPunct/>
        <w:topLinePunct w:val="0"/>
        <w:autoSpaceDE/>
        <w:autoSpaceDN/>
        <w:bidi w:val="0"/>
        <w:adjustRightInd/>
        <w:snapToGrid/>
        <w:spacing w:beforeAutospacing="0" w:afterAutospacing="0" w:line="640" w:lineRule="exact"/>
        <w:ind w:firstLine="640" w:firstLineChars="200"/>
        <w:textAlignment w:val="auto"/>
        <w:rPr>
          <w:rFonts w:ascii="仿宋_GB2312" w:eastAsia="仿宋_GB2312"/>
          <w:sz w:val="32"/>
          <w:szCs w:val="32"/>
        </w:rPr>
      </w:pPr>
      <w:r>
        <w:rPr>
          <w:rFonts w:hint="eastAsia" w:ascii="仿宋_GB2312" w:hAnsi="宋体" w:eastAsia="仿宋_GB2312" w:cs="宋体"/>
          <w:color w:val="333333"/>
          <w:sz w:val="32"/>
          <w:szCs w:val="32"/>
        </w:rPr>
        <w:t>采购人、采购代理机构应严格按照法律法规的规定，在规定期限内及时退还投标（响应）和履约保证金，减少保证金占用时间。采购人、采购代理机构应当自中标通知书发出之日起5个工作日内退还未中标（成交）供应商的投标（响应）保证金，自政府采购合同签订之日起5个工作日内退还中标（成交）供应商的投标（响应）保证金或者转为中标（成交）供应商的履约保证金。采购人、采购代理机构应改进保证金退还流程，严格落实保证金退还时限要求。鼓励采购人、采购代理机构压缩退还期限由5个工作日压缩到3个工作日，减少供应商资金占用时间。</w:t>
      </w:r>
    </w:p>
    <w:p>
      <w:pPr>
        <w:pStyle w:val="4"/>
        <w:keepNext w:val="0"/>
        <w:keepLines w:val="0"/>
        <w:pageBreakBefore w:val="0"/>
        <w:widowControl/>
        <w:kinsoku/>
        <w:wordWrap w:val="0"/>
        <w:overflowPunct/>
        <w:topLinePunct w:val="0"/>
        <w:autoSpaceDE/>
        <w:autoSpaceDN/>
        <w:bidi w:val="0"/>
        <w:adjustRightInd/>
        <w:snapToGrid/>
        <w:spacing w:beforeAutospacing="0" w:afterAutospacing="0" w:line="640" w:lineRule="exact"/>
        <w:ind w:firstLine="640" w:firstLineChars="200"/>
        <w:textAlignment w:val="auto"/>
        <w:rPr>
          <w:rFonts w:ascii="仿宋_GB2312" w:eastAsia="仿宋_GB2312"/>
          <w:sz w:val="32"/>
          <w:szCs w:val="32"/>
        </w:rPr>
      </w:pPr>
      <w:r>
        <w:rPr>
          <w:rFonts w:hint="eastAsia" w:ascii="仿宋_GB2312" w:hAnsi="宋体" w:eastAsia="仿宋_GB2312" w:cs="宋体"/>
          <w:color w:val="333333"/>
          <w:sz w:val="32"/>
          <w:szCs w:val="32"/>
        </w:rPr>
        <w:t>投标人、供应商在投标截止时间或提交响应文件截止时间前撤回已提交的投标（响应）文件的，采购人、采购代理机构应当自收到投标人书面撤回通知之日起5个工作日内，退还已收取的投标（响应）保证金，但因投标人、供应商自身原因导致无法及时退还的除外。在竞争性谈判中，已提交响应文件的供应商，在提交最后报价之前，可以根据谈判情况退出谈判。采购人、采购代理机构应当退还退出谈判的供应商的保证金。终止招标的，采购人、采购代理机构已经收取采购文件费用或者投标保证金的，采购人、采购代理机构应当在终止采购活动后5个工作日内，退还收取的招标文件费用和所收取的投标保证金及其在银行产生的孳息。</w:t>
      </w:r>
    </w:p>
    <w:p>
      <w:pPr>
        <w:pStyle w:val="4"/>
        <w:keepNext w:val="0"/>
        <w:keepLines w:val="0"/>
        <w:pageBreakBefore w:val="0"/>
        <w:widowControl/>
        <w:kinsoku/>
        <w:wordWrap w:val="0"/>
        <w:overflowPunct/>
        <w:topLinePunct w:val="0"/>
        <w:autoSpaceDE/>
        <w:autoSpaceDN/>
        <w:bidi w:val="0"/>
        <w:adjustRightInd/>
        <w:snapToGrid/>
        <w:spacing w:beforeAutospacing="0" w:afterAutospacing="0" w:line="640" w:lineRule="exact"/>
        <w:ind w:firstLine="640" w:firstLineChars="200"/>
        <w:textAlignment w:val="auto"/>
        <w:rPr>
          <w:rFonts w:ascii="黑体" w:hAnsi="黑体" w:eastAsia="黑体"/>
          <w:b w:val="0"/>
          <w:bCs/>
          <w:sz w:val="32"/>
          <w:szCs w:val="32"/>
        </w:rPr>
      </w:pPr>
      <w:r>
        <w:rPr>
          <w:rStyle w:val="7"/>
          <w:rFonts w:hint="eastAsia" w:ascii="黑体" w:hAnsi="黑体" w:eastAsia="黑体" w:cs="宋体"/>
          <w:b w:val="0"/>
          <w:bCs/>
          <w:color w:val="333333"/>
          <w:sz w:val="32"/>
          <w:szCs w:val="32"/>
        </w:rPr>
        <w:t>四、严格执行保证金逾期有关规定</w:t>
      </w:r>
    </w:p>
    <w:p>
      <w:pPr>
        <w:pStyle w:val="4"/>
        <w:keepNext w:val="0"/>
        <w:keepLines w:val="0"/>
        <w:pageBreakBefore w:val="0"/>
        <w:widowControl/>
        <w:kinsoku/>
        <w:wordWrap w:val="0"/>
        <w:overflowPunct/>
        <w:topLinePunct w:val="0"/>
        <w:autoSpaceDE/>
        <w:autoSpaceDN/>
        <w:bidi w:val="0"/>
        <w:adjustRightInd/>
        <w:snapToGrid/>
        <w:spacing w:beforeAutospacing="0" w:afterAutospacing="0" w:line="640" w:lineRule="exact"/>
        <w:ind w:firstLine="640" w:firstLineChars="200"/>
        <w:textAlignment w:val="auto"/>
        <w:rPr>
          <w:rFonts w:ascii="仿宋_GB2312" w:eastAsia="仿宋_GB2312"/>
          <w:sz w:val="32"/>
          <w:szCs w:val="32"/>
        </w:rPr>
      </w:pPr>
      <w:r>
        <w:rPr>
          <w:rFonts w:hint="eastAsia" w:ascii="仿宋_GB2312" w:hAnsi="宋体" w:eastAsia="仿宋_GB2312" w:cs="宋体"/>
          <w:color w:val="333333"/>
          <w:sz w:val="32"/>
          <w:szCs w:val="32"/>
        </w:rPr>
        <w:t>采购人、采购代理机构逾期退还投标（响应）保证金的，除应当退还投标（响应）保证金外，还应当支付中国人民银行同期贷款基准利率上浮20%后的利率支付超期资金占用费，但因投标人、供应商自身原因导致无法及时退还的除外。采购人收取履约保证金的，应当按照合同约定，在保证期限届满后及时进行核实和结算。延迟支付的，应当支付逾期利息。双方对逾期利息的利率有约定的，按照约定执行。未作约定的，支付逾期利息应符合国家有关规定。</w:t>
      </w:r>
    </w:p>
    <w:p>
      <w:pPr>
        <w:pStyle w:val="4"/>
        <w:keepNext w:val="0"/>
        <w:keepLines w:val="0"/>
        <w:pageBreakBefore w:val="0"/>
        <w:widowControl/>
        <w:kinsoku/>
        <w:wordWrap w:val="0"/>
        <w:overflowPunct/>
        <w:topLinePunct w:val="0"/>
        <w:autoSpaceDE/>
        <w:autoSpaceDN/>
        <w:bidi w:val="0"/>
        <w:adjustRightInd/>
        <w:snapToGrid/>
        <w:spacing w:beforeAutospacing="0" w:afterAutospacing="0" w:line="640" w:lineRule="exact"/>
        <w:ind w:firstLine="640" w:firstLineChars="200"/>
        <w:textAlignment w:val="auto"/>
        <w:rPr>
          <w:rFonts w:ascii="黑体" w:hAnsi="黑体" w:eastAsia="黑体"/>
          <w:b w:val="0"/>
          <w:bCs/>
          <w:sz w:val="32"/>
          <w:szCs w:val="32"/>
        </w:rPr>
      </w:pPr>
      <w:r>
        <w:rPr>
          <w:rStyle w:val="7"/>
          <w:rFonts w:hint="eastAsia" w:ascii="黑体" w:hAnsi="黑体" w:eastAsia="黑体" w:cs="宋体"/>
          <w:b w:val="0"/>
          <w:bCs/>
          <w:color w:val="333333"/>
          <w:sz w:val="32"/>
          <w:szCs w:val="32"/>
        </w:rPr>
        <w:t>五、严禁扩大不予退还保证金范围</w:t>
      </w:r>
    </w:p>
    <w:p>
      <w:pPr>
        <w:pStyle w:val="4"/>
        <w:keepNext w:val="0"/>
        <w:keepLines w:val="0"/>
        <w:pageBreakBefore w:val="0"/>
        <w:widowControl/>
        <w:kinsoku/>
        <w:wordWrap w:val="0"/>
        <w:overflowPunct/>
        <w:topLinePunct w:val="0"/>
        <w:autoSpaceDE/>
        <w:autoSpaceDN/>
        <w:bidi w:val="0"/>
        <w:adjustRightInd/>
        <w:snapToGrid/>
        <w:spacing w:beforeAutospacing="0" w:afterAutospacing="0" w:line="640" w:lineRule="exact"/>
        <w:ind w:firstLine="640" w:firstLineChars="200"/>
        <w:textAlignment w:val="auto"/>
        <w:rPr>
          <w:rFonts w:ascii="仿宋_GB2312" w:eastAsia="仿宋_GB2312"/>
          <w:sz w:val="32"/>
          <w:szCs w:val="32"/>
        </w:rPr>
      </w:pPr>
      <w:r>
        <w:rPr>
          <w:rFonts w:hint="eastAsia" w:ascii="仿宋_GB2312" w:hAnsi="宋体" w:eastAsia="仿宋_GB2312" w:cs="宋体"/>
          <w:color w:val="333333"/>
          <w:sz w:val="32"/>
          <w:szCs w:val="32"/>
        </w:rPr>
        <w:t>采购人、采购代理机构应严格按照政府采购法律法规政策执行，不得扩大不予退还投标保证金范围。有下列情形之一的，投标（响应）保证金不予退还：</w:t>
      </w:r>
      <w:r>
        <w:rPr>
          <w:rFonts w:hint="eastAsia" w:ascii="宋体" w:hAnsi="宋体" w:eastAsia="仿宋_GB2312" w:cs="宋体"/>
          <w:color w:val="333333"/>
          <w:sz w:val="32"/>
          <w:szCs w:val="32"/>
        </w:rPr>
        <w:t> </w:t>
      </w:r>
      <w:r>
        <w:rPr>
          <w:rFonts w:hint="eastAsia" w:ascii="仿宋_GB2312" w:hAnsi="宋体" w:eastAsia="仿宋_GB2312" w:cs="宋体"/>
          <w:color w:val="333333"/>
          <w:sz w:val="32"/>
          <w:szCs w:val="32"/>
        </w:rPr>
        <w:t>1.供应商在提交响应文件截止时间后撤回响应文件的； 2.供应商在响应文件中提供虚假材料的； 3.除因不可抗力或谈判文件、询价通知书认可的情形外，成交供应商不与采购人签订合同的； 4.供应商与采购人、其他供应商或者采购代理机构恶意串通的； 5.采购文件规定的其他情形。在政府采购活动中，出现政府采购相关规定和采购文件约定不予退还保投标（响应）和履约保证金的情形，由采购代理机构、采购人按照财政非税收入管理等规定上缴同级国库。</w:t>
      </w:r>
    </w:p>
    <w:p>
      <w:pPr>
        <w:pStyle w:val="4"/>
        <w:keepNext w:val="0"/>
        <w:keepLines w:val="0"/>
        <w:pageBreakBefore w:val="0"/>
        <w:widowControl/>
        <w:kinsoku/>
        <w:wordWrap w:val="0"/>
        <w:overflowPunct/>
        <w:topLinePunct w:val="0"/>
        <w:autoSpaceDE/>
        <w:autoSpaceDN/>
        <w:bidi w:val="0"/>
        <w:adjustRightInd/>
        <w:snapToGrid/>
        <w:spacing w:beforeAutospacing="0" w:afterAutospacing="0" w:line="640" w:lineRule="exact"/>
        <w:ind w:firstLine="640" w:firstLineChars="200"/>
        <w:textAlignment w:val="auto"/>
        <w:rPr>
          <w:rFonts w:ascii="黑体" w:hAnsi="黑体" w:eastAsia="黑体"/>
          <w:b w:val="0"/>
          <w:bCs/>
          <w:sz w:val="32"/>
          <w:szCs w:val="32"/>
        </w:rPr>
      </w:pPr>
      <w:r>
        <w:rPr>
          <w:rStyle w:val="7"/>
          <w:rFonts w:hint="eastAsia" w:ascii="黑体" w:hAnsi="黑体" w:eastAsia="黑体" w:cs="宋体"/>
          <w:b w:val="0"/>
          <w:bCs/>
          <w:color w:val="333333"/>
          <w:sz w:val="32"/>
          <w:szCs w:val="32"/>
        </w:rPr>
        <w:t>六、规范保证金托管银行管理</w:t>
      </w:r>
    </w:p>
    <w:p>
      <w:pPr>
        <w:pStyle w:val="4"/>
        <w:keepNext w:val="0"/>
        <w:keepLines w:val="0"/>
        <w:pageBreakBefore w:val="0"/>
        <w:widowControl/>
        <w:kinsoku/>
        <w:wordWrap w:val="0"/>
        <w:overflowPunct/>
        <w:topLinePunct w:val="0"/>
        <w:autoSpaceDE/>
        <w:autoSpaceDN/>
        <w:bidi w:val="0"/>
        <w:adjustRightInd/>
        <w:snapToGrid/>
        <w:spacing w:beforeAutospacing="0" w:afterAutospacing="0" w:line="640" w:lineRule="exact"/>
        <w:ind w:firstLine="640" w:firstLineChars="200"/>
        <w:textAlignment w:val="auto"/>
        <w:rPr>
          <w:rFonts w:ascii="仿宋_GB2312" w:eastAsia="仿宋_GB2312"/>
          <w:sz w:val="32"/>
          <w:szCs w:val="32"/>
        </w:rPr>
      </w:pPr>
      <w:r>
        <w:rPr>
          <w:rFonts w:hint="eastAsia" w:ascii="仿宋_GB2312" w:hAnsi="宋体" w:eastAsia="仿宋_GB2312" w:cs="宋体"/>
          <w:color w:val="333333"/>
          <w:sz w:val="32"/>
          <w:szCs w:val="32"/>
        </w:rPr>
        <w:t>采购人、采购代理机构应在财政部门确定的托管银行范围内通过</w:t>
      </w:r>
      <w:r>
        <w:rPr>
          <w:rStyle w:val="7"/>
          <w:rFonts w:hint="eastAsia" w:ascii="仿宋_GB2312" w:hAnsi="宋体" w:eastAsia="仿宋_GB2312" w:cs="宋体"/>
          <w:b w:val="0"/>
          <w:color w:val="333333"/>
          <w:sz w:val="32"/>
          <w:szCs w:val="32"/>
        </w:rPr>
        <w:t>内蒙古自治区政府采购云平台保证金管理模块</w:t>
      </w:r>
      <w:r>
        <w:rPr>
          <w:rFonts w:hint="eastAsia" w:ascii="仿宋_GB2312" w:hAnsi="宋体" w:eastAsia="仿宋_GB2312" w:cs="宋体"/>
          <w:color w:val="333333"/>
          <w:sz w:val="32"/>
          <w:szCs w:val="32"/>
        </w:rPr>
        <w:t>自行选择开户银行，开立保证金专户，专项用于保证金的收取、退还等方面的核算。采购人、采购代理机构应与托管银行签订保证金托管协议，明确托管银行对保证金专户的管理责任。托管银行不得以任何方式，在提交投标（响应）文件截止时间之前，向采购人、采购代理机构或其他第三方提供保证金缴纳供应商名称等信息。托管银行应及时办理保证金的代收、代退等业务，并做好与政府采购云平台保证金管理模块的对接与数据交互工作。遇到供应商账号变更、非保证金款项转入保证金专户等特殊情况，经政府采购监管部门或托管银行核实后可以退回。</w:t>
      </w:r>
    </w:p>
    <w:p>
      <w:pPr>
        <w:pStyle w:val="4"/>
        <w:keepNext w:val="0"/>
        <w:keepLines w:val="0"/>
        <w:pageBreakBefore w:val="0"/>
        <w:widowControl/>
        <w:kinsoku/>
        <w:wordWrap w:val="0"/>
        <w:overflowPunct/>
        <w:topLinePunct w:val="0"/>
        <w:autoSpaceDE/>
        <w:autoSpaceDN/>
        <w:bidi w:val="0"/>
        <w:adjustRightInd/>
        <w:snapToGrid/>
        <w:spacing w:beforeAutospacing="0" w:afterAutospacing="0" w:line="640" w:lineRule="exact"/>
        <w:ind w:firstLine="640" w:firstLineChars="200"/>
        <w:textAlignment w:val="auto"/>
        <w:rPr>
          <w:rFonts w:ascii="黑体" w:hAnsi="黑体" w:eastAsia="黑体"/>
          <w:b w:val="0"/>
          <w:bCs/>
          <w:sz w:val="32"/>
          <w:szCs w:val="32"/>
        </w:rPr>
      </w:pPr>
      <w:r>
        <w:rPr>
          <w:rStyle w:val="7"/>
          <w:rFonts w:hint="eastAsia" w:ascii="黑体" w:hAnsi="黑体" w:eastAsia="黑体" w:cs="宋体"/>
          <w:b w:val="0"/>
          <w:bCs/>
          <w:color w:val="333333"/>
          <w:sz w:val="32"/>
          <w:szCs w:val="32"/>
        </w:rPr>
        <w:t>七、切实加强保证金监督管理</w:t>
      </w:r>
    </w:p>
    <w:p>
      <w:pPr>
        <w:pStyle w:val="4"/>
        <w:keepNext w:val="0"/>
        <w:keepLines w:val="0"/>
        <w:pageBreakBefore w:val="0"/>
        <w:widowControl/>
        <w:kinsoku/>
        <w:wordWrap w:val="0"/>
        <w:overflowPunct/>
        <w:topLinePunct w:val="0"/>
        <w:autoSpaceDE/>
        <w:autoSpaceDN/>
        <w:bidi w:val="0"/>
        <w:adjustRightInd/>
        <w:snapToGrid/>
        <w:spacing w:beforeAutospacing="0" w:afterAutospacing="0" w:line="640" w:lineRule="exact"/>
        <w:ind w:firstLine="640" w:firstLineChars="200"/>
        <w:textAlignment w:val="auto"/>
        <w:rPr>
          <w:rFonts w:ascii="仿宋_GB2312" w:eastAsia="仿宋_GB2312"/>
          <w:sz w:val="32"/>
          <w:szCs w:val="32"/>
        </w:rPr>
      </w:pPr>
      <w:r>
        <w:rPr>
          <w:rFonts w:hint="eastAsia" w:ascii="仿宋_GB2312" w:hAnsi="宋体" w:eastAsia="仿宋_GB2312" w:cs="宋体"/>
          <w:color w:val="333333"/>
          <w:sz w:val="32"/>
          <w:szCs w:val="32"/>
        </w:rPr>
        <w:t>采购人、采购代理机构应更好地完善和健全政府采购内部控制制度，将保证金管理纳入内部控制制度，对照制度要求、合理设置岗位、明确岗位职责、查找风险点或易错点、落实防控措施。采购人应落实主体责任，树立“全周期”管理意识，严格遵守政府采购相关法律法规和制度规定，加强事前事中事后监督。</w:t>
      </w:r>
    </w:p>
    <w:p>
      <w:pPr>
        <w:pStyle w:val="4"/>
        <w:keepNext w:val="0"/>
        <w:keepLines w:val="0"/>
        <w:pageBreakBefore w:val="0"/>
        <w:widowControl/>
        <w:kinsoku/>
        <w:wordWrap w:val="0"/>
        <w:overflowPunct/>
        <w:topLinePunct w:val="0"/>
        <w:autoSpaceDE/>
        <w:autoSpaceDN/>
        <w:bidi w:val="0"/>
        <w:adjustRightInd/>
        <w:snapToGrid/>
        <w:spacing w:beforeAutospacing="0" w:afterAutospacing="0" w:line="640" w:lineRule="exact"/>
        <w:ind w:firstLine="640" w:firstLineChars="200"/>
        <w:textAlignment w:val="auto"/>
        <w:rPr>
          <w:rFonts w:ascii="仿宋_GB2312" w:eastAsia="仿宋_GB2312"/>
          <w:sz w:val="32"/>
          <w:szCs w:val="32"/>
        </w:rPr>
      </w:pPr>
      <w:r>
        <w:rPr>
          <w:rFonts w:hint="eastAsia" w:ascii="仿宋_GB2312" w:hAnsi="宋体" w:eastAsia="仿宋_GB2312" w:cs="宋体"/>
          <w:color w:val="333333"/>
          <w:sz w:val="32"/>
          <w:szCs w:val="32"/>
        </w:rPr>
        <w:t>财政部门要积极落实巴彦淖尔市全面优化提升营商环境服务市场主体的部署要求，加强政府采购保证金相关规定的政策宣传，切实推广使用电子保函替代现金投标（履约）保证金，打造政府采购领域最优营商环境，持续激发市场活力。要密切跟踪舆情动态，加强舆论引导。既要宣传好的经验，也要曝光差的典型，营造良好的舆论氛围。采购人、采购代理机构应开展自查自纠工作，对违规收取的保证金以及逾期未退还或超额收取的保证金资金要加快清退返还。不能退还的，按照规定及时上缴同级国库。</w:t>
      </w:r>
    </w:p>
    <w:p>
      <w:pPr>
        <w:pStyle w:val="4"/>
        <w:keepNext w:val="0"/>
        <w:keepLines w:val="0"/>
        <w:pageBreakBefore w:val="0"/>
        <w:widowControl/>
        <w:kinsoku/>
        <w:wordWrap w:val="0"/>
        <w:overflowPunct/>
        <w:topLinePunct w:val="0"/>
        <w:autoSpaceDE/>
        <w:autoSpaceDN/>
        <w:bidi w:val="0"/>
        <w:adjustRightInd/>
        <w:snapToGrid/>
        <w:spacing w:beforeAutospacing="0" w:afterAutospacing="0" w:line="640" w:lineRule="exact"/>
        <w:ind w:firstLine="640" w:firstLineChars="200"/>
        <w:textAlignment w:val="auto"/>
        <w:rPr>
          <w:rFonts w:ascii="仿宋_GB2312" w:eastAsia="仿宋_GB2312"/>
          <w:sz w:val="32"/>
          <w:szCs w:val="32"/>
        </w:rPr>
      </w:pPr>
      <w:r>
        <w:rPr>
          <w:rFonts w:hint="eastAsia" w:ascii="仿宋_GB2312" w:hAnsi="宋体" w:eastAsia="仿宋_GB2312" w:cs="宋体"/>
          <w:color w:val="333333"/>
          <w:sz w:val="32"/>
          <w:szCs w:val="32"/>
        </w:rPr>
        <w:t>财政部门要加大对保证金收取和退还情况的监管，对采购人、采购代理机构违规收取、挪用、截留、不按时退还保证金的行为，按照有关规定严肃查处。对不能在规定时限内退还，或恶意拖延、久拖不退的典型</w:t>
      </w:r>
      <w:bookmarkStart w:id="0" w:name="_GoBack"/>
      <w:bookmarkEnd w:id="0"/>
      <w:r>
        <w:rPr>
          <w:rFonts w:hint="eastAsia" w:ascii="仿宋_GB2312" w:hAnsi="宋体" w:eastAsia="仿宋_GB2312" w:cs="宋体"/>
          <w:color w:val="333333"/>
          <w:sz w:val="32"/>
          <w:szCs w:val="32"/>
          <w:lang w:eastAsia="zh-CN"/>
        </w:rPr>
        <w:t>案例</w:t>
      </w:r>
      <w:r>
        <w:rPr>
          <w:rFonts w:hint="eastAsia" w:ascii="仿宋_GB2312" w:hAnsi="宋体" w:eastAsia="仿宋_GB2312" w:cs="宋体"/>
          <w:color w:val="333333"/>
          <w:sz w:val="32"/>
          <w:szCs w:val="32"/>
        </w:rPr>
        <w:t>，予以公开曝光。对投诉举报的案件、线索，要及时认真核实处理，建立限期解决和反馈制度，务必做到事事有回音，件件有着落。对未按要求及时退还保证金的采购人、采购代理机构进行重点跟踪，限期整改。</w:t>
      </w:r>
    </w:p>
    <w:p>
      <w:pPr>
        <w:pStyle w:val="4"/>
        <w:keepNext w:val="0"/>
        <w:keepLines w:val="0"/>
        <w:pageBreakBefore w:val="0"/>
        <w:widowControl/>
        <w:kinsoku/>
        <w:wordWrap w:val="0"/>
        <w:overflowPunct/>
        <w:topLinePunct w:val="0"/>
        <w:autoSpaceDE/>
        <w:autoSpaceDN/>
        <w:bidi w:val="0"/>
        <w:adjustRightInd/>
        <w:snapToGrid/>
        <w:spacing w:beforeAutospacing="0" w:afterAutospacing="0" w:line="640" w:lineRule="exact"/>
        <w:ind w:firstLine="640" w:firstLineChars="200"/>
        <w:textAlignment w:val="auto"/>
        <w:rPr>
          <w:rFonts w:ascii="仿宋_GB2312" w:eastAsia="仿宋_GB2312"/>
          <w:sz w:val="32"/>
          <w:szCs w:val="32"/>
        </w:rPr>
      </w:pPr>
      <w:r>
        <w:rPr>
          <w:rFonts w:hint="eastAsia" w:ascii="仿宋_GB2312" w:hAnsi="宋体" w:eastAsia="仿宋_GB2312" w:cs="宋体"/>
          <w:color w:val="333333"/>
          <w:sz w:val="32"/>
          <w:szCs w:val="32"/>
        </w:rPr>
        <w:t>采用竞争性磋商方式采购的政府采购项目，其保证金的收取、退还等工作按照《竞争性磋商管理暂行办法》（财库〔2014〕214号）执行。</w:t>
      </w:r>
    </w:p>
    <w:p>
      <w:pPr>
        <w:pStyle w:val="4"/>
        <w:keepNext w:val="0"/>
        <w:keepLines w:val="0"/>
        <w:pageBreakBefore w:val="0"/>
        <w:widowControl/>
        <w:kinsoku/>
        <w:wordWrap w:val="0"/>
        <w:overflowPunct/>
        <w:topLinePunct w:val="0"/>
        <w:autoSpaceDE/>
        <w:autoSpaceDN/>
        <w:bidi w:val="0"/>
        <w:adjustRightInd/>
        <w:snapToGrid/>
        <w:spacing w:beforeAutospacing="0" w:afterAutospacing="0" w:line="640" w:lineRule="exact"/>
        <w:textAlignment w:val="auto"/>
        <w:rPr>
          <w:rFonts w:ascii="仿宋_GB2312" w:eastAsia="仿宋_GB2312"/>
          <w:sz w:val="32"/>
          <w:szCs w:val="32"/>
        </w:rPr>
      </w:pPr>
      <w:r>
        <w:rPr>
          <w:rFonts w:hint="eastAsia" w:ascii="微软雅黑" w:hAnsi="微软雅黑" w:eastAsia="仿宋_GB2312" w:cs="微软雅黑"/>
          <w:color w:val="333333"/>
          <w:sz w:val="32"/>
          <w:szCs w:val="32"/>
        </w:rPr>
        <w:t> </w:t>
      </w:r>
    </w:p>
    <w:p>
      <w:pPr>
        <w:pStyle w:val="4"/>
        <w:keepNext w:val="0"/>
        <w:keepLines w:val="0"/>
        <w:pageBreakBefore w:val="0"/>
        <w:widowControl/>
        <w:kinsoku/>
        <w:wordWrap w:val="0"/>
        <w:overflowPunct/>
        <w:topLinePunct w:val="0"/>
        <w:autoSpaceDE/>
        <w:autoSpaceDN/>
        <w:bidi w:val="0"/>
        <w:adjustRightInd/>
        <w:snapToGrid/>
        <w:spacing w:beforeAutospacing="0" w:afterAutospacing="0" w:line="640" w:lineRule="exact"/>
        <w:ind w:right="300"/>
        <w:jc w:val="right"/>
        <w:textAlignment w:val="auto"/>
        <w:rPr>
          <w:rFonts w:ascii="仿宋_GB2312" w:hAnsi="宋体" w:eastAsia="仿宋_GB2312" w:cs="宋体"/>
          <w:color w:val="333333"/>
          <w:sz w:val="32"/>
          <w:szCs w:val="32"/>
        </w:rPr>
      </w:pPr>
      <w:r>
        <w:rPr>
          <w:rFonts w:hint="eastAsia" w:ascii="仿宋_GB2312" w:hAnsi="宋体" w:eastAsia="仿宋_GB2312" w:cs="宋体"/>
          <w:color w:val="333333"/>
          <w:sz w:val="32"/>
          <w:szCs w:val="32"/>
        </w:rPr>
        <w:t>磴口县财政局</w:t>
      </w:r>
    </w:p>
    <w:p>
      <w:pPr>
        <w:pStyle w:val="4"/>
        <w:keepNext w:val="0"/>
        <w:keepLines w:val="0"/>
        <w:pageBreakBefore w:val="0"/>
        <w:widowControl/>
        <w:kinsoku/>
        <w:overflowPunct/>
        <w:topLinePunct w:val="0"/>
        <w:autoSpaceDE/>
        <w:autoSpaceDN/>
        <w:bidi w:val="0"/>
        <w:adjustRightInd/>
        <w:snapToGrid/>
        <w:spacing w:beforeAutospacing="0" w:afterAutospacing="0" w:line="640" w:lineRule="exact"/>
        <w:jc w:val="right"/>
        <w:textAlignment w:val="auto"/>
        <w:rPr>
          <w:rFonts w:ascii="仿宋_GB2312" w:eastAsia="仿宋_GB2312"/>
          <w:sz w:val="32"/>
          <w:szCs w:val="32"/>
        </w:rPr>
      </w:pPr>
      <w:r>
        <w:rPr>
          <w:rFonts w:hint="eastAsia" w:ascii="仿宋_GB2312" w:hAnsi="宋体" w:eastAsia="仿宋_GB2312" w:cs="宋体"/>
          <w:color w:val="333333"/>
          <w:sz w:val="32"/>
          <w:szCs w:val="32"/>
        </w:rPr>
        <w:t>2022年7月15日</w:t>
      </w:r>
    </w:p>
    <w:p>
      <w:pPr>
        <w:pStyle w:val="4"/>
        <w:keepNext w:val="0"/>
        <w:keepLines w:val="0"/>
        <w:pageBreakBefore w:val="0"/>
        <w:widowControl/>
        <w:kinsoku/>
        <w:wordWrap w:val="0"/>
        <w:overflowPunct/>
        <w:topLinePunct w:val="0"/>
        <w:autoSpaceDE/>
        <w:autoSpaceDN/>
        <w:bidi w:val="0"/>
        <w:adjustRightInd/>
        <w:snapToGrid/>
        <w:spacing w:beforeAutospacing="0" w:afterAutospacing="0" w:line="640" w:lineRule="exact"/>
        <w:ind w:firstLine="420"/>
        <w:textAlignment w:val="auto"/>
        <w:rPr>
          <w:rFonts w:ascii="仿宋_GB2312" w:eastAsia="仿宋_GB2312"/>
          <w:sz w:val="32"/>
          <w:szCs w:val="32"/>
        </w:rPr>
      </w:pPr>
      <w:r>
        <w:rPr>
          <w:rFonts w:hint="eastAsia" w:ascii="微软雅黑" w:hAnsi="微软雅黑" w:eastAsia="仿宋_GB2312" w:cs="微软雅黑"/>
          <w:color w:val="333333"/>
          <w:sz w:val="32"/>
          <w:szCs w:val="32"/>
        </w:rPr>
        <w:t> </w:t>
      </w:r>
    </w:p>
    <w:p>
      <w:pPr>
        <w:pStyle w:val="4"/>
        <w:keepNext w:val="0"/>
        <w:keepLines w:val="0"/>
        <w:pageBreakBefore w:val="0"/>
        <w:widowControl/>
        <w:kinsoku/>
        <w:wordWrap w:val="0"/>
        <w:overflowPunct/>
        <w:topLinePunct w:val="0"/>
        <w:autoSpaceDE/>
        <w:autoSpaceDN/>
        <w:bidi w:val="0"/>
        <w:adjustRightInd/>
        <w:snapToGrid/>
        <w:spacing w:beforeAutospacing="0" w:afterAutospacing="0" w:line="640" w:lineRule="exact"/>
        <w:textAlignment w:val="auto"/>
        <w:rPr>
          <w:rFonts w:ascii="仿宋_GB2312" w:eastAsia="仿宋_GB2312"/>
          <w:sz w:val="32"/>
          <w:szCs w:val="32"/>
        </w:rPr>
      </w:pPr>
      <w:r>
        <w:rPr>
          <w:rFonts w:hint="eastAsia" w:ascii="Calibri" w:hAnsi="Calibri" w:eastAsia="仿宋_GB2312" w:cs="Calibri"/>
          <w:color w:val="333333"/>
          <w:sz w:val="32"/>
          <w:szCs w:val="32"/>
        </w:rPr>
        <w:t> </w:t>
      </w:r>
    </w:p>
    <w:p>
      <w:pPr>
        <w:keepNext w:val="0"/>
        <w:keepLines w:val="0"/>
        <w:pageBreakBefore w:val="0"/>
        <w:kinsoku/>
        <w:overflowPunct/>
        <w:topLinePunct w:val="0"/>
        <w:autoSpaceDE/>
        <w:autoSpaceDN/>
        <w:bidi w:val="0"/>
        <w:adjustRightInd/>
        <w:snapToGrid/>
        <w:spacing w:line="640" w:lineRule="exact"/>
        <w:textAlignment w:val="auto"/>
        <w:rPr>
          <w:rFonts w:ascii="仿宋_GB2312" w:eastAsia="仿宋_GB2312"/>
          <w:sz w:val="32"/>
          <w:szCs w:val="32"/>
        </w:rPr>
      </w:pPr>
    </w:p>
    <w:p>
      <w:pPr>
        <w:keepNext w:val="0"/>
        <w:keepLines w:val="0"/>
        <w:pageBreakBefore w:val="0"/>
        <w:kinsoku/>
        <w:overflowPunct/>
        <w:topLinePunct w:val="0"/>
        <w:autoSpaceDE/>
        <w:autoSpaceDN/>
        <w:bidi w:val="0"/>
        <w:adjustRightInd/>
        <w:snapToGrid/>
        <w:spacing w:line="640" w:lineRule="exact"/>
        <w:textAlignment w:val="auto"/>
        <w:rPr>
          <w:rFonts w:ascii="仿宋_GB2312" w:eastAsia="仿宋_GB2312"/>
          <w:sz w:val="32"/>
          <w:szCs w:val="32"/>
        </w:rPr>
      </w:pP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62927282"/>
      <w:docPartObj>
        <w:docPartGallery w:val="autotext"/>
      </w:docPartObj>
    </w:sdtPr>
    <w:sdtContent>
      <w:p>
        <w:pPr>
          <w:pStyle w:val="2"/>
          <w:jc w:val="center"/>
        </w:pPr>
        <w:r>
          <w:fldChar w:fldCharType="begin"/>
        </w:r>
        <w:r>
          <w:instrText xml:space="preserve"> PAGE   \* MERGEFORMAT </w:instrText>
        </w:r>
        <w:r>
          <w:fldChar w:fldCharType="separate"/>
        </w:r>
        <w:r>
          <w:rPr>
            <w:lang w:val="zh-CN"/>
          </w:rPr>
          <w:t>4</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wZThiMDg4OWMxOTE4NGQzNjBlMDJlZGQyNmU4YjEifQ=="/>
  </w:docVars>
  <w:rsids>
    <w:rsidRoot w:val="005F74E8"/>
    <w:rsid w:val="0011397C"/>
    <w:rsid w:val="00132161"/>
    <w:rsid w:val="00134B8B"/>
    <w:rsid w:val="002460CB"/>
    <w:rsid w:val="0029464F"/>
    <w:rsid w:val="00294F34"/>
    <w:rsid w:val="002B55B8"/>
    <w:rsid w:val="00341A71"/>
    <w:rsid w:val="0045739B"/>
    <w:rsid w:val="004C649A"/>
    <w:rsid w:val="005F74E8"/>
    <w:rsid w:val="007C4313"/>
    <w:rsid w:val="008E55E2"/>
    <w:rsid w:val="00997748"/>
    <w:rsid w:val="00A0472B"/>
    <w:rsid w:val="00A602FB"/>
    <w:rsid w:val="00B712CC"/>
    <w:rsid w:val="00D92CDE"/>
    <w:rsid w:val="00EA28A9"/>
    <w:rsid w:val="00F45A53"/>
    <w:rsid w:val="00F66757"/>
    <w:rsid w:val="6FB956F4"/>
    <w:rsid w:val="74E862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customStyle="1" w:styleId="8">
    <w:name w:val="页眉 Char"/>
    <w:basedOn w:val="6"/>
    <w:link w:val="3"/>
    <w:semiHidden/>
    <w:uiPriority w:val="99"/>
    <w:rPr>
      <w:sz w:val="18"/>
      <w:szCs w:val="18"/>
    </w:rPr>
  </w:style>
  <w:style w:type="character" w:customStyle="1" w:styleId="9">
    <w:name w:val="页脚 Char"/>
    <w:basedOn w:val="6"/>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2973</Words>
  <Characters>3003</Characters>
  <Lines>21</Lines>
  <Paragraphs>6</Paragraphs>
  <TotalTime>11</TotalTime>
  <ScaleCrop>false</ScaleCrop>
  <LinksUpToDate>false</LinksUpToDate>
  <CharactersWithSpaces>3012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2022-09-14T09:27:00Z</dcterms:created>
  <dc:creator>Administrator</dc:creator>
  <cp:lastModifiedBy>Administrator</cp:lastModifiedBy>
  <cp:lastPrinted>2023-04-20T01:50:00Z</cp:lastPrinted>
  <dcterms:modified xsi:type="dcterms:W3CDTF">2023-07-14T03:44:06Z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0D09E351F5AE4A00A2F25DDBD3299969_13</vt:lpwstr>
  </property>
</Properties>
</file>