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3911" w:lineRule="exact"/>
      </w:pPr>
      <w:bookmarkStart w:id="0" w:name="_GoBack"/>
      <w:bookmarkEnd w:id="0"/>
      <w:r>
        <w:rPr>
          <w:position w:val="-78"/>
        </w:rPr>
        <w:pict>
          <v:group id="_x0000_s1026" o:spid="_x0000_s1026" o:spt="203" style="height:195.6pt;width:475.65pt;" coordsize="9512,3912">
            <o:lock v:ext="edit"/>
            <v:shape id="_x0000_s1027" o:spid="_x0000_s1027" o:spt="75" type="#_x0000_t75" style="position:absolute;left:0;top:0;height:3912;width:9512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3952;width:95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9" w:lineRule="auto"/>
                      <w:ind w:left="3210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3"/>
                        <w:sz w:val="31"/>
                        <w:szCs w:val="31"/>
                      </w:rPr>
                      <w:t>磴政办发〔</w:t>
                    </w:r>
                    <w:r>
                      <w:rPr>
                        <w:rFonts w:ascii="Calibri" w:hAnsi="Calibri" w:eastAsia="Calibri" w:cs="Calibri"/>
                        <w:spacing w:val="3"/>
                        <w:sz w:val="31"/>
                        <w:szCs w:val="31"/>
                      </w:rPr>
                      <w:t>2022</w:t>
                    </w:r>
                    <w:r>
                      <w:rPr>
                        <w:rFonts w:ascii="仿宋" w:hAnsi="仿宋" w:eastAsia="仿宋" w:cs="仿宋"/>
                        <w:spacing w:val="3"/>
                        <w:sz w:val="31"/>
                        <w:szCs w:val="31"/>
                      </w:rPr>
                      <w:t>〕</w:t>
                    </w:r>
                    <w:r>
                      <w:rPr>
                        <w:rFonts w:ascii="仿宋" w:hAnsi="仿宋" w:eastAsia="仿宋" w:cs="仿宋"/>
                        <w:spacing w:val="3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3"/>
                        <w:sz w:val="31"/>
                        <w:szCs w:val="31"/>
                      </w:rPr>
                      <w:t>26</w:t>
                    </w:r>
                    <w:r>
                      <w:rPr>
                        <w:rFonts w:ascii="Calibri" w:hAnsi="Calibri" w:eastAsia="Calibri" w:cs="Calibri"/>
                        <w:spacing w:val="4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3"/>
                        <w:sz w:val="31"/>
                        <w:szCs w:val="31"/>
                      </w:rPr>
                      <w:t>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spacing w:before="140" w:line="211" w:lineRule="auto"/>
        <w:ind w:left="235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磴口县人民政府办公室</w:t>
      </w:r>
    </w:p>
    <w:p>
      <w:pPr>
        <w:spacing w:before="53" w:line="575" w:lineRule="exact"/>
        <w:ind w:left="40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关于印发《磴口县招商引资促进高质量发展</w:t>
      </w:r>
    </w:p>
    <w:p>
      <w:pPr>
        <w:spacing w:before="1" w:line="211" w:lineRule="auto"/>
        <w:ind w:left="19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优惠政策实施细则》的通知</w:t>
      </w:r>
    </w:p>
    <w:p>
      <w:pPr>
        <w:pStyle w:val="2"/>
        <w:spacing w:line="308" w:lineRule="auto"/>
      </w:pPr>
    </w:p>
    <w:p>
      <w:pPr>
        <w:pStyle w:val="2"/>
        <w:spacing w:line="308" w:lineRule="auto"/>
      </w:pPr>
    </w:p>
    <w:p>
      <w:pPr>
        <w:spacing w:before="101" w:line="227" w:lineRule="auto"/>
        <w:ind w:left="4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各苏木镇人民政府，县各有关部门，农场公司：</w:t>
      </w:r>
    </w:p>
    <w:p>
      <w:pPr>
        <w:spacing w:before="177" w:line="334" w:lineRule="auto"/>
        <w:ind w:left="446" w:right="824" w:firstLine="59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《磴口县招商引资促进高质量发展优惠政策实施细则》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已经县政府第十次常务会议研究通过，现印发给你们，</w:t>
      </w:r>
      <w:r>
        <w:rPr>
          <w:rFonts w:ascii="仿宋" w:hAnsi="仿宋" w:eastAsia="仿宋" w:cs="仿宋"/>
          <w:spacing w:val="6"/>
          <w:sz w:val="31"/>
          <w:szCs w:val="31"/>
        </w:rPr>
        <w:t>请认</w:t>
      </w:r>
    </w:p>
    <w:p>
      <w:pPr>
        <w:spacing w:line="226" w:lineRule="auto"/>
        <w:ind w:left="4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真遵照执行。</w:t>
      </w:r>
    </w:p>
    <w:p>
      <w:pPr>
        <w:pStyle w:val="2"/>
        <w:spacing w:line="297" w:lineRule="auto"/>
      </w:pP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spacing w:before="102" w:line="559" w:lineRule="exact"/>
        <w:ind w:left="5204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3487420</wp:posOffset>
            </wp:positionH>
            <wp:positionV relativeFrom="paragraph">
              <wp:posOffset>-676910</wp:posOffset>
            </wp:positionV>
            <wp:extent cx="1548130" cy="15481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7990" cy="154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7"/>
          <w:position w:val="17"/>
          <w:sz w:val="31"/>
          <w:szCs w:val="31"/>
        </w:rPr>
        <w:t>磴口县人民政府办公室</w:t>
      </w:r>
    </w:p>
    <w:p>
      <w:pPr>
        <w:spacing w:before="1" w:line="227" w:lineRule="auto"/>
        <w:ind w:left="55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23 日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pgSz w:w="11906" w:h="16838"/>
          <w:pgMar w:top="400" w:right="977" w:bottom="0" w:left="1415" w:header="0" w:footer="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40" w:line="226" w:lineRule="auto"/>
        <w:ind w:left="2421" w:right="1167" w:hanging="131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磴口县招商引资促进高质量发展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优惠政策实施细则</w:t>
      </w:r>
    </w:p>
    <w:p>
      <w:pPr>
        <w:pStyle w:val="2"/>
        <w:spacing w:line="310" w:lineRule="auto"/>
      </w:pPr>
    </w:p>
    <w:p>
      <w:pPr>
        <w:pStyle w:val="2"/>
        <w:spacing w:line="311" w:lineRule="auto"/>
      </w:pPr>
    </w:p>
    <w:p>
      <w:pPr>
        <w:spacing w:before="101" w:line="333" w:lineRule="auto"/>
        <w:ind w:left="42" w:right="2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根据《巴彦淖尔市人民政府关于印发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〈</w:t>
      </w:r>
      <w:r>
        <w:rPr>
          <w:rFonts w:ascii="仿宋" w:hAnsi="仿宋" w:eastAsia="仿宋" w:cs="仿宋"/>
          <w:spacing w:val="13"/>
          <w:sz w:val="31"/>
          <w:szCs w:val="31"/>
        </w:rPr>
        <w:t>巴彦淖尔市招商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引资促进高质量发展优惠政策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〉</w:t>
      </w:r>
      <w:r>
        <w:rPr>
          <w:rFonts w:ascii="仿宋" w:hAnsi="仿宋" w:eastAsia="仿宋" w:cs="仿宋"/>
          <w:spacing w:val="7"/>
          <w:sz w:val="31"/>
          <w:szCs w:val="31"/>
        </w:rPr>
        <w:t>的通知》（巴政发〔2022〕8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号）文件精神，鼓励投资商来我县投资兴业，结</w:t>
      </w:r>
      <w:r>
        <w:rPr>
          <w:rFonts w:ascii="仿宋" w:hAnsi="仿宋" w:eastAsia="仿宋" w:cs="仿宋"/>
          <w:spacing w:val="-1"/>
          <w:sz w:val="31"/>
          <w:szCs w:val="31"/>
        </w:rPr>
        <w:t>合我县实际，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制定本细则。</w:t>
      </w:r>
    </w:p>
    <w:p>
      <w:pPr>
        <w:spacing w:before="182" w:line="333" w:lineRule="auto"/>
        <w:ind w:left="31" w:firstLine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本细则适用于依法在磴口县注册、纳</w:t>
      </w:r>
      <w:r>
        <w:rPr>
          <w:rFonts w:ascii="仿宋" w:hAnsi="仿宋" w:eastAsia="仿宋" w:cs="仿宋"/>
          <w:spacing w:val="3"/>
          <w:sz w:val="31"/>
          <w:szCs w:val="31"/>
        </w:rPr>
        <w:t>税、入统，</w:t>
      </w:r>
      <w:r>
        <w:rPr>
          <w:rFonts w:ascii="仿宋" w:hAnsi="仿宋" w:eastAsia="仿宋" w:cs="仿宋"/>
          <w:sz w:val="31"/>
          <w:szCs w:val="31"/>
        </w:rPr>
        <w:t xml:space="preserve"> 有健全财务制度，具有独立法人资格、实行独立核算的企业，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固定资产投资（不含土地价款，下同）达到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亿元（农畜产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品精深加工业达到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3000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以上且入统，投资强度符合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我县用地标准的新建项目。重点支持绿色农畜产品精深加工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产业、新材料及装备制造产业、 生物医药产业</w:t>
      </w:r>
      <w:r>
        <w:rPr>
          <w:rFonts w:ascii="仿宋" w:hAnsi="仿宋" w:eastAsia="仿宋" w:cs="仿宋"/>
          <w:spacing w:val="2"/>
          <w:sz w:val="31"/>
          <w:szCs w:val="31"/>
        </w:rPr>
        <w:t>、文旅产业、</w:t>
      </w:r>
    </w:p>
    <w:p>
      <w:pPr>
        <w:spacing w:line="226" w:lineRule="auto"/>
        <w:ind w:left="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生态环保产业、现代服务业等。</w:t>
      </w:r>
    </w:p>
    <w:p>
      <w:pPr>
        <w:spacing w:before="181" w:line="333" w:lineRule="auto"/>
        <w:ind w:left="62" w:right="87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一次性完成固定资产投资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亿元以上或填补地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区产业空白、高新技术成果转化的项目以及上市企业总部设</w:t>
      </w:r>
    </w:p>
    <w:p>
      <w:pPr>
        <w:spacing w:before="2" w:line="227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立或搬迁至本县的，可按照“一事一议、 一企</w:t>
      </w:r>
      <w:r>
        <w:rPr>
          <w:rFonts w:ascii="仿宋" w:hAnsi="仿宋" w:eastAsia="仿宋" w:cs="仿宋"/>
          <w:sz w:val="31"/>
          <w:szCs w:val="31"/>
        </w:rPr>
        <w:t>一策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”方式。</w:t>
      </w:r>
    </w:p>
    <w:p>
      <w:pPr>
        <w:spacing w:before="179" w:line="333" w:lineRule="auto"/>
        <w:ind w:left="35" w:right="87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享受政务服务绿色通道。投资项目办理各类前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期手续由投资促进部门全程帮办、职能部门限时快办、监督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部门跟踪督办。</w:t>
      </w:r>
    </w:p>
    <w:p>
      <w:pPr>
        <w:spacing w:before="180" w:line="333" w:lineRule="auto"/>
        <w:ind w:left="34" w:right="92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第四条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降低企业成本。免费提供“一张蓝图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9"/>
          <w:sz w:val="31"/>
          <w:szCs w:val="31"/>
          <w:lang w:eastAsia="zh-CN"/>
        </w:rPr>
        <w:t>”“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域评估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12"/>
          <w:sz w:val="31"/>
          <w:szCs w:val="31"/>
          <w:lang w:eastAsia="zh-CN"/>
        </w:rPr>
        <w:t>”“</w:t>
      </w:r>
      <w:r>
        <w:rPr>
          <w:rFonts w:ascii="仿宋" w:hAnsi="仿宋" w:eastAsia="仿宋" w:cs="仿宋"/>
          <w:sz w:val="31"/>
          <w:szCs w:val="31"/>
        </w:rPr>
        <w:t>政府信息共享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”等成果，落实“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网上审批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”、</w:t>
      </w:r>
    </w:p>
    <w:p>
      <w:pPr>
        <w:spacing w:before="1" w:line="226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“联合审批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”，推进简政放权、优化审批环节、缩短</w:t>
      </w:r>
      <w:r>
        <w:rPr>
          <w:rFonts w:ascii="仿宋" w:hAnsi="仿宋" w:eastAsia="仿宋" w:cs="仿宋"/>
          <w:spacing w:val="7"/>
          <w:sz w:val="31"/>
          <w:szCs w:val="31"/>
        </w:rPr>
        <w:t>审批时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pgSz w:w="11906" w:h="16838"/>
          <w:pgMar w:top="400" w:right="1709" w:bottom="0" w:left="1785" w:header="0" w:footer="0" w:gutter="0"/>
          <w:cols w:space="720" w:num="1"/>
        </w:sectPr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spacing w:before="101" w:line="229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间。</w:t>
      </w:r>
    </w:p>
    <w:p>
      <w:pPr>
        <w:spacing w:before="169" w:line="334" w:lineRule="auto"/>
        <w:ind w:left="35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保障土地供应。凡符合条件（细则第一条适用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条件，下同）的投资项目，优先安排新增建设用地计划，优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先纳入供地计划，优先办理用地手续。工业用地可采取出让、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长期租赁、先租后让、租让结合、弹性年期出让、分期供地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等方式使用土地，并可分期缴纳土地出让金。对于自治区确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定的优先发展产业且用地集约的工业项目，土地出让价按不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低于土地等别相对应最低标准的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70%执行。在符合规划、不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改变用途的前提下，使用现有工业用地，提高土地利用率和</w:t>
      </w:r>
    </w:p>
    <w:p>
      <w:pPr>
        <w:spacing w:before="1"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增加容积率的，不再增收土地价款。</w:t>
      </w:r>
    </w:p>
    <w:p>
      <w:pPr>
        <w:spacing w:before="179" w:line="333" w:lineRule="auto"/>
        <w:ind w:left="35" w:right="105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第六条</w:t>
      </w:r>
      <w:r>
        <w:rPr>
          <w:rFonts w:ascii="仿宋" w:hAnsi="仿宋" w:eastAsia="仿宋" w:cs="仿宋"/>
          <w:spacing w:val="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固定资产投资奖励。凡符合条件的投资项目，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按投资合同（协议）约定内容开工建设并投产运营后，经认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定，按照企业实际完成固定资产投资额度的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3%给予奖励，总</w:t>
      </w:r>
    </w:p>
    <w:p>
      <w:pPr>
        <w:spacing w:before="1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额最高不超过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179" w:line="333" w:lineRule="auto"/>
        <w:ind w:left="37" w:right="99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第七条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投资贡献奖励。凡符合条件的投资项目，一次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性完成固定资产投资 2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亿元（农畜产品精深加工业</w:t>
      </w:r>
      <w:r>
        <w:rPr>
          <w:rFonts w:ascii="仿宋" w:hAnsi="仿宋" w:eastAsia="仿宋" w:cs="仿宋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6000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万元）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以上的，按合同（协议）约定内容建成投产，经认定</w:t>
      </w:r>
    </w:p>
    <w:p>
      <w:pPr>
        <w:spacing w:before="1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后， 从纳税年度起，连续五年给予奖励。</w:t>
      </w:r>
    </w:p>
    <w:p>
      <w:pPr>
        <w:spacing w:before="181" w:line="333" w:lineRule="auto"/>
        <w:ind w:left="36" w:right="99"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第八条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扩链技改奖励。现有企业不新增用地，且一次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性完成固定资产投资 2000 万元、年新增纳税额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上的扩链技改项目，按合同（协议）约定内容建成投产，经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认定后，可以给予实际完成固定资产投资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3%奖励，最高不超</w:t>
      </w:r>
    </w:p>
    <w:p>
      <w:pPr>
        <w:spacing w:before="1" w:line="231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过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万元。</w:t>
      </w:r>
    </w:p>
    <w:p>
      <w:pPr>
        <w:spacing w:before="170" w:line="226" w:lineRule="auto"/>
        <w:ind w:left="7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第九条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重组并购奖励。投资方一次出资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 亿元以上重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8"/>
          <w:pgMar w:top="400" w:right="1696" w:bottom="0" w:left="1785" w:header="0" w:footer="0" w:gutter="0"/>
          <w:cols w:space="720" w:num="1"/>
        </w:sectPr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334" w:lineRule="auto"/>
        <w:ind w:left="37" w:right="90" w:hanging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组并购</w:t>
      </w:r>
      <w:r>
        <w:rPr>
          <w:rFonts w:ascii="新宋体" w:hAnsi="新宋体" w:eastAsia="新宋体" w:cs="新宋体"/>
          <w:spacing w:val="8"/>
          <w:sz w:val="31"/>
          <w:szCs w:val="31"/>
        </w:rPr>
        <w:t>县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内企业，且股权不低于 51% 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实现要约目标，可以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给予投资方收购资金一定比例的奖励。重组并购县内资不抵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债、长期亏损或僵尸企业，且股权不低于51%，实现要</w:t>
      </w:r>
      <w:r>
        <w:rPr>
          <w:rFonts w:ascii="仿宋" w:hAnsi="仿宋" w:eastAsia="仿宋" w:cs="仿宋"/>
          <w:spacing w:val="13"/>
          <w:sz w:val="31"/>
          <w:szCs w:val="31"/>
        </w:rPr>
        <w:t>约目</w:t>
      </w:r>
    </w:p>
    <w:p>
      <w:pPr>
        <w:spacing w:before="1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标的，经认定后，从纳税年度起，连续两年给予奖励。</w:t>
      </w:r>
    </w:p>
    <w:p>
      <w:pPr>
        <w:spacing w:before="173" w:line="334" w:lineRule="auto"/>
        <w:ind w:left="37" w:right="87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人才引进奖励。一次性完成固定资产投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元（农畜产品精深加工业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6000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以上的项目，经认定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后，对符合招才引智高层次人才的企业领导班子成员（不超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过三人）给予奖励；按照《巴彦淖尔市招商引资促进高质量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发展优惠政策》，企业领导班子成员子女可在巴彦淖尔市公</w:t>
      </w:r>
    </w:p>
    <w:p>
      <w:pPr>
        <w:spacing w:before="1" w:line="225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立中小学选择优质学校t就读。</w:t>
      </w:r>
    </w:p>
    <w:p>
      <w:pPr>
        <w:spacing w:before="179" w:line="334" w:lineRule="auto"/>
        <w:ind w:left="54" w:right="87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第十一条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技能培训奖励。需要对新招员工进行岗前技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能培训的企业，且人数规模达到相关要求的，报县就</w:t>
      </w:r>
      <w:r>
        <w:rPr>
          <w:rFonts w:ascii="仿宋" w:hAnsi="仿宋" w:eastAsia="仿宋" w:cs="仿宋"/>
          <w:spacing w:val="7"/>
          <w:sz w:val="31"/>
          <w:szCs w:val="31"/>
        </w:rPr>
        <w:t>业部门</w:t>
      </w:r>
    </w:p>
    <w:p>
      <w:pPr>
        <w:spacing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给予免费培训。</w:t>
      </w:r>
    </w:p>
    <w:p>
      <w:pPr>
        <w:spacing w:before="172" w:line="334" w:lineRule="auto"/>
        <w:ind w:left="36"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第十二条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支持以商招商、机构招商。对企业、商会、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协会、第三方机构、个人等，引进重点支持产业且符合条件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的投资项目，按合同（协议）约定内容建成投产，经认定后，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给予表彰及奖励。引进“世界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强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”“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中国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500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强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首次到我县投资且符合条件的投资项目以及对我县发展贡</w:t>
      </w:r>
    </w:p>
    <w:p>
      <w:pPr>
        <w:spacing w:before="1" w:line="227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献突出的可按照“一事一议、一企一策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”方式确定奖励。</w:t>
      </w:r>
    </w:p>
    <w:p>
      <w:pPr>
        <w:spacing w:before="180" w:line="333" w:lineRule="auto"/>
        <w:ind w:left="34" w:right="87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第十三条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严格执行投资项目合同制管理，项目业主应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与我县签订投资合同（协议</w:t>
      </w:r>
      <w:r>
        <w:rPr>
          <w:rFonts w:ascii="仿宋" w:hAnsi="仿宋" w:eastAsia="仿宋" w:cs="仿宋"/>
          <w:spacing w:val="-43"/>
          <w:sz w:val="31"/>
          <w:szCs w:val="31"/>
        </w:rPr>
        <w:t>），</w:t>
      </w:r>
      <w:r>
        <w:rPr>
          <w:rFonts w:ascii="仿宋" w:hAnsi="仿宋" w:eastAsia="仿宋" w:cs="仿宋"/>
          <w:spacing w:val="10"/>
          <w:sz w:val="31"/>
          <w:szCs w:val="31"/>
        </w:rPr>
        <w:t>约定投资项目强度、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内容、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规模、进度和退出情形，以及奖补的具体比例或额度、人数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等，作为各类优惠政策兑现的依据。优惠政策享受主体隐瞒</w:t>
      </w:r>
    </w:p>
    <w:p>
      <w:pPr>
        <w:spacing w:before="1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真实情况、弄虚作假获得奖励（补贴）的，须全</w:t>
      </w:r>
      <w:r>
        <w:rPr>
          <w:rFonts w:ascii="仿宋" w:hAnsi="仿宋" w:eastAsia="仿宋" w:cs="仿宋"/>
          <w:spacing w:val="-1"/>
          <w:sz w:val="31"/>
          <w:szCs w:val="31"/>
        </w:rPr>
        <w:t>额退回所得，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pgSz w:w="11906" w:h="16838"/>
          <w:pgMar w:top="400" w:right="1709" w:bottom="0" w:left="1785" w:header="0" w:footer="0" w:gutter="0"/>
          <w:cols w:space="720" w:num="1"/>
        </w:sectPr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spacing w:before="101" w:line="333" w:lineRule="auto"/>
        <w:ind w:left="41" w:right="15" w:hanging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并按近期人民银行公布的定期同档存款利率支付利息。拒不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退回及支付利息的，相关部门将其失信行为纳入企业信用信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息系统。若项目业主或个人违反相关法律法规的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4"/>
          <w:sz w:val="31"/>
          <w:szCs w:val="31"/>
        </w:rPr>
        <w:t>将被依法</w:t>
      </w:r>
    </w:p>
    <w:p>
      <w:pPr>
        <w:spacing w:before="1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追究法律责任。</w:t>
      </w:r>
    </w:p>
    <w:p>
      <w:pPr>
        <w:spacing w:before="179" w:line="333" w:lineRule="auto"/>
        <w:ind w:left="39" w:right="10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第十四条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磴口县设立招商引资专项资金，资金列入县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级财政预算。本细则中所有奖补资金均从招商引资专项资金 中解决，经认定、审核后，给予兑现。本细则所涉及币种皆</w:t>
      </w:r>
    </w:p>
    <w:p>
      <w:pPr>
        <w:spacing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为人民币， 奖励、补贴等金额均为税前金额。</w:t>
      </w:r>
    </w:p>
    <w:p>
      <w:pPr>
        <w:spacing w:before="176" w:line="334" w:lineRule="auto"/>
        <w:ind w:left="45" w:right="10" w:firstLine="67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第十五条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本细则自印发之日起执行，执行期内，如遇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法律、法规或有关试用政策调整变化的，从其规定。本细则</w:t>
      </w:r>
    </w:p>
    <w:p>
      <w:pPr>
        <w:spacing w:before="1" w:line="227" w:lineRule="auto"/>
        <w:ind w:left="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由磴口县人民政府负责解释。</w:t>
      </w:r>
    </w:p>
    <w:sectPr>
      <w:pgSz w:w="11906" w:h="16838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ZkMDQ3OTUwYTY5Y2Y3ZGUyNWVjMDhlMjVmMDkzYjkifQ=="/>
  </w:docVars>
  <w:rsids>
    <w:rsidRoot w:val="00000000"/>
    <w:rsid w:val="48EA4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1951</Words>
  <Characters>1990</Characters>
  <TotalTime>13</TotalTime>
  <ScaleCrop>false</ScaleCrop>
  <LinksUpToDate>false</LinksUpToDate>
  <CharactersWithSpaces>2107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2022-09-01T10:16:00Z</dcterms:created>
  <dc:creator>Administrator</dc:creator>
  <cp:lastModifiedBy>白SIR</cp:lastModifiedBy>
  <dcterms:modified xsi:type="dcterms:W3CDTF">2023-04-20T02:18:19Z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2023-04-20T09:52:19Z</vt:filetime>
  </property>
  <property fmtid="{D5CDD505-2E9C-101B-9397-08002B2CF9AE}" pid="4" name="KSOProductBuildVer">
    <vt:lpwstr>2052-11.1.0.14036</vt:lpwstr>
  </property>
  <property fmtid="{D5CDD505-2E9C-101B-9397-08002B2CF9AE}" pid="5" name="ICV">
    <vt:lpwstr>CB5A5927F1DE4C1BB12C34C34C57283F_13</vt:lpwstr>
  </property>
</Properties>
</file>