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40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磴口县人民政府办公室</w:t>
      </w:r>
    </w:p>
    <w:p w14:paraId="30CD2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关于调整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磴口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城区规划行政执法界限</w:t>
      </w:r>
    </w:p>
    <w:bookmarkEnd w:id="0"/>
    <w:p w14:paraId="63ED6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的通知</w:t>
      </w:r>
    </w:p>
    <w:p w14:paraId="32675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</w:p>
    <w:p w14:paraId="4A9FC70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楷体_GB2312" w:hAnsi="楷体_GB2312" w:eastAsia="楷体_GB2312" w:cs="楷体_GB2312"/>
          <w:b/>
          <w:bCs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磴政办字〔2025〕29号</w:t>
      </w:r>
    </w:p>
    <w:p w14:paraId="20874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292F9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巴彦高勒镇人民政府，</w:t>
      </w:r>
      <w:r>
        <w:rPr>
          <w:rFonts w:hint="eastAsia" w:ascii="仿宋_GB2312" w:hAnsi="仿宋_GB2312" w:eastAsia="仿宋_GB2312" w:cs="仿宋_GB2312"/>
          <w:sz w:val="32"/>
          <w:szCs w:val="32"/>
        </w:rPr>
        <w:t>县直有关部门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沙林中心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7DDC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为切实解决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内各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苏木镇、农场公司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政府部门之间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行政执法、</w:t>
      </w:r>
      <w:r>
        <w:rPr>
          <w:rFonts w:hint="eastAsia" w:ascii="仿宋_GB2312" w:hAnsi="仿宋_GB2312" w:eastAsia="仿宋_GB2312" w:cs="仿宋_GB2312"/>
          <w:sz w:val="32"/>
          <w:szCs w:val="32"/>
        </w:rPr>
        <w:t>环境卫生管理界限不清、责任不明的问题，进一步提升城市管理水平，经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政府研究同意，现就调整城区规划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行政执法</w:t>
      </w:r>
      <w:r>
        <w:rPr>
          <w:rFonts w:hint="eastAsia" w:ascii="仿宋_GB2312" w:hAnsi="仿宋_GB2312" w:eastAsia="仿宋_GB2312" w:cs="仿宋_GB2312"/>
          <w:sz w:val="32"/>
          <w:szCs w:val="32"/>
        </w:rPr>
        <w:t>界限有关事宜通知如下：</w:t>
      </w:r>
    </w:p>
    <w:p w14:paraId="61122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一、管理界限划分原则</w:t>
      </w:r>
    </w:p>
    <w:p w14:paraId="5543D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在行政执法、市容和环境卫生管理界限原则上以行政区划界限为基准予以划分。</w:t>
      </w:r>
    </w:p>
    <w:p w14:paraId="1BE6D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二、调整内容</w:t>
      </w:r>
    </w:p>
    <w:p w14:paraId="7F5E7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东面界线：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东至二黄河渠边，东北以和平社区与北粮台村界线为界，东南以沿黄公路到低空飞行场南侧为界，归属城区管理。</w:t>
      </w:r>
    </w:p>
    <w:p w14:paraId="675A5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南面界线：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南至低空飞行场南侧，沿铁路和东风渠以镇南社区和城关村交界，至家馨小区南油路为界，沿家馨小区西侧小油路往北至雪糕厂、从雪糕厂往西沿小油路至北滩村委会、从北滩村委会沿小油路至南环路，顺南环路往西到乌审干渠。</w:t>
      </w:r>
    </w:p>
    <w:p w14:paraId="09546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西面边界：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沿乌审干渠到东风街向西至包银高铁，包银高铁以东、高铁站北以南、乌审干渠以西、东风西街以北划入城区，公安局北至中央公园二期北为界，以团结社区与北粮台村交界为界，沿红卫分干沟向北至北粮台村四社小油路至朝霞路口。</w:t>
      </w:r>
    </w:p>
    <w:p w14:paraId="52099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北面界线：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从朝霞路（包括朝霞路西）至绕城路到钢铁路红绿灯口，沿钢铁路往南至变电站（包括城区三排房），以与补隆淖尔镇黄土档交界为界。</w:t>
      </w:r>
    </w:p>
    <w:p w14:paraId="22895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、实施时间</w:t>
      </w:r>
    </w:p>
    <w:p w14:paraId="4C6CA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本通知自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发布之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日起施行。此前相关规定与本通知不一致的，以本通知为准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，过去界限内存在的问题仍由原管辖主体负责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8170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8D5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BDEC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磴口县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15531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9626B"/>
    <w:rsid w:val="5319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1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2025-12-31T03:07:00Z</dcterms:created>
  <dc:creator>Dream</dc:creator>
  <cp:lastModifiedBy>Dream</cp:lastModifiedBy>
  <dcterms:modified xsi:type="dcterms:W3CDTF">2025-12-31T03:07:48Z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52682BA6A3B04AF382C99C0F952BB52B_11</vt:lpwstr>
  </property>
  <property fmtid="{D5CDD505-2E9C-101B-9397-08002B2CF9AE}" pid="4" name="KSOTemplateDocerSaveRecord">
    <vt:lpwstr>eyJoZGlkIjoiNmFhZjBhYjQ3NzBiZjFjMjA2N2VjZDQxZWVhYTUzYzMiLCJ1c2VySWQiOiI4Njk5NjMwNjIifQ==</vt:lpwstr>
  </property>
</Properties>
</file>