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19001">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20" w:lineRule="exact"/>
        <w:jc w:val="left"/>
        <w:textAlignment w:val="auto"/>
        <w:outlineLvl w:val="9"/>
        <w:rPr>
          <w:rFonts w:hint="eastAsia" w:ascii="CESI黑体-GB2312" w:hAnsi="CESI黑体-GB2312" w:eastAsia="CESI黑体-GB2312" w:cs="CESI黑体-GB2312"/>
          <w:b w:val="0"/>
          <w:bCs w:val="0"/>
          <w:sz w:val="32"/>
          <w:szCs w:val="32"/>
          <w:lang w:val="en-US" w:eastAsia="zh-CN"/>
        </w:rPr>
      </w:pPr>
      <w:r>
        <w:rPr>
          <w:rFonts w:hint="eastAsia" w:ascii="CESI黑体-GB2312" w:hAnsi="CESI黑体-GB2312" w:eastAsia="CESI黑体-GB2312" w:cs="CESI黑体-GB2312"/>
          <w:b w:val="0"/>
          <w:bCs w:val="0"/>
          <w:sz w:val="32"/>
          <w:szCs w:val="32"/>
          <w:lang w:val="en-US" w:eastAsia="zh-CN"/>
        </w:rPr>
        <w:t>附件</w:t>
      </w:r>
      <w:r>
        <w:rPr>
          <w:rFonts w:hint="eastAsia" w:ascii="CESI黑体-GB2312" w:hAnsi="CESI黑体-GB2312" w:eastAsia="CESI黑体-GB2312" w:cs="CESI黑体-GB2312"/>
          <w:b w:val="0"/>
          <w:bCs w:val="0"/>
          <w:sz w:val="32"/>
          <w:szCs w:val="32"/>
          <w:u w:val="none"/>
          <w:lang w:val="en-US" w:eastAsia="zh-CN"/>
        </w:rPr>
        <w:t>1</w:t>
      </w:r>
    </w:p>
    <w:p w14:paraId="5C384A5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pacing w:val="0"/>
          <w:sz w:val="44"/>
          <w:szCs w:val="44"/>
          <w:lang w:val="en-US" w:eastAsia="zh-CN"/>
        </w:rPr>
        <w:t>磴口县农膜污染治理工作协调机制</w:t>
      </w:r>
    </w:p>
    <w:p w14:paraId="761A1C16">
      <w:pPr>
        <w:spacing w:line="520" w:lineRule="exact"/>
        <w:jc w:val="center"/>
        <w:rPr>
          <w:rFonts w:hint="default"/>
          <w:lang w:val="en-US" w:eastAsia="zh-CN"/>
        </w:rPr>
      </w:pPr>
    </w:p>
    <w:p w14:paraId="7080C58B">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right="0" w:rightChars="0" w:firstLine="643"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eastAsia="zh-CN"/>
        </w:rPr>
        <w:t>组</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lang w:eastAsia="zh-CN"/>
        </w:rPr>
        <w:t>长：</w:t>
      </w:r>
      <w:r>
        <w:rPr>
          <w:rFonts w:hint="eastAsia" w:ascii="仿宋_GB2312" w:hAnsi="仿宋_GB2312" w:eastAsia="仿宋_GB2312" w:cs="仿宋_GB2312"/>
          <w:color w:val="auto"/>
          <w:kern w:val="0"/>
          <w:sz w:val="32"/>
          <w:szCs w:val="32"/>
          <w:lang w:val="en-US" w:eastAsia="zh-CN" w:bidi="ar"/>
        </w:rPr>
        <w:t>韩  瑞  县委常委、政府副县长</w:t>
      </w:r>
    </w:p>
    <w:p w14:paraId="114922A8">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3" w:firstLineChars="200"/>
        <w:textAlignment w:val="auto"/>
        <w:rPr>
          <w:rFonts w:hint="eastAsia"/>
          <w:lang w:val="en-US" w:eastAsia="zh-CN"/>
        </w:rPr>
      </w:pPr>
      <w:r>
        <w:rPr>
          <w:rFonts w:hint="eastAsia" w:ascii="仿宋_GB2312" w:hAnsi="仿宋_GB2312" w:eastAsia="仿宋_GB2312" w:cs="仿宋_GB2312"/>
          <w:b/>
          <w:bCs/>
          <w:color w:val="auto"/>
          <w:sz w:val="32"/>
          <w:szCs w:val="32"/>
          <w:lang w:val="en-US" w:eastAsia="zh-CN"/>
        </w:rPr>
        <w:t>副组长：</w:t>
      </w:r>
      <w:r>
        <w:rPr>
          <w:rFonts w:hint="eastAsia" w:ascii="仿宋_GB2312" w:hAnsi="仿宋_GB2312" w:eastAsia="仿宋_GB2312" w:cs="仿宋_GB2312"/>
          <w:color w:val="auto"/>
          <w:kern w:val="0"/>
          <w:sz w:val="32"/>
          <w:szCs w:val="32"/>
          <w:lang w:val="en-US" w:eastAsia="zh-CN" w:bidi="ar"/>
        </w:rPr>
        <w:t>吕红兵  政协副主席、财政局局长</w:t>
      </w:r>
    </w:p>
    <w:p w14:paraId="12B3E605">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1920" w:firstLineChars="6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梁志强  政协副主席、农牧和科技局局长</w:t>
      </w:r>
    </w:p>
    <w:p w14:paraId="01645713">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成  员：</w:t>
      </w:r>
      <w:r>
        <w:rPr>
          <w:rFonts w:hint="eastAsia" w:ascii="仿宋_GB2312" w:hAnsi="仿宋_GB2312" w:eastAsia="仿宋_GB2312" w:cs="仿宋_GB2312"/>
          <w:b w:val="0"/>
          <w:bCs w:val="0"/>
          <w:color w:val="auto"/>
          <w:sz w:val="32"/>
          <w:szCs w:val="32"/>
          <w:lang w:val="en-US" w:eastAsia="zh-CN"/>
        </w:rPr>
        <w:t xml:space="preserve">张景波  沙林中心副主任 </w:t>
      </w:r>
    </w:p>
    <w:p w14:paraId="28299148">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right="0" w:rightChars="0" w:firstLine="1920" w:firstLineChars="6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魏  震  巴彦高勒镇镇长</w:t>
      </w:r>
    </w:p>
    <w:p w14:paraId="512A35DA">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right="0" w:rightChars="0" w:firstLine="1920" w:firstLineChars="6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陈  红  渡口镇镇长</w:t>
      </w:r>
    </w:p>
    <w:p w14:paraId="078748E1">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right="0" w:rightChars="0" w:firstLine="1920" w:firstLineChars="6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尹兆斌  补隆淖镇镇长</w:t>
      </w:r>
    </w:p>
    <w:p w14:paraId="6D615029">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right="0" w:rightChars="0" w:firstLine="1920" w:firstLineChars="6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刘志才  隆盛合镇镇长</w:t>
      </w:r>
    </w:p>
    <w:p w14:paraId="13F60F52">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right="0" w:rightChars="0" w:firstLine="1920" w:firstLineChars="6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张  军  沙金套海苏木苏木达</w:t>
      </w:r>
    </w:p>
    <w:p w14:paraId="334D414A">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right="0" w:rightChars="0" w:firstLine="1920" w:firstLineChars="6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乌兰花  乌兰布和农场公司党委书记、董事长</w:t>
      </w:r>
    </w:p>
    <w:p w14:paraId="4AE73CDD">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right="0" w:rightChars="0" w:firstLine="1920" w:firstLineChars="6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陶  飞  巴彦套海农场公司党委书记、董事长</w:t>
      </w:r>
    </w:p>
    <w:p w14:paraId="0DD74876">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right="0" w:rightChars="0" w:firstLine="1920" w:firstLineChars="6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魏俊杰  哈腾套海农场党委书记、董事长</w:t>
      </w:r>
    </w:p>
    <w:p w14:paraId="796D224F">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right="0" w:rightChars="0" w:firstLine="1920" w:firstLineChars="6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李万全  包尔盖农场党委书记、董事长</w:t>
      </w:r>
    </w:p>
    <w:p w14:paraId="2A54E755">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right="0" w:rightChars="0" w:firstLine="1920" w:firstLineChars="6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李青元  纳林套海农场党委书记、董事长</w:t>
      </w:r>
    </w:p>
    <w:p w14:paraId="0F5059E9">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right="0" w:rightChars="0" w:firstLine="1920" w:firstLineChars="6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黄云龙  市场监督管理局局长</w:t>
      </w:r>
    </w:p>
    <w:p w14:paraId="599C9F91">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right="0" w:rightChars="0" w:firstLine="1920" w:firstLineChars="6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李廷华  农牧业综合行政执法大队大队长</w:t>
      </w:r>
    </w:p>
    <w:p w14:paraId="0463A372">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协调机制下设办公室，办公室设在农牧和科技局，办公室主任由农牧和科技局局长梁志强兼任，专门负责协调相关部门，指导各苏木镇农场有序推动专项行动落实。</w:t>
      </w:r>
    </w:p>
    <w:p w14:paraId="3D4B6F1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协调机制不作为县政府的议事协调机构，磴口县2025年秋季—2026年春季推进农膜污染治理工作结束后，协调机制自行撤销。</w:t>
      </w:r>
    </w:p>
    <w:p w14:paraId="45501168">
      <w:pPr>
        <w:spacing w:line="560" w:lineRule="exact"/>
        <w:jc w:val="both"/>
        <w:rPr>
          <w:rFonts w:hint="eastAsia" w:ascii="黑体" w:hAnsi="黑体" w:eastAsia="黑体" w:cs="黑体"/>
          <w:b w:val="0"/>
          <w:bCs w:val="0"/>
          <w:sz w:val="32"/>
          <w:szCs w:val="32"/>
          <w:lang w:val="en-US" w:eastAsia="zh-CN"/>
        </w:rPr>
        <w:sectPr>
          <w:pgSz w:w="11906" w:h="16838"/>
          <w:pgMar w:top="1440" w:right="1800" w:bottom="1440" w:left="1800" w:header="851" w:footer="992" w:gutter="0"/>
          <w:pgNumType w:fmt="numberInDash"/>
          <w:cols w:space="720" w:num="1"/>
          <w:docGrid w:type="lines" w:linePitch="312" w:charSpace="0"/>
        </w:sectPr>
      </w:pPr>
    </w:p>
    <w:p w14:paraId="1AE726A9">
      <w:pPr>
        <w:spacing w:line="560" w:lineRule="exact"/>
        <w:jc w:val="both"/>
        <w:rPr>
          <w:rFonts w:hint="eastAsia" w:ascii="CESI黑体-GB2312" w:hAnsi="CESI黑体-GB2312" w:eastAsia="CESI黑体-GB2312" w:cs="CESI黑体-GB2312"/>
          <w:b w:val="0"/>
          <w:bCs w:val="0"/>
          <w:sz w:val="32"/>
          <w:szCs w:val="32"/>
          <w:lang w:val="en-US" w:eastAsia="zh-CN"/>
        </w:rPr>
      </w:pPr>
      <w:r>
        <w:rPr>
          <w:rFonts w:hint="eastAsia" w:ascii="CESI黑体-GB2312" w:hAnsi="CESI黑体-GB2312" w:eastAsia="CESI黑体-GB2312" w:cs="CESI黑体-GB2312"/>
          <w:b w:val="0"/>
          <w:bCs w:val="0"/>
          <w:sz w:val="32"/>
          <w:szCs w:val="32"/>
          <w:lang w:val="en-US" w:eastAsia="zh-CN"/>
        </w:rPr>
        <w:t>附件2</w:t>
      </w:r>
    </w:p>
    <w:p w14:paraId="00A40286">
      <w:pPr>
        <w:pStyle w:val="2"/>
        <w:rPr>
          <w:rFonts w:hint="eastAsia"/>
          <w:lang w:val="en-US" w:eastAsia="zh-CN"/>
        </w:rPr>
      </w:pPr>
    </w:p>
    <w:tbl>
      <w:tblPr>
        <w:tblStyle w:val="5"/>
        <w:tblpPr w:leftFromText="180" w:rightFromText="180" w:vertAnchor="text" w:horzAnchor="page" w:tblpX="1307" w:tblpY="925"/>
        <w:tblOverlap w:val="never"/>
        <w:tblW w:w="9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670"/>
        <w:gridCol w:w="870"/>
        <w:gridCol w:w="5950"/>
      </w:tblGrid>
      <w:tr w14:paraId="6B88E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40" w:type="dxa"/>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14:paraId="32CDAC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000000"/>
                <w:sz w:val="30"/>
                <w:szCs w:val="30"/>
                <w:vertAlign w:val="baseline"/>
                <w:lang w:val="en-US" w:eastAsia="zh-CN"/>
              </w:rPr>
            </w:pPr>
            <w:r>
              <w:rPr>
                <w:rFonts w:hint="eastAsia" w:ascii="仿宋" w:hAnsi="仿宋" w:eastAsia="仿宋" w:cs="仿宋"/>
                <w:b/>
                <w:bCs/>
                <w:color w:val="000000"/>
                <w:sz w:val="30"/>
                <w:szCs w:val="30"/>
                <w:vertAlign w:val="baseline"/>
                <w:lang w:val="en-US" w:eastAsia="zh-CN"/>
              </w:rPr>
              <w:t>序号</w:t>
            </w:r>
          </w:p>
        </w:tc>
        <w:tc>
          <w:tcPr>
            <w:tcW w:w="1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D958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000000"/>
                <w:sz w:val="30"/>
                <w:szCs w:val="30"/>
                <w:vertAlign w:val="baseline"/>
                <w:lang w:val="en-US" w:eastAsia="zh-CN"/>
              </w:rPr>
            </w:pPr>
            <w:r>
              <w:rPr>
                <w:rFonts w:hint="eastAsia" w:ascii="仿宋" w:hAnsi="仿宋" w:eastAsia="仿宋" w:cs="仿宋"/>
                <w:b/>
                <w:bCs/>
                <w:color w:val="000000"/>
                <w:sz w:val="30"/>
                <w:szCs w:val="30"/>
                <w:vertAlign w:val="baseline"/>
                <w:lang w:val="en-US" w:eastAsia="zh-CN"/>
              </w:rPr>
              <w:t>考核内容</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F625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000000"/>
                <w:sz w:val="30"/>
                <w:szCs w:val="30"/>
                <w:vertAlign w:val="baseline"/>
                <w:lang w:val="en-US" w:eastAsia="zh-CN"/>
              </w:rPr>
            </w:pPr>
            <w:r>
              <w:rPr>
                <w:rFonts w:hint="eastAsia" w:ascii="仿宋" w:hAnsi="仿宋" w:eastAsia="仿宋" w:cs="仿宋"/>
                <w:b/>
                <w:bCs/>
                <w:color w:val="000000"/>
                <w:sz w:val="30"/>
                <w:szCs w:val="30"/>
                <w:vertAlign w:val="baseline"/>
                <w:lang w:val="en-US" w:eastAsia="zh-CN"/>
              </w:rPr>
              <w:t>分值</w:t>
            </w:r>
          </w:p>
        </w:tc>
        <w:tc>
          <w:tcPr>
            <w:tcW w:w="59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AEA7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000000"/>
                <w:sz w:val="30"/>
                <w:szCs w:val="30"/>
                <w:vertAlign w:val="baseline"/>
                <w:lang w:val="en-US" w:eastAsia="zh-CN"/>
              </w:rPr>
            </w:pPr>
            <w:r>
              <w:rPr>
                <w:rFonts w:hint="eastAsia" w:ascii="仿宋" w:hAnsi="仿宋" w:eastAsia="仿宋" w:cs="仿宋"/>
                <w:b/>
                <w:bCs/>
                <w:color w:val="000000"/>
                <w:sz w:val="30"/>
                <w:szCs w:val="30"/>
                <w:vertAlign w:val="baseline"/>
                <w:lang w:val="en-US" w:eastAsia="zh-CN"/>
              </w:rPr>
              <w:t>考核要点</w:t>
            </w:r>
          </w:p>
        </w:tc>
      </w:tr>
      <w:tr w14:paraId="60F14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3F8B4D">
            <w:pPr>
              <w:spacing w:line="560" w:lineRule="exact"/>
              <w:jc w:val="center"/>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1</w:t>
            </w:r>
          </w:p>
        </w:tc>
        <w:tc>
          <w:tcPr>
            <w:tcW w:w="1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60A2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领导机构</w:t>
            </w:r>
          </w:p>
          <w:p w14:paraId="2D5F78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协调机制</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8976D9">
            <w:pPr>
              <w:spacing w:line="560" w:lineRule="exact"/>
              <w:jc w:val="center"/>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10</w:t>
            </w:r>
          </w:p>
        </w:tc>
        <w:tc>
          <w:tcPr>
            <w:tcW w:w="59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CC8D47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乡镇政府落实主体责任、建立协调机制10分，否则不得分。协调机制每年至少召开两次协调会议，能够充分发挥作用5分，否则不得分。</w:t>
            </w:r>
          </w:p>
        </w:tc>
      </w:tr>
      <w:tr w14:paraId="02CE7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B0A0E1">
            <w:pPr>
              <w:spacing w:line="560" w:lineRule="exact"/>
              <w:jc w:val="center"/>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2</w:t>
            </w:r>
          </w:p>
        </w:tc>
        <w:tc>
          <w:tcPr>
            <w:tcW w:w="1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2961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强化源头管控</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6CD476">
            <w:pPr>
              <w:spacing w:line="560" w:lineRule="exact"/>
              <w:jc w:val="center"/>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10</w:t>
            </w:r>
          </w:p>
        </w:tc>
        <w:tc>
          <w:tcPr>
            <w:tcW w:w="59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5C5C3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明确将非国标地膜和地膜产品质量列入农资打假范围，得10分，否则不得分。</w:t>
            </w:r>
          </w:p>
          <w:p w14:paraId="18868BD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发生一起及以上使用政府资金购买非国标地膜或使用光氧双降解地膜的，得0分。</w:t>
            </w:r>
          </w:p>
        </w:tc>
      </w:tr>
      <w:tr w14:paraId="0ED38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04A5AC">
            <w:pPr>
              <w:spacing w:line="560" w:lineRule="exact"/>
              <w:jc w:val="center"/>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3</w:t>
            </w:r>
          </w:p>
        </w:tc>
        <w:tc>
          <w:tcPr>
            <w:tcW w:w="1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D4BB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开展农膜回收攻坚行动</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FC2E82">
            <w:pPr>
              <w:spacing w:line="560" w:lineRule="exact"/>
              <w:jc w:val="center"/>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20</w:t>
            </w:r>
          </w:p>
        </w:tc>
        <w:tc>
          <w:tcPr>
            <w:tcW w:w="59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2D9A4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春、秋季组织实施全域农膜回收行动，得20分；仅在部分区域组织实施，得10分；未组织实施得0分。</w:t>
            </w:r>
          </w:p>
        </w:tc>
      </w:tr>
      <w:tr w14:paraId="4A2AA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ECBF86">
            <w:pPr>
              <w:spacing w:line="560" w:lineRule="exact"/>
              <w:jc w:val="center"/>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4</w:t>
            </w:r>
          </w:p>
        </w:tc>
        <w:tc>
          <w:tcPr>
            <w:tcW w:w="1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2491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农膜回收处置</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7DE8F5">
            <w:pPr>
              <w:spacing w:line="560" w:lineRule="exact"/>
              <w:jc w:val="center"/>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10</w:t>
            </w:r>
          </w:p>
        </w:tc>
        <w:tc>
          <w:tcPr>
            <w:tcW w:w="59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E6F4C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农膜回收后，所有农膜均按要求进行处置，得10分，堆置不处理的，不得分。</w:t>
            </w:r>
          </w:p>
        </w:tc>
      </w:tr>
      <w:tr w14:paraId="5E38B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EC4B83">
            <w:pPr>
              <w:spacing w:line="560" w:lineRule="exact"/>
              <w:jc w:val="center"/>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5</w:t>
            </w:r>
          </w:p>
        </w:tc>
        <w:tc>
          <w:tcPr>
            <w:tcW w:w="1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9723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农膜回收率</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912B1D">
            <w:pPr>
              <w:spacing w:line="560" w:lineRule="exact"/>
              <w:jc w:val="center"/>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15</w:t>
            </w:r>
          </w:p>
        </w:tc>
        <w:tc>
          <w:tcPr>
            <w:tcW w:w="59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368FF4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农膜回收率达到年度要求85%，得15分；2025年回收率低于85%的苏木镇农场、沙林中心，得0分。</w:t>
            </w:r>
          </w:p>
        </w:tc>
      </w:tr>
      <w:tr w14:paraId="7B586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5E1C2D">
            <w:pPr>
              <w:spacing w:line="560" w:lineRule="exact"/>
              <w:jc w:val="center"/>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6</w:t>
            </w:r>
          </w:p>
        </w:tc>
        <w:tc>
          <w:tcPr>
            <w:tcW w:w="1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5E60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推进台账建设</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486D65">
            <w:pPr>
              <w:spacing w:line="560" w:lineRule="exact"/>
              <w:jc w:val="center"/>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20</w:t>
            </w:r>
          </w:p>
        </w:tc>
        <w:tc>
          <w:tcPr>
            <w:tcW w:w="59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3AD94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乡镇建立并完善残膜回收台账，得20分；台账不完善的视具体情况，得0-10分。</w:t>
            </w:r>
          </w:p>
        </w:tc>
      </w:tr>
      <w:tr w14:paraId="0B556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A38DCC">
            <w:pPr>
              <w:spacing w:line="560" w:lineRule="exact"/>
              <w:jc w:val="center"/>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7</w:t>
            </w:r>
          </w:p>
        </w:tc>
        <w:tc>
          <w:tcPr>
            <w:tcW w:w="1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82A2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创新回收模式</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BC449F">
            <w:pPr>
              <w:spacing w:line="560" w:lineRule="exact"/>
              <w:jc w:val="center"/>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5</w:t>
            </w:r>
          </w:p>
        </w:tc>
        <w:tc>
          <w:tcPr>
            <w:tcW w:w="59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FC3DEA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总结推广回收模式，探索技术模式，创建示范样板村，开展“积分超市”兑换工作等，视完成情况得1-5分。无任何内容，得0分。</w:t>
            </w:r>
          </w:p>
        </w:tc>
      </w:tr>
      <w:tr w14:paraId="7451D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6D6BF1">
            <w:pPr>
              <w:spacing w:line="560" w:lineRule="exact"/>
              <w:jc w:val="center"/>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8</w:t>
            </w:r>
          </w:p>
        </w:tc>
        <w:tc>
          <w:tcPr>
            <w:tcW w:w="1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2970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color w:val="000000"/>
                <w:kern w:val="2"/>
                <w:sz w:val="24"/>
                <w:szCs w:val="24"/>
                <w:vertAlign w:val="baseline"/>
                <w:lang w:val="en-US" w:eastAsia="zh-CN" w:bidi="ar-SA"/>
              </w:rPr>
            </w:pPr>
            <w:r>
              <w:rPr>
                <w:rFonts w:hint="eastAsia" w:ascii="仿宋" w:hAnsi="仿宋" w:eastAsia="仿宋" w:cs="仿宋"/>
                <w:b w:val="0"/>
                <w:color w:val="000000"/>
                <w:sz w:val="24"/>
                <w:szCs w:val="24"/>
                <w:vertAlign w:val="baseline"/>
                <w:lang w:val="en-US" w:eastAsia="zh-CN"/>
              </w:rPr>
              <w:t>加大宣传培训</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A84B0C">
            <w:pPr>
              <w:spacing w:line="560" w:lineRule="exact"/>
              <w:jc w:val="center"/>
              <w:rPr>
                <w:rFonts w:hint="eastAsia" w:ascii="仿宋" w:hAnsi="仿宋" w:eastAsia="仿宋" w:cs="仿宋"/>
                <w:b w:val="0"/>
                <w:color w:val="000000"/>
                <w:kern w:val="2"/>
                <w:sz w:val="24"/>
                <w:szCs w:val="24"/>
                <w:vertAlign w:val="baseline"/>
                <w:lang w:val="en-US" w:eastAsia="zh-CN" w:bidi="ar-SA"/>
              </w:rPr>
            </w:pPr>
            <w:r>
              <w:rPr>
                <w:rFonts w:hint="eastAsia" w:ascii="仿宋" w:hAnsi="仿宋" w:eastAsia="仿宋" w:cs="仿宋"/>
                <w:b w:val="0"/>
                <w:color w:val="000000"/>
                <w:sz w:val="24"/>
                <w:szCs w:val="24"/>
                <w:vertAlign w:val="baseline"/>
                <w:lang w:val="en-US" w:eastAsia="zh-CN"/>
              </w:rPr>
              <w:t>5</w:t>
            </w:r>
          </w:p>
        </w:tc>
        <w:tc>
          <w:tcPr>
            <w:tcW w:w="59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096F6B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color w:val="000000"/>
                <w:kern w:val="2"/>
                <w:sz w:val="24"/>
                <w:szCs w:val="24"/>
                <w:vertAlign w:val="baseline"/>
                <w:lang w:val="en-US" w:eastAsia="zh-CN" w:bidi="ar-SA"/>
              </w:rPr>
            </w:pPr>
            <w:r>
              <w:rPr>
                <w:rFonts w:hint="eastAsia" w:ascii="仿宋" w:hAnsi="仿宋" w:eastAsia="仿宋" w:cs="仿宋"/>
                <w:b w:val="0"/>
                <w:color w:val="000000"/>
                <w:sz w:val="24"/>
                <w:szCs w:val="24"/>
                <w:vertAlign w:val="baseline"/>
                <w:lang w:val="en-US" w:eastAsia="zh-CN"/>
              </w:rPr>
              <w:t>组织开展宣传活动，并至少在县级媒体宣传报道1次，进行现场观摩培训等，视完成情况得1-5分，未开展宣传活动得0分。</w:t>
            </w:r>
          </w:p>
        </w:tc>
      </w:tr>
      <w:tr w14:paraId="2C23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8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22495A">
            <w:pPr>
              <w:spacing w:line="560" w:lineRule="exact"/>
              <w:jc w:val="center"/>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9</w:t>
            </w:r>
          </w:p>
        </w:tc>
        <w:tc>
          <w:tcPr>
            <w:tcW w:w="1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80E3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color w:val="000000"/>
                <w:kern w:val="2"/>
                <w:sz w:val="24"/>
                <w:szCs w:val="24"/>
                <w:vertAlign w:val="baseline"/>
                <w:lang w:val="en-US" w:eastAsia="zh-CN" w:bidi="ar-SA"/>
              </w:rPr>
            </w:pPr>
            <w:r>
              <w:rPr>
                <w:rFonts w:hint="eastAsia" w:ascii="仿宋" w:hAnsi="仿宋" w:eastAsia="仿宋" w:cs="仿宋"/>
                <w:b w:val="0"/>
                <w:color w:val="000000"/>
                <w:sz w:val="24"/>
                <w:szCs w:val="24"/>
                <w:vertAlign w:val="baseline"/>
                <w:lang w:val="en-US" w:eastAsia="zh-CN"/>
              </w:rPr>
              <w:t>开展自评和绩效评估</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E3488F">
            <w:pPr>
              <w:spacing w:line="560" w:lineRule="exact"/>
              <w:jc w:val="center"/>
              <w:rPr>
                <w:rFonts w:hint="eastAsia" w:ascii="仿宋" w:hAnsi="仿宋" w:eastAsia="仿宋" w:cs="仿宋"/>
                <w:b w:val="0"/>
                <w:color w:val="000000"/>
                <w:kern w:val="2"/>
                <w:sz w:val="24"/>
                <w:szCs w:val="24"/>
                <w:vertAlign w:val="baseline"/>
                <w:lang w:val="en-US" w:eastAsia="zh-CN" w:bidi="ar-SA"/>
              </w:rPr>
            </w:pPr>
            <w:r>
              <w:rPr>
                <w:rFonts w:hint="eastAsia" w:ascii="仿宋" w:hAnsi="仿宋" w:eastAsia="仿宋" w:cs="仿宋"/>
                <w:b w:val="0"/>
                <w:color w:val="000000"/>
                <w:sz w:val="24"/>
                <w:szCs w:val="24"/>
                <w:vertAlign w:val="baseline"/>
                <w:lang w:val="en-US" w:eastAsia="zh-CN"/>
              </w:rPr>
              <w:t>5</w:t>
            </w:r>
          </w:p>
        </w:tc>
        <w:tc>
          <w:tcPr>
            <w:tcW w:w="59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0EB21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color w:val="000000"/>
                <w:kern w:val="2"/>
                <w:sz w:val="24"/>
                <w:szCs w:val="24"/>
                <w:vertAlign w:val="baseline"/>
                <w:lang w:val="en-US" w:eastAsia="zh-CN" w:bidi="ar-SA"/>
              </w:rPr>
            </w:pPr>
            <w:r>
              <w:rPr>
                <w:rFonts w:hint="eastAsia" w:ascii="仿宋" w:hAnsi="仿宋" w:eastAsia="仿宋" w:cs="仿宋"/>
                <w:b w:val="0"/>
                <w:color w:val="000000"/>
                <w:sz w:val="24"/>
                <w:szCs w:val="24"/>
                <w:vertAlign w:val="baseline"/>
                <w:lang w:val="en-US" w:eastAsia="zh-CN"/>
              </w:rPr>
              <w:t>对年度回收情况进行自评和绩效评估5分，否则不得分。</w:t>
            </w:r>
          </w:p>
        </w:tc>
      </w:tr>
      <w:tr w14:paraId="3EE77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251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1799467">
            <w:pPr>
              <w:spacing w:line="560" w:lineRule="exact"/>
              <w:jc w:val="center"/>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合  计</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8A66D7F">
            <w:pPr>
              <w:spacing w:line="560" w:lineRule="exact"/>
              <w:jc w:val="center"/>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100</w:t>
            </w:r>
          </w:p>
        </w:tc>
        <w:tc>
          <w:tcPr>
            <w:tcW w:w="59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B918D2C">
            <w:pPr>
              <w:spacing w:line="560" w:lineRule="exact"/>
              <w:jc w:val="left"/>
              <w:rPr>
                <w:rFonts w:hint="eastAsia" w:ascii="仿宋" w:hAnsi="仿宋" w:eastAsia="仿宋" w:cs="仿宋"/>
                <w:b w:val="0"/>
                <w:color w:val="000000"/>
                <w:sz w:val="24"/>
                <w:szCs w:val="24"/>
                <w:vertAlign w:val="baseline"/>
                <w:lang w:val="en-US" w:eastAsia="zh-CN"/>
              </w:rPr>
            </w:pPr>
          </w:p>
        </w:tc>
      </w:tr>
    </w:tbl>
    <w:p w14:paraId="692C11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废旧农膜回收工作绩效考核表</w:t>
      </w:r>
    </w:p>
    <w:p w14:paraId="3E880FFA">
      <w:pPr>
        <w:rPr>
          <w:rFonts w:hint="default"/>
          <w:lang w:val="en"/>
        </w:rPr>
      </w:pPr>
    </w:p>
    <w:p w14:paraId="5093556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39E50FB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宋体 Std L">
    <w:altName w:val="宋体"/>
    <w:panose1 w:val="02020300000000000000"/>
    <w:charset w:val="00"/>
    <w:family w:val="auto"/>
    <w:pitch w:val="default"/>
    <w:sig w:usb0="00000000" w:usb1="00000000" w:usb2="00000016" w:usb3="00000000" w:csb0="00060007" w:csb1="00000000"/>
  </w:font>
  <w:font w:name="CESI黑体-GB2312">
    <w:altName w:val="黑体"/>
    <w:panose1 w:val="02000500000000000000"/>
    <w:charset w:val="86"/>
    <w:family w:val="auto"/>
    <w:pitch w:val="default"/>
    <w:sig w:usb0="00000000" w:usb1="00000000" w:usb2="00000012" w:usb3="00000000" w:csb0="0004000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A87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3"/>
    <w:next w:val="1"/>
    <w:qFormat/>
    <w:uiPriority w:val="0"/>
    <w:pPr>
      <w:ind w:firstLine="560"/>
    </w:pPr>
    <w:rPr>
      <w:rFonts w:ascii="Adobe 宋体 Std L" w:hAnsi="Adobe 宋体 Std L" w:eastAsia="Adobe 宋体 Std L"/>
      <w:szCs w:val="28"/>
    </w:rPr>
  </w:style>
  <w:style w:type="paragraph" w:customStyle="1" w:styleId="3">
    <w:name w:val="index 1_f406d9d3-cce8-4f0b-ac8e-fdcac587dac3"/>
    <w:basedOn w:val="1"/>
    <w:next w:val="1"/>
    <w:qFormat/>
    <w:uiPriority w:val="0"/>
    <w:rPr>
      <w:rFonts w:ascii="Times New Roman" w:hAnsi="Times New Roman" w:eastAsia="宋体" w:cs="Times New Roman"/>
      <w:sz w:val="21"/>
      <w:szCs w:val="24"/>
    </w:rPr>
  </w:style>
  <w:style w:type="table" w:styleId="5">
    <w:name w:val="Table Grid"/>
    <w:basedOn w:val="4"/>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2025-12-26T03:04:14Z</dcterms:created>
  <dc:creator>Administrator</dc:creator>
  <cp:lastModifiedBy>WPS_1729516128</cp:lastModifiedBy>
  <dcterms:modified xsi:type="dcterms:W3CDTF">2025-12-26T03:04:19Z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eyJoZGlkIjoiYmJjMDQ0NzZmODI3MjA5ZmU1MDEyZDlmN2RmMTVlZWQiLCJ1c2VySWQiOiIxNjQ2Njg3NTM2In0=</vt:lpwstr>
  </property>
  <property fmtid="{D5CDD505-2E9C-101B-9397-08002B2CF9AE}" pid="4" name="ICV">
    <vt:lpwstr>B2040CF29866458A9204269777C63FAF_12</vt:lpwstr>
  </property>
</Properties>
</file>