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22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bdr w:val="none" w:color="auto" w:sz="0" w:space="0"/>
        </w:rPr>
        <w:t>磴口县人民政府办公室 关于开展2026年城乡居民基本医疗保险参保缴费工作的通知</w:t>
      </w:r>
    </w:p>
    <w:p w14:paraId="1924C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left"/>
        <w:rPr>
          <w:rFonts w:hint="eastAsia" w:ascii="方正楷体_GB2312" w:hAnsi="方正楷体_GB2312" w:eastAsia="方正楷体_GB2312" w:cs="方正楷体_GB2312"/>
          <w:i w:val="0"/>
          <w:iCs w:val="0"/>
          <w:caps w:val="0"/>
          <w:color w:val="000000"/>
          <w:spacing w:val="0"/>
          <w:sz w:val="32"/>
          <w:szCs w:val="32"/>
        </w:rPr>
      </w:pPr>
      <w:bookmarkStart w:id="0" w:name="_GoBack"/>
      <w:bookmarkEnd w:id="0"/>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各苏木镇人民政府、各农场公司，县直各部门，驻县各单位，各直属企事业单位：​</w:t>
      </w:r>
    </w:p>
    <w:p w14:paraId="35C36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依据巴彦淖尔市医疗保障局、巴彦淖尔市财政局、国家税务总局巴彦淖尔市税务局联合印发的《关于落实2026年城乡居民基本医疗保险参保缴费工作的通知》（巴医保发〔2025〕12号）文件精神，现就我县2026年城乡居民基本医疗保险参保缴费相关工作事项通告如下。</w:t>
      </w:r>
    </w:p>
    <w:p w14:paraId="67B71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一、总体目标​</w:t>
      </w:r>
    </w:p>
    <w:p w14:paraId="1EB1A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按照“应参尽参、应保尽保”的工作原则，推进城乡居民基本医疗保险参保筹资工作，力争实现全县参保率稳定保持在95%以上，困难群体参保率达到100%的目标。​</w:t>
      </w:r>
    </w:p>
    <w:p w14:paraId="55856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二、筹资标准与参保资助政策</w:t>
      </w:r>
    </w:p>
    <w:p w14:paraId="711D9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城乡居民医保缴费标准：2026年城乡居民医保个人年缴费金额为400元，财政年度补助标准不低于700元/人。</w:t>
      </w:r>
    </w:p>
    <w:p w14:paraId="626621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困难人员参保资助标准：特困人员、孤儿的参保费用由医疗救助资金全额承担；低保人员、返贫致贫人员、农牧部门认定的未消除风险监测对象，其参保个人缴费部分按50%比例给予资助。资助参保费用由医保部门直接代缴，资助后剩余的个人缴费部分，在核定金额后由个人直接缴纳。各相关单位需做好困难群体缴费引导工作，避免出现多缴、错缴情况。​</w:t>
      </w:r>
    </w:p>
    <w:p w14:paraId="07197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三、参保范围​</w:t>
      </w:r>
    </w:p>
    <w:p w14:paraId="2A7A7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参保对象为除应参加职工基本医疗保险人员及按规定享受其他医疗保障的人员之外的全体城乡居民，具体包括城乡非就业居民、各类全日制学校在读学生、学龄前儿童，以及国家和自治区规定需纳入保障范围的其他人员，上述群体均需参加我县城乡居民基本医疗保险。​</w:t>
      </w:r>
    </w:p>
    <w:p w14:paraId="766D3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参保人员不得同时参保城乡居民基本医疗保险与职工基本医疗保险，也不得重复享受两项医疗保险待遇。​</w:t>
      </w:r>
    </w:p>
    <w:p w14:paraId="70219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四、参保缴费时间及方式</w:t>
      </w:r>
    </w:p>
    <w:p w14:paraId="28A87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城乡居民基本医疗保险实行年预缴费制度，2026年城乡居民基本医疗保险集中缴费时间为2025年9月1日至2025年12月20日。​</w:t>
      </w:r>
    </w:p>
    <w:p w14:paraId="20CE2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参保个人可通过微信平台关注“内蒙古税务社保缴费”小程序，自主完成缴费操作。需在2025年12月20日前完成城乡居民在系统内的参保登记工作。​</w:t>
      </w:r>
    </w:p>
    <w:p w14:paraId="64F73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五、工作要求​</w:t>
      </w:r>
    </w:p>
    <w:p w14:paraId="690D08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(一)进一步压实工作责任</w:t>
      </w:r>
    </w:p>
    <w:p w14:paraId="4223E9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苏木镇、农场公司要高度重视，切实担负起辖区基本医保参保工作的领导责任统筹协调辖区内基本医保参保扩面工作和参保情况排查工作。医疗保障部门要认真核定参保人员，核实应参保人员、未参保人员基础信息，精准锁定扩面对象，做实做细参保核定工作及核定数据的传递。财政部门要做好参保补助资金保障。税务部门要做好征缴工作及征缴前参保宣传动员工作。教育部门要做好在校学生的参保登记、缴费工作。乡村振兴部门要提供脱贫人员花名并按标准资助缴费，建立防范化解因病返贫致贫长效机制，做好高额医疗费用负担患者因病返贫致贫风险监测，建立监测预警和主动发现机制，分类明确因病返贫和因病致贫监测标准，与医保部门配合及时将符合条件的人员纳入医疗救助范围。民政部门要及时提供低保、特困、低收入等困难人群参保花名。</w:t>
      </w:r>
    </w:p>
    <w:p w14:paraId="4D899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(二)切实加强组织领导</w:t>
      </w:r>
    </w:p>
    <w:p w14:paraId="445EF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苏木镇、农场公司要充分发挥作用，配合医保局做好参保情况摸底、政策宣传、督促参保等工作。各相关部门要建立动态信息共享与工作协同机制，强化服务意识，优化服务方式，为人民群众提供公平可及、便捷高效、温暖舒心的医疗保障服务。同时，进一步加大政策宣传力度，增强群众参保缴费意识，合理引导社会预期。制定相关工作预案，遇到重大情况及时按要求报告。</w:t>
      </w:r>
    </w:p>
    <w:p w14:paraId="6731D3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w:t>
      </w:r>
    </w:p>
    <w:p w14:paraId="7CE80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i w:val="0"/>
          <w:iCs w:val="0"/>
          <w:caps w:val="0"/>
          <w:color w:val="000000"/>
          <w:spacing w:val="0"/>
          <w:sz w:val="32"/>
          <w:szCs w:val="32"/>
          <w:bdr w:val="none" w:color="auto" w:sz="0" w:space="0"/>
        </w:rPr>
        <w:t> </w:t>
      </w:r>
    </w:p>
    <w:p w14:paraId="3CE9D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i w:val="0"/>
          <w:iCs w:val="0"/>
          <w:caps w:val="0"/>
          <w:color w:val="000000"/>
          <w:spacing w:val="0"/>
          <w:sz w:val="32"/>
          <w:szCs w:val="32"/>
          <w:bdr w:val="none" w:color="auto" w:sz="0" w:space="0"/>
        </w:rPr>
        <w:t>　　</w:t>
      </w:r>
    </w:p>
    <w:p w14:paraId="1EF30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w:t>
      </w:r>
    </w:p>
    <w:p w14:paraId="43CCD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磴口县人民政府办公室</w:t>
      </w:r>
    </w:p>
    <w:p w14:paraId="11D9EC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2025年10月30日</w:t>
      </w:r>
    </w:p>
    <w:p w14:paraId="59564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lang w:val="en-US" w:eastAsia="zh-CN" w:bidi="ar"/>
        </w:rPr>
        <w:t> </w:t>
      </w:r>
    </w:p>
    <w:p w14:paraId="0F3FE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p>
    <w:p w14:paraId="70487A98">
      <w:pPr>
        <w:rPr>
          <w:rFonts w:hint="eastAsia" w:ascii="方正楷体_GB2312" w:hAnsi="方正楷体_GB2312" w:eastAsia="方正楷体_GB2312" w:cs="方正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A7D2383E-E91F-498A-B91C-35EE40989B52}"/>
  </w:font>
  <w:font w:name="方正楷体_GB2312">
    <w:panose1 w:val="02000000000000000000"/>
    <w:charset w:val="86"/>
    <w:family w:val="auto"/>
    <w:pitch w:val="default"/>
    <w:sig w:usb0="A00002BF" w:usb1="184F6CFA" w:usb2="00000012" w:usb3="00000000" w:csb0="00040001" w:csb1="00000000"/>
    <w:embedRegular r:id="rId2" w:fontKey="{8EA25F41-2F8A-4B11-8CE8-8D067AD950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F743A"/>
    <w:rsid w:val="18BF3247"/>
    <w:rsid w:val="3C9B3489"/>
    <w:rsid w:val="481454FA"/>
    <w:rsid w:val="5728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1361</Words>
  <Characters>1366</Characters>
  <Lines>0</Lines>
  <Paragraphs>0</Paragraphs>
  <TotalTime>4</TotalTime>
  <ScaleCrop>false</ScaleCrop>
  <LinksUpToDate>false</LinksUpToDate>
  <CharactersWithSpaces>1433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2025-12-31T02:58:00Z</dcterms:created>
  <dc:creator>Administrator</dc:creator>
  <cp:lastModifiedBy>WPS_1729516128</cp:lastModifiedBy>
  <dcterms:modified xsi:type="dcterms:W3CDTF">2025-12-31T03:10:49Z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eyJoZGlkIjoiYmJjMDQ0NzZmODI3MjA5ZmU1MDEyZDlmN2RmMTVlZWQiLCJ1c2VySWQiOiIxNjQ2Njg3NTM2In0=</vt:lpwstr>
  </property>
  <property fmtid="{D5CDD505-2E9C-101B-9397-08002B2CF9AE}" pid="4" name="ICV">
    <vt:lpwstr>6307E31CACE94E84AD3242560A18AC3D_12</vt:lpwstr>
  </property>
</Properties>
</file>