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一、事项名称</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从事生活垃圾（含粪便）经营性清扫、收集、运输、处理服务审批</w:t>
      </w:r>
      <w:bookmarkEnd w:id="0"/>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zh-CN"/>
        </w:rPr>
        <w:t>企业法人、社会组织法人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五、设定依据</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对确需保留的行政审批项目设定行政许可的决定》（2004年6月29日国务院令第412号，2009年1月29日予以修改）附件第102项：从事城市生活垃圾经营性清扫、收集、运输、处理服务审批，实施机关：所在城市的市人民政府市容环境卫生行政主管部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ascii="仿宋_GB2312" w:eastAsia="仿宋_GB2312"/>
          <w:sz w:val="32"/>
          <w:szCs w:val="32"/>
        </w:rPr>
      </w:pPr>
      <w:r>
        <w:rPr>
          <w:rFonts w:hint="eastAsia" w:ascii="仿宋_GB2312" w:hAnsi="仿宋_GB2312" w:eastAsia="仿宋_GB2312" w:cs="仿宋_GB2312"/>
          <w:sz w:val="32"/>
          <w:szCs w:val="32"/>
        </w:rPr>
        <w:t>《内蒙古自治区党委办公厅 自治区人民政府办公厅印发&lt;关于深化苏木乡镇和街道改革推进基层整合审批服务执法力量的实施意见&gt;的通知》附件第13项。</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宋体"/>
          <w:color w:val="auto"/>
          <w:kern w:val="0"/>
          <w:sz w:val="32"/>
          <w:szCs w:val="32"/>
          <w:lang w:val="en-US" w:eastAsia="zh-CN"/>
        </w:rPr>
        <w:t>六、</w:t>
      </w:r>
      <w:r>
        <w:rPr>
          <w:rFonts w:hint="eastAsia" w:ascii="黑体" w:hAnsi="黑体" w:eastAsia="黑体" w:cs="Times New Roman"/>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七、办理材料</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1、从事生活垃圾（含粪便）经营性清扫、收集、 运输、处置服务审批告知承诺书；</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2、采用的技术、工艺符合国家有关标准；</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3、有至少5名具有初级以上专业技术职称的人员，其中包括环境工程、机械、环境监测等专业的技术人员；</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4、具有完善的工艺运行、设备管理、环境监测与保护、财务管理、生产安全、计量统计等方面的管理制度并得到有效执行；</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5、卫生填埋场、堆肥厂和焚烧厂的选址符合城乡规划，并取得规划许可文件；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6、具有完善的生活垃圾渗沥液、沼气利用和处置技术方案及焚烧烟气、残渣等残余物达标处置排放方案；</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7、控制污染和突发事件预案</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_GB2312" w:hAnsi="仿宋_GB2312" w:eastAsia="仿宋_GB2312" w:cs="仿宋_GB2312"/>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 xml:space="preserve">九、网办深度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hint="eastAsia" w:ascii="仿宋_GB2312" w:hAnsi="仿宋_GB2312" w:eastAsia="仿宋_GB2312" w:cs="仿宋_GB2312"/>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20个工作日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default"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十六、结果领取方式</w:t>
      </w:r>
    </w:p>
    <w:p>
      <w:pPr>
        <w:keepNext w:val="0"/>
        <w:keepLines w:val="0"/>
        <w:pageBreakBefore w:val="0"/>
        <w:kinsoku/>
        <w:wordWrap/>
        <w:overflowPunct/>
        <w:topLinePunct w:val="0"/>
        <w:bidi w:val="0"/>
        <w:snapToGrid/>
        <w:spacing w:beforeAutospacing="0" w:afterAutospacing="0" w:line="560" w:lineRule="exact"/>
        <w:ind w:left="0" w:leftChars="0" w:firstLine="480" w:firstLineChars="150"/>
        <w:jc w:val="left"/>
        <w:rPr>
          <w:rFonts w:hint="eastAsia" w:ascii="仿宋_GB2312" w:hAnsi="黑体" w:eastAsia="仿宋_GB2312" w:cs="Times New Roman"/>
          <w:kern w:val="0"/>
          <w:sz w:val="32"/>
          <w:szCs w:val="32"/>
          <w:lang w:val="zh-CN"/>
        </w:rPr>
      </w:pPr>
      <w:r>
        <w:rPr>
          <w:rFonts w:hint="eastAsia" w:ascii="仿宋_GB2312" w:hAnsi="仿宋_GB2312" w:eastAsia="仿宋_GB2312" w:cs="仿宋_GB2312"/>
          <w:kern w:val="0"/>
          <w:sz w:val="32"/>
          <w:szCs w:val="32"/>
          <w:lang w:val="zh-CN"/>
        </w:rPr>
        <w:t>自取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48F42731"/>
    <w:rsid w:val="48F42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2023-08-29T09:08:00Z</dcterms:created>
  <dc:creator>覆水难收</dc:creator>
  <cp:lastModifiedBy>覆水难收</cp:lastModifiedBy>
  <dcterms:modified xsi:type="dcterms:W3CDTF">2023-08-29T09:09:26Z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4208323B8E0A463CBE4EBA02BBA9B180_11</vt:lpwstr>
  </property>
</Properties>
</file>